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DataBreeze Subscription &amp; AI Token Packages</w:t>
      </w:r>
    </w:p>
    <w:p>
      <w:pPr>
        <w:spacing w:after="200"/>
      </w:pPr>
      <w:r>
        <w:rPr>
          <w:i/>
        </w:rPr>
        <w:t>Vietnam market reference for SaaS billing, AI token quotas, and current user-facing plan limits.</w:t>
      </w:r>
    </w:p>
    <w:p>
      <w:r>
        <w:rPr>
          <w:b/>
        </w:rPr>
        <w:t xml:space="preserve">Prepared: </w:t>
      </w:r>
      <w:r>
        <w:t>2026-05-24</w:t>
      </w:r>
      <w:r>
        <w:t xml:space="preserve"> | Currency: VND | Default AI model: gpt-4.1-mini | Exchange rate assumption: 25,000 VND/USD</w:t>
      </w:r>
    </w:p>
    <w:p>
      <w:r>
        <w:rPr>
          <w:b/>
        </w:rPr>
        <w:t xml:space="preserve">Operating principle: </w:t>
      </w:r>
      <w:r>
        <w:t>each AI call is metered from the OpenAI response usage object, not from pre-call estimates. The backend records prompt tokens as input tokens, completion tokens as output tokens, and total tokens for monthly quota enforcement.</w:t>
      </w:r>
    </w:p>
    <w:p>
      <w:pPr>
        <w:pStyle w:val="Heading1"/>
      </w:pPr>
      <w:r>
        <w:t>Current Package Matrix</w:t>
      </w:r>
    </w:p>
    <w:tbl>
      <w:tblPr>
        <w:tblStyle w:val="TableGrid"/>
        <w:tblW w:type="dxa" w:w="10360"/>
        <w:jc w:val="left"/>
        <w:tblLook w:firstColumn="1" w:firstRow="1" w:lastColumn="0" w:lastRow="0" w:noHBand="0" w:noVBand="1" w:val="04A0"/>
      </w:tblPr>
      <w:tblGrid>
        <w:gridCol w:w="1050"/>
        <w:gridCol w:w="950"/>
        <w:gridCol w:w="1150"/>
        <w:gridCol w:w="1200"/>
        <w:gridCol w:w="1050"/>
        <w:gridCol w:w="1700"/>
        <w:gridCol w:w="1350"/>
        <w:gridCol w:w="900"/>
        <w:gridCol w:w="1010"/>
      </w:tblGrid>
      <w:tr>
        <w:tc>
          <w:tcPr>
            <w:tcW w:type="dxa" w:w="10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B2545"/>
                <w:sz w:val="16"/>
              </w:rPr>
              <w:t>Code</w:t>
            </w:r>
          </w:p>
        </w:tc>
        <w:tc>
          <w:tcPr>
            <w:tcW w:type="dxa" w:w="9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B2545"/>
                <w:sz w:val="16"/>
              </w:rPr>
              <w:t>Plan</w:t>
            </w:r>
          </w:p>
        </w:tc>
        <w:tc>
          <w:tcPr>
            <w:tcW w:type="dxa" w:w="11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B2545"/>
                <w:sz w:val="16"/>
              </w:rPr>
              <w:t>Price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B2545"/>
                <w:sz w:val="16"/>
              </w:rPr>
              <w:t>AI tokens/month</w:t>
            </w:r>
          </w:p>
        </w:tc>
        <w:tc>
          <w:tcPr>
            <w:tcW w:type="dxa" w:w="10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B2545"/>
                <w:sz w:val="16"/>
              </w:rPr>
              <w:t>Insight runs/month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B2545"/>
                <w:sz w:val="16"/>
              </w:rPr>
              <w:t>ETL quota</w:t>
            </w:r>
          </w:p>
        </w:tc>
        <w:tc>
          <w:tcPr>
            <w:tcW w:type="dxa" w:w="13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B2545"/>
                <w:sz w:val="16"/>
              </w:rPr>
              <w:t>Workspace limit</w:t>
            </w:r>
          </w:p>
        </w:tc>
        <w:tc>
          <w:tcPr>
            <w:tcW w:type="dxa" w:w="9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B2545"/>
                <w:sz w:val="16"/>
              </w:rPr>
              <w:t>Est. AI cost</w:t>
            </w:r>
          </w:p>
        </w:tc>
        <w:tc>
          <w:tcPr>
            <w:tcW w:type="dxa" w:w="10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B2545"/>
                <w:sz w:val="16"/>
              </w:rPr>
              <w:t>Best fit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FREE_TRIAL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Free Trial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0 VND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50,000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5 uploads / 10,000 rows / 10MB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1 member, 1 store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$0.04</w:t>
            </w:r>
          </w:p>
        </w:tc>
        <w:tc>
          <w:tcPr>
            <w:tcW w:type="dxa" w:w="1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Try ETL, mapping, and basic insight safely.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STARTER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Starter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99,000 VND/mo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1,000,000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50 uploads / 200,000 rows / 20MB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1 member, 1 store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$0.76</w:t>
            </w:r>
          </w:p>
        </w:tc>
        <w:tc>
          <w:tcPr>
            <w:tcW w:type="dxa" w:w="1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Small Shopee seller starting profit visibility.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GROWTH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Growth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299,000 VND/mo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4,000,000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120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200 uploads / 1,000,000 rows / 50MB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5 members, 3 stores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$3.04</w:t>
            </w:r>
          </w:p>
        </w:tc>
        <w:tc>
          <w:tcPr>
            <w:tcW w:type="dxa" w:w="1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Growing seller/team with weekly analysis.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BUSINESS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Business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799,000 VND/mo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12,000,000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400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1,000 uploads / 5,000,000 rows / 100MB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20 members, 10 stores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$9.12</w:t>
            </w:r>
          </w:p>
        </w:tc>
        <w:tc>
          <w:tcPr>
            <w:tcW w:type="dxa" w:w="1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6"/>
              </w:rPr>
              <w:t>SME team with multiple stores and priority support.</w:t>
            </w:r>
          </w:p>
        </w:tc>
      </w:tr>
    </w:tbl>
    <w:p>
      <w:r>
        <w:rPr>
          <w:b/>
        </w:rPr>
        <w:t xml:space="preserve">Cost basis: </w:t>
      </w:r>
      <w:r>
        <w:t>gpt-4.1-mini text pricing is 0.40 USD per 1M input tokens and 1.60 USD per 1M output tokens. DataBreeze uses a conservative blended assumption of 70% input and 30% output, or about 0.76 USD per 1M total tokens. Source: OpenAI API pricing and model documentation.</w:t>
      </w:r>
    </w:p>
    <w:p>
      <w:pPr>
        <w:pStyle w:val="Heading1"/>
      </w:pPr>
      <w:r>
        <w:t>How Token Usage Is Counted</w:t>
      </w:r>
    </w:p>
    <w:p>
      <w:pPr>
        <w:pStyle w:val="ListBullet"/>
        <w:spacing w:after="80" w:line="300" w:lineRule="auto"/>
        <w:ind w:left="540" w:hanging="271"/>
      </w:pPr>
      <w:r>
        <w:t>AI mapping calls read usage.prompt_tokens, usage.completion_tokens, and usage.total_tokens from the OpenAI Chat Completions response.</w:t>
      </w:r>
    </w:p>
    <w:p>
      <w:pPr>
        <w:pStyle w:val="ListBullet"/>
        <w:spacing w:after="80" w:line="300" w:lineRule="auto"/>
        <w:ind w:left="540" w:hanging="271"/>
      </w:pPr>
      <w:r>
        <w:t>Rule-based insight generation currently does not consume OpenAI tokens; it increments insight_generation_count only. When AI persona insight is added, it should reuse the same response-usage metering pattern.</w:t>
      </w:r>
    </w:p>
    <w:p>
      <w:pPr>
        <w:pStyle w:val="ListBullet"/>
        <w:spacing w:after="80" w:line="300" w:lineRule="auto"/>
        <w:ind w:left="540" w:hanging="271"/>
      </w:pPr>
      <w:r>
        <w:t>Monthly remaining tokens are shown from usage_counters.ai_total_tokens against plans.ai_token_limit_per_month.</w:t>
      </w:r>
    </w:p>
    <w:p>
      <w:pPr>
        <w:pStyle w:val="ListBullet"/>
        <w:spacing w:after="80" w:line="300" w:lineRule="auto"/>
        <w:ind w:left="540" w:hanging="271"/>
      </w:pPr>
      <w:r>
        <w:t>The system checks that AI mapping is enabled and that the workspace still has token balance before calling the model; exact token usage is recorded after the response returns.</w:t>
      </w:r>
    </w:p>
    <w:p>
      <w:pPr>
        <w:pStyle w:val="Heading1"/>
      </w:pPr>
      <w:r>
        <w:t>Vietnam Market Flow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650"/>
        <w:gridCol w:w="2450"/>
        <w:gridCol w:w="6260"/>
      </w:tblGrid>
      <w:tr>
        <w:tc>
          <w:tcPr>
            <w:tcW w:type="dxa" w:w="6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B2545"/>
                <w:sz w:val="18"/>
              </w:rPr>
              <w:t>Step</w:t>
            </w:r>
          </w:p>
        </w:tc>
        <w:tc>
          <w:tcPr>
            <w:tcW w:type="dxa" w:w="24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B2545"/>
                <w:sz w:val="18"/>
              </w:rPr>
              <w:t>Action</w:t>
            </w:r>
          </w:p>
        </w:tc>
        <w:tc>
          <w:tcPr>
            <w:tcW w:type="dxa" w:w="62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B2545"/>
                <w:sz w:val="18"/>
              </w:rPr>
              <w:t>Backend behavior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00000"/>
                <w:sz w:val="18"/>
              </w:rPr>
              <w:t>1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8"/>
              </w:rPr>
              <w:t>User imports Shopee VN Excel/CSV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8"/>
              </w:rPr>
              <w:t>Upload quota, file size limit, and workspace access are checked before processing.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00000"/>
                <w:sz w:val="18"/>
              </w:rPr>
              <w:t>2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8"/>
              </w:rPr>
              <w:t>Smart ETL suggests mapping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8"/>
              </w:rPr>
              <w:t>Rule-based Shopee VN mapping runs first. If useAi=true, OpenAI usage is recorded exactly from response usage.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00000"/>
                <w:sz w:val="18"/>
              </w:rPr>
              <w:t>3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8"/>
              </w:rPr>
              <w:t>User confirms mapping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8"/>
              </w:rPr>
              <w:t>Required fields must be mapped before import: order id, SKU, product name, quantity, and revenue-related fields.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00000"/>
                <w:sz w:val="18"/>
              </w:rPr>
              <w:t>4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8"/>
              </w:rPr>
              <w:t>Import runs and produces row error Excel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8"/>
              </w:rPr>
              <w:t>Invalid rows are marked in raw_import_rows. A downloadable .xlsx includes row number, error reason, warnings, raw JSON, and original columns.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00000"/>
                <w:sz w:val="18"/>
              </w:rPr>
              <w:t>5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8"/>
              </w:rPr>
              <w:t>Insights and dashboard update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8"/>
              </w:rPr>
              <w:t>Revenue/profit aggregates refresh after import. Business insights identify loss, low margin, high refund, missing COGS, and SKU risks.</w:t>
            </w:r>
          </w:p>
        </w:tc>
      </w:tr>
    </w:tbl>
    <w:p>
      <w:pPr>
        <w:pStyle w:val="Heading1"/>
      </w:pPr>
      <w:r>
        <w:t>Recommended Customer Positioning</w:t>
      </w:r>
    </w:p>
    <w:p>
      <w:pPr>
        <w:pStyle w:val="ListBullet"/>
        <w:spacing w:after="80" w:line="300" w:lineRule="auto"/>
        <w:ind w:left="540" w:hanging="271"/>
      </w:pPr>
      <w:r>
        <w:t>Free Trial: for first-time users validating that Shopee files can be mapped and imported without SQL knowledge.</w:t>
      </w:r>
    </w:p>
    <w:p>
      <w:pPr>
        <w:pStyle w:val="ListBullet"/>
        <w:spacing w:after="80" w:line="300" w:lineRule="auto"/>
        <w:ind w:left="540" w:hanging="271"/>
      </w:pPr>
      <w:r>
        <w:t>Starter: for individual sellers needing low-cost monthly automation and basic profit insight.</w:t>
      </w:r>
    </w:p>
    <w:p>
      <w:pPr>
        <w:pStyle w:val="ListBullet"/>
        <w:spacing w:after="80" w:line="300" w:lineRule="auto"/>
        <w:ind w:left="540" w:hanging="271"/>
      </w:pPr>
      <w:r>
        <w:t>Growth: default paid recommendation for Vietnamese SMEs because token headroom supports regular AI mapping and weekly insight review.</w:t>
      </w:r>
    </w:p>
    <w:p>
      <w:pPr>
        <w:pStyle w:val="ListBullet"/>
        <w:spacing w:after="80" w:line="300" w:lineRule="auto"/>
        <w:ind w:left="540" w:hanging="271"/>
      </w:pPr>
      <w:r>
        <w:t>Business: for teams running multiple shops, larger files, and priority support expectations.</w:t>
      </w:r>
    </w:p>
    <w:p>
      <w:pPr>
        <w:pStyle w:val="Heading1"/>
      </w:pPr>
      <w:r>
        <w:t>Implementation Notes For Backend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B2545"/>
                <w:sz w:val="18"/>
              </w:rPr>
              <w:t>Area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B2545"/>
                <w:sz w:val="18"/>
              </w:rPr>
              <w:t>Current implementation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00000"/>
                <w:sz w:val="18"/>
              </w:rPr>
              <w:t>Billing seed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8"/>
              </w:rPr>
              <w:t>BillingPlanCatalog.ensureDefaultPlans() creates the four plans with VND pricing and monthly token limits.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00000"/>
                <w:sz w:val="18"/>
              </w:rPr>
              <w:t>Usage API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8"/>
              </w:rPr>
              <w:t>GET /api/v1/workspaces/{workspaceId}/usage shows upload count, imported rows, AI token usage, and remaining token balance.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00000"/>
                <w:sz w:val="18"/>
              </w:rPr>
              <w:t>AI token source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8"/>
              </w:rPr>
              <w:t>OpenAiMappingClient reads token usage from the OpenAI response usage object and returns it through MappingSuggestionResult.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color w:val="000000"/>
                <w:sz w:val="18"/>
              </w:rPr>
              <w:t>Error Excel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color w:val="000000"/>
                <w:sz w:val="18"/>
              </w:rPr>
              <w:t>GET /api/v1/workspaces/{workspaceId}/etl/jobs/{importJobId}/error-report downloads the generated row-level Excel file.</w:t>
            </w:r>
          </w:p>
        </w:tc>
      </w:tr>
    </w:tbl>
    <w:p/>
    <w:p>
      <w:r>
        <w:rPr>
          <w:i/>
          <w:color w:val="555555"/>
          <w:sz w:val="18"/>
        </w:rPr>
        <w:t>Pricing note: token prices and model availability can change. Review OpenAI pricing before production launch or when changing the default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Internal billing reference - Vietnam market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8"/>
      </w:rPr>
      <w:t>DataBreeze AI Transfer | Subscription &amp; Token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