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7198" w:dyaOrig="7198">
          <v:rect xmlns:o="urn:schemas-microsoft-com:office:office" xmlns:v="urn:schemas-microsoft-com:vml" id="rectole0000000000" style="width:359.900000pt;height:35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color w:val="4472C4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4472C4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4472C4"/>
          <w:spacing w:val="0"/>
          <w:position w:val="0"/>
          <w:sz w:val="32"/>
          <w:shd w:fill="auto" w:val="clear"/>
        </w:rPr>
        <w:t xml:space="preserve">Documentação / IDCM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5935"/>
        <w:gridCol w:w="2180"/>
      </w:tblGrid>
      <w:tr>
        <w:trPr>
          <w:trHeight w:val="424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59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Jefferson Serrilho Gonçalves Filho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01221021</w:t>
            </w:r>
          </w:p>
        </w:tc>
      </w:tr>
      <w:tr>
        <w:trPr>
          <w:trHeight w:val="347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Jaqueline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01221138</w:t>
            </w:r>
          </w:p>
        </w:tc>
      </w:tr>
      <w:tr>
        <w:trPr>
          <w:trHeight w:val="359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Lucas Bispo Alencar da França 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01221146</w:t>
            </w:r>
          </w:p>
        </w:tc>
      </w:tr>
      <w:tr>
        <w:trPr>
          <w:trHeight w:val="347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Victor Souza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01221117</w:t>
            </w:r>
          </w:p>
        </w:tc>
      </w:tr>
      <w:tr>
        <w:trPr>
          <w:trHeight w:val="359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Yohan Hudson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01221056</w:t>
            </w:r>
          </w:p>
        </w:tc>
      </w:tr>
      <w:tr>
        <w:trPr>
          <w:trHeight w:val="347" w:hRule="auto"/>
          <w:jc w:val="left"/>
        </w:trPr>
        <w:tc>
          <w:tcPr>
            <w:tcW w:w="59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Yuri Martins</w:t>
            </w:r>
          </w:p>
        </w:tc>
        <w:tc>
          <w:tcPr>
            <w:tcW w:w="218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01221206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70AD47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Contexto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A necessidade de armazenamento, gestão e uso de dados exige que empresas de todos os segmentos explorem os recursos de 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Data Centers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. Agências governamentais, instituições financeiras, educacionais e varejistas são apenas algumas das companhias que precisam de uma boa infraestrutura de 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 para manter as operações.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30303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O uso deste tipo de recurso pode gerar valor para a organização, aumentando o potencial competitivo e a produtividade do time. Já a falta dele pode comprometer o trabalho dos colaboradores, dificultando o acesso rápido e confiável aos dados e a disponibilidade e entrega dos serviços. Especialmente para empresas que buscam manter conformidade em segurança da informação, investir neste tipo de ferramenta é fundamental.</w:t>
      </w:r>
      <w:r>
        <w:rPr>
          <w:rFonts w:ascii="Arial" w:hAnsi="Arial" w:cs="Arial" w:eastAsia="Arial"/>
          <w:color w:val="202020"/>
          <w:spacing w:val="0"/>
          <w:position w:val="0"/>
          <w:sz w:val="30"/>
          <w:shd w:fill="auto" w:val="clear"/>
        </w:rPr>
        <w:t xml:space="preserve"> 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 monitoramento contínuo das condições ambientais é um importante procedimento que tem ação direta na gestão, eficiência e otimização da infraestrutura física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Dentre os itens que merecem destaque devido à forma como podem impactar o bom funcionamento destes, direcionamos a nossa atenção para a importância da temperatura e da umidade, sendo estas variáveis propícias a uma ligeira oscilação de valores num curto espaço de tempo, seu monitoramento em tempo real merece destaque neste processo que influi na sua performance.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instalação de uma solução de monitoramento deve ser vista como uma medida de valor agregado à plataforma, e não como uma despesa necessária. As vantagens de implementar um sistema de monitoramento estão diretamente ligadas com vários aspectos:</w:t>
      </w:r>
    </w:p>
    <w:p>
      <w:pPr>
        <w:numPr>
          <w:ilvl w:val="0"/>
          <w:numId w:val="3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Aumento do tempo de atividade do Data Center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Ter uma perspectiva atualizada do ambiente e estado da infraestrutura incrementa o seu tempo de operação e disponibilidade do serviço;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Aumento do tempo de vida útil do hardware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Garantir o enquadramento dos valores de temperatura e umidade dentro dos intervalos de referência prolonga o tempo de vida útil do hardware pois evita a sua exposição a fenômenos de corrosão e falhas dos equipamentos por superaquecimento;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Redução de gastos com recursos energéticos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Gastos com recursos energéticos destes ambientes críticos reduzem substancialmente com a gestão personalizada dos sistemas de refrigeração, baseada nos dados monitorados.</w:t>
      </w:r>
    </w:p>
    <w:p>
      <w:pPr>
        <w:spacing w:before="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IDCM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está ciente do papel que a segurança, e o imediato acesso aos dados assumem na produtividade das organizações e aplicações do dia a dia, pensando na melhor seguridade para seu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estimamos uma solução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que disponibiliza todas as informações necessárias em um formato que as tornem relevantes para tomadas de decisões do usuário, com base nos registros das condições ambientais,</w:t>
      </w:r>
      <w:r>
        <w:rPr>
          <w:rFonts w:ascii="Fira Sans" w:hAnsi="Fira Sans" w:cs="Fira Sans" w:eastAsia="Fira Sans"/>
          <w:color w:val="3C4E58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lhe possibilitando obter um perfil das instalações monitoradas em tempo real, com acesso a partir de qualquer lugar e de qualquer dispositivo (p.c., tablet, smartphone). A flexibilidade induzida na sua configuração permite definir um conjunto de alarmes de forma que os usuários possam ser informados de ocorrências que requerem algum tipo de intervenção, por exemplo, o aumento da temperatura num ponto específico originado pela falha do sistema de ventilação/aquecimento.</w:t>
      </w:r>
    </w:p>
    <w:p>
      <w:pPr>
        <w:spacing w:before="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Diagrama da solução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85" w:dyaOrig="5656">
          <v:rect xmlns:o="urn:schemas-microsoft-com:office:office" xmlns:v="urn:schemas-microsoft-com:vml" id="rectole0000000001" style="width:479.250000pt;height:28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Diagrama da solução - técnico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80" w:dyaOrig="5550">
          <v:rect xmlns:o="urn:schemas-microsoft-com:office:office" xmlns:v="urn:schemas-microsoft-com:vml" id="rectole0000000002" style="width:474.000000pt;height:27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Data centers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 exigem o uso de computadores com alta performance e processadores robustos, que ao aquecerem produzem o chamado calor sensível (calor seco), tal esse não se transforma em umidade, tendo a necessidade de ser dissipado com a ajuda de um sistema de controle que insufle ar frio e/ou retire ar quente de áreas críticas, detectadas por monitoramento eletrônico. Se isso não for feito corretamente o ambiente pode chegar a 60°C, enquanto a temperatura ideal é de entre 18°C a 27°C, assim as máquinas podem superaquecer causando lentidão no processamento dos servidores, ou até estes entrarem em um modo de proteção que provoca o desligamento automático.</w:t>
      </w: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 O controle da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UR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 (umidade relativa do ar) também é extremamente importante, o ideal é que esteja entre 44% e 55%. Uma alta umidade pode condensar água dentro dos servidores, causando por exemplo, a oxidação de componentes metálicos, a baixa umidade, em contrapartida, gera carga eletrostática que pode queimar elementos eletrônicos das máquinas, e ambos os excessos favorecem a proliferação de bactérias, o que geram danos aos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hardwares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Dessa forma, se esses fatores não forem controlados com um bom monitoramento do sistema de refrigeração, a empresa poderá sofrer com o temido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downtime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, a paralisação não programada dos servidores, gerando uma série de problemas, registrando danos nos equipamentos e até incêndios. O custo por minuto de inatividade de um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 varia em média de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US$926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 até 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US$17.244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, neste quesito os números apresentam constante crescimento, apesar da frequência desse evento manifestar uma queda. O custo médio de</w:t>
      </w:r>
      <w:r>
        <w:rPr>
          <w:rFonts w:ascii="Times New Roman" w:hAnsi="Times New Roman" w:cs="Times New Roman" w:eastAsia="Times New Roman"/>
          <w:i/>
          <w:color w:val="202020"/>
          <w:spacing w:val="0"/>
          <w:position w:val="0"/>
          <w:sz w:val="24"/>
          <w:shd w:fill="auto" w:val="clear"/>
        </w:rPr>
        <w:t xml:space="preserve"> downtime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4"/>
          <w:shd w:fill="auto" w:val="clear"/>
        </w:rPr>
        <w:t xml:space="preserve"> aumentou 38% entre 2010 e 2016, enquanto o custo máximo reportado aumentou 81% no mesmo período. </w:t>
      </w: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prejuízos vão além do valor monetário, há danos intangíveis difíceis de serem revertidos, como por exemplo a perda de influência de vendas, a falta de confiança gerada, a perda de tempo e a redução do ritmo de trabalho. Todas essas condições somadas trazem a empresa danos tanto financeiro quanto ético, em carácter disso, torna-se essencial um sistema automatizado de controle e monitoramento de temperatura e umidade eficaz instalado adjunto ao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Construir um mecanismo de automação que possa capturar, registrar e armazenar dados sobre a temperatura e a umidade em salas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 consultá-los via web, para um monitoramento eficiente e avisos seguros, a fim de evitar falhas de funcionamento, aumentar a durabilidade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hardwares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prevenir possíveis quedas e perdas de dados, escapar de multas, erradicar o déficit financeiro e de credibilidade de alto valor ocasionadas por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downtime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minimizar prejuízos intangíveis de valor da marca. Através de diagnósticos utilizando a tecnologia de sensores de temperatura e umidade e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inovador, ajudar a identificar pontos de acesso e descobrir soluções para equilibrar o resfriamento precário ou em excesso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possibilitando atingir um maior percentual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ampliando sua vida de uso.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Website Institucional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 para login: Nessa tela o usuário poderá realizar o login na página, através de seu e-mail e senha cadastrados, para assim consultar seus dashboards. </w:t>
      </w:r>
    </w:p>
    <w:p>
      <w:pPr>
        <w:spacing w:before="40" w:after="4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 para cadastro: Essa tela consiste em capturar informações dos (clientes/usuários). Para posteriormente poderem realizar o login no website e conseguirem visualizar os dashboards.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Index/Menu: É a página inicial do site.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Contato: Estará disponível as formas de contato com nossa empresa, como telefone e e-mail.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Quem somos nós: Parte em que há a apresentação da empresa e informar a missão, visão e valores. </w:t>
      </w:r>
    </w:p>
    <w:p>
      <w:pPr>
        <w:numPr>
          <w:ilvl w:val="0"/>
          <w:numId w:val="67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Simulador Financeiro: Tela para avaliar o orçamento de acordo com as necessidades do cliente.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Serviços: Explica o funcionamento de nossos serviços junto com os planos de assinatura.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Dúvidas frequentes: Seção de perguntas e respostas sobre dúvidas sobre nosso serviço e produto.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Dashboards: O Dashboards são painéis, formados por gráficos e tabelas, em que deveram informar a temperatura (em °C) e umidade (em %), em tempo real, da sala selecionada. Além disso deverá ter uma função para a consulta de registros posteriores.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Alertas: Os alertas permitem que o usuário seja informado sobre zonas de riscos, tanto de temperatura, como de umidade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Registros dos eventos de captura: Os dados de temperatura e umidade serão capturados, através do sensor DHT11, em um intervalo mínimo de 3 segundos. 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Leitura: O código registrado no Arduino Uno processará os dados adquiridos. 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Gravação e armazenamento: Após a leitura, os dados serão gravados e armazenados em tabelas criadas no MySQL. 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Registros: Armazenará informações sobre os registros realizados pelos sensores. 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Usuários: Armazenará informações relevantes dos usuários.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Empresas: Armazenará informações relevantes das empresas-clientes.</w:t>
      </w:r>
    </w:p>
    <w:p>
      <w:pPr>
        <w:spacing w:before="40" w:after="40" w:line="240"/>
        <w:ind w:right="0" w:left="0" w:firstLine="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40" w:after="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Persistência: Os dados além de serem armazenados deverão persistir em um banco na nuvem.</w:t>
      </w: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17" w:dyaOrig="4538">
          <v:rect xmlns:o="urn:schemas-microsoft-com:office:office" xmlns:v="urn:schemas-microsoft-com:vml" id="rectole0000000003" style="width:305.850000pt;height:22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Diagrama de visão de negócio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9578" w:dyaOrig="5388">
          <v:rect xmlns:o="urn:schemas-microsoft-com:office:office" xmlns:v="urn:schemas-microsoft-com:vml" id="rectole0000000004" style="width:478.900000pt;height:26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Premissas e restrições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sala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deve possuir um sistema de refrigeração.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cliente não deve alterar o local de instalação do equipamento. 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Deverá ser utilizado o Arduíno Uno com o sensor DHT11.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orçamento deve seguir o que foi estipulado.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Arduíno deverá estar sempre ligado a corrente elétrica.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instalação do projeto é realizada em horário comercial de Segunda à Sexta.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Necessidade de licenças legais e administrativas para execução do projeto.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sensor registra os dados a cada 03 segundos.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Deverá possuir acesso à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Nós entregaremos um atendimento 24 horas por dia para qualquer eventualidade.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contratante deve disponibilizar uma equipe para treinamento durante a primeira semana de assinatura em horário comercial.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documentação do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deverá estar regularizada, sem possibilidade de atraso ou negação que possa impactar o projeto.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qualidade do servidor afeta diretamente o controle de temperatura.</w:t>
      </w:r>
    </w:p>
    <w:p>
      <w:pPr>
        <w:numPr>
          <w:ilvl w:val="0"/>
          <w:numId w:val="101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linguagem de programação utilizada deve ser padrão.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processo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(Com o Acordo de Nível de Serviço, a organização garante um padrão de priorização dos atendimentos, de acordo com a necessidade, bem como de tempo de resposta, desempenho e relatórios, reduzindo conflitos e simplificando a prestação do serviço).</w:t>
      </w: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Equipe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Jaqueline</w:t>
      </w: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Jefferson Filho</w:t>
      </w: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Lucas Bispo</w:t>
      </w: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Victor Souza</w:t>
      </w: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Yohan Hudson</w:t>
      </w:r>
    </w:p>
    <w:p>
      <w:pPr>
        <w:numPr>
          <w:ilvl w:val="0"/>
          <w:numId w:val="107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Yuri Martins</w:t>
      </w:r>
    </w:p>
    <w:p>
      <w:pPr>
        <w:spacing w:before="40" w:after="40" w:line="240"/>
        <w:ind w:right="0" w:left="720" w:firstLine="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Orçamento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2865" w:dyaOrig="1252">
          <v:rect xmlns:o="urn:schemas-microsoft-com:office:office" xmlns:v="urn:schemas-microsoft-com:vml" id="rectole0000000005" style="width:143.250000pt;height:6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4665" w:dyaOrig="2649">
          <v:rect xmlns:o="urn:schemas-microsoft-com:office:office" xmlns:v="urn:schemas-microsoft-com:vml" id="rectole0000000006" style="width:233.250000pt;height:13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32"/>
          <w:shd w:fill="auto" w:val="clear"/>
        </w:rPr>
        <w:t xml:space="preserve">Sustentação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sustentação é um dos princípios mais primordiais, porque é onde será demostrado a eficiência e segurança em nosso sistema, com isso a ligação entre nós e o cliente trará a maior confiança possível. 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os nossos serviços precisam de um funcionamento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full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teremos que nos manter sempre à disposição de nossos clientes, dispondo de tarefas de suporte para eles.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Sustentação ao serviço: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Investigar e diagnosticar incidentes.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Solucionar todos os incidentes.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Manutenção dos serviços (equipamentos, equipe e entre outros).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Monitoramento do sistema.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Segurança.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Manter atualizada a base de conhecimento com as soluções.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Sustentação ao cliente.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Suporte para devido nível de incidente.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Acompanhar todo o ciclo de vida do incidente: da abertura até o encerramento, controlando 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Monitorar a satisfação dos usuários em relação aos atendimentos.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8">
    <w:abstractNumId w:val="126"/>
  </w:num>
  <w:num w:numId="40">
    <w:abstractNumId w:val="120"/>
  </w:num>
  <w:num w:numId="42">
    <w:abstractNumId w:val="114"/>
  </w:num>
  <w:num w:numId="59">
    <w:abstractNumId w:val="108"/>
  </w:num>
  <w:num w:numId="61">
    <w:abstractNumId w:val="102"/>
  </w:num>
  <w:num w:numId="63">
    <w:abstractNumId w:val="96"/>
  </w:num>
  <w:num w:numId="65">
    <w:abstractNumId w:val="90"/>
  </w:num>
  <w:num w:numId="67">
    <w:abstractNumId w:val="84"/>
  </w:num>
  <w:num w:numId="69">
    <w:abstractNumId w:val="78"/>
  </w:num>
  <w:num w:numId="71">
    <w:abstractNumId w:val="72"/>
  </w:num>
  <w:num w:numId="73">
    <w:abstractNumId w:val="66"/>
  </w:num>
  <w:num w:numId="75">
    <w:abstractNumId w:val="60"/>
  </w:num>
  <w:num w:numId="77">
    <w:abstractNumId w:val="54"/>
  </w:num>
  <w:num w:numId="79">
    <w:abstractNumId w:val="48"/>
  </w:num>
  <w:num w:numId="81">
    <w:abstractNumId w:val="42"/>
  </w:num>
  <w:num w:numId="83">
    <w:abstractNumId w:val="36"/>
  </w:num>
  <w:num w:numId="85">
    <w:abstractNumId w:val="30"/>
  </w:num>
  <w:num w:numId="87">
    <w:abstractNumId w:val="24"/>
  </w:num>
  <w:num w:numId="89">
    <w:abstractNumId w:val="18"/>
  </w:num>
  <w:num w:numId="101">
    <w:abstractNumId w:val="12"/>
  </w:num>
  <w:num w:numId="107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