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IBM Plex Sans Condensed" w:cs="IBM Plex Sans Condensed" w:eastAsia="IBM Plex Sans Condensed" w:hAnsi="IBM Plex Sans Condensed"/>
          <w:b/>
          <w:bCs/>
          <w:color w:val="1a5490"/>
          <w:sz w:val="44"/>
          <w:szCs w:val="44"/>
        </w:rPr>
        <w:t xml:space="preserve">Platform DDL Dependencies &amp; Deployment Reference</w:t>
      </w:r>
    </w:p>
    <w:p>
      <w:pPr>
        <w:spacing w:after="60" w:before="60"/>
        <w:rPr>
          <w:i/>
          <w:iCs/>
          <w:color w:val="666666"/>
        </w:rPr>
      </w:pPr>
      <w:r>
        <w:rPr>
          <w:rFonts w:ascii="IBM Plex Sans Condensed" w:cs="IBM Plex Sans Condensed" w:eastAsia="IBM Plex Sans Condensed" w:hAnsi="IBM Plex Sans Condensed"/>
          <w:i/>
          <w:iCs/>
          <w:color w:val="666666"/>
          <w:sz w:val="20"/>
          <w:szCs w:val="20"/>
        </w:rPr>
        <w:t xml:space="preserve">FinOps Agentic Platform — 260 tables across 24 migrations</w:t>
      </w:r>
    </w:p>
    <w:p>
      <w:pPr>
        <w:pStyle w:val="Heading1"/>
        <w:spacing w:after="180" w:before="360"/>
      </w:pPr>
      <w:r>
        <w:rPr>
          <w:rFonts w:ascii="IBM Plex Sans Condensed" w:cs="IBM Plex Sans Condensed" w:eastAsia="IBM Plex Sans Condensed" w:hAnsi="IBM Plex Sans Condensed"/>
          <w:b/>
          <w:bCs/>
          <w:color w:val="1a5490"/>
          <w:sz w:val="36"/>
          <w:szCs w:val="36"/>
        </w:rPr>
        <w:t xml:space="preserve">1. Executive Summary</w:t>
      </w:r>
    </w:p>
    <w:p>
      <w:pPr>
        <w:spacing w:after="60" w:before="60"/>
      </w:pPr>
      <w:r>
        <w:rPr>
          <w:rFonts w:ascii="IBM Plex Sans Condensed" w:cs="IBM Plex Sans Condensed" w:eastAsia="IBM Plex Sans Condensed" w:hAnsi="IBM Plex Sans Condensed"/>
          <w:color w:val="1a1a1a"/>
          <w:sz w:val="20"/>
          <w:szCs w:val="20"/>
        </w:rPr>
        <w:t xml:space="preserve">The platform DDL spans 24 numbered migration files (V001 through V024) totalling 260 tables, approximately 160 enums, 630 indexes, 145 row-level security policies, and 12 partitioned tables for time-series scale. This document catalogues the dependencies between migrations, identifies the critical FK target tables, explains shared enum reuse patterns, and provides a deployment order procedure.</w:t>
      </w:r>
    </w:p>
    <w:p>
      <w:pPr>
        <w:spacing w:after="60" w:before="60"/>
      </w:pPr>
      <w:r>
        <w:rPr>
          <w:rFonts w:ascii="IBM Plex Sans Condensed" w:cs="IBM Plex Sans Condensed" w:eastAsia="IBM Plex Sans Condensed" w:hAnsi="IBM Plex Sans Condensed"/>
          <w:color w:val="1a1a1a"/>
          <w:sz w:val="20"/>
          <w:szCs w:val="20"/>
        </w:rPr>
        <w:t xml:space="preserve">The migration set is not a flat sequence — it has three foundational pivots that must be applied in specific order:</w:t>
      </w:r>
    </w:p>
    <w:p>
      <w:pPr>
        <w:pStyle w:val="ListParagraph"/>
        <w:numPr>
          <w:ilvl w:val="0"/>
          <w:numId w:val="2"/>
        </w:numPr>
        <w:spacing w:after="40" w:before="40"/>
      </w:pPr>
      <w:r>
        <w:rPr>
          <w:rFonts w:ascii="IBM Plex Sans Condensed" w:cs="IBM Plex Sans Condensed" w:eastAsia="IBM Plex Sans Condensed" w:hAnsi="IBM Plex Sans Condensed"/>
          <w:color w:val="1a1a1a"/>
          <w:sz w:val="20"/>
          <w:szCs w:val="20"/>
        </w:rPr>
        <w:t xml:space="preserve">V006 introduces ref_currency, the FK target for every monetary amount column across the remaining 247 tables.</w:t>
      </w:r>
    </w:p>
    <w:p>
      <w:pPr>
        <w:pStyle w:val="ListParagraph"/>
        <w:numPr>
          <w:ilvl w:val="0"/>
          <w:numId w:val="2"/>
        </w:numPr>
        <w:spacing w:after="40" w:before="40"/>
      </w:pPr>
      <w:r>
        <w:rPr>
          <w:rFonts w:ascii="IBM Plex Sans Condensed" w:cs="IBM Plex Sans Condensed" w:eastAsia="IBM Plex Sans Condensed" w:hAnsi="IBM Plex Sans Condensed"/>
          <w:color w:val="1a1a1a"/>
          <w:sz w:val="20"/>
          <w:szCs w:val="20"/>
        </w:rPr>
        <w:t xml:space="preserve">V010 introduces tenant, auth_user, and agent_identity — the canonical FK targets for every tenant_id, user_id, and agent_id column used by every table in the platform.</w:t>
      </w:r>
    </w:p>
    <w:p>
      <w:pPr>
        <w:pStyle w:val="ListParagraph"/>
        <w:numPr>
          <w:ilvl w:val="0"/>
          <w:numId w:val="2"/>
        </w:numPr>
        <w:spacing w:after="40" w:before="40"/>
      </w:pPr>
      <w:r>
        <w:rPr>
          <w:rFonts w:ascii="IBM Plex Sans Condensed" w:cs="IBM Plex Sans Condensed" w:eastAsia="IBM Plex Sans Condensed" w:hAnsi="IBM Plex Sans Condensed"/>
          <w:color w:val="1a1a1a"/>
          <w:sz w:val="20"/>
          <w:szCs w:val="20"/>
        </w:rPr>
        <w:t xml:space="preserve">V011 backfills FK constraints from V001-V009 tables to the V010 foundation, closing a referential integrity gap that accumulated during Seed development.</w:t>
      </w:r>
    </w:p>
    <w:p>
      <w:pPr>
        <w:spacing w:after="60" w:before="60"/>
      </w:pPr>
      <w:r>
        <w:rPr>
          <w:rFonts w:ascii="IBM Plex Sans Condensed" w:cs="IBM Plex Sans Condensed" w:eastAsia="IBM Plex Sans Condensed" w:hAnsi="IBM Plex Sans Condensed"/>
          <w:color w:val="1a1a1a"/>
          <w:sz w:val="20"/>
          <w:szCs w:val="20"/>
        </w:rPr>
        <w:t xml:space="preserve">Everything else in the migration set depends on one or both of these foundational migrations. The sections that follow map the complete dependency graph and explain the deployment procedure.</w:t>
      </w:r>
    </w:p>
    <w:p>
      <w:pPr>
        <w:pStyle w:val="Heading1"/>
        <w:spacing w:after="180" w:before="360"/>
      </w:pPr>
      <w:r>
        <w:rPr>
          <w:rFonts w:ascii="IBM Plex Sans Condensed" w:cs="IBM Plex Sans Condensed" w:eastAsia="IBM Plex Sans Condensed" w:hAnsi="IBM Plex Sans Condensed"/>
          <w:b/>
          <w:bCs/>
          <w:color w:val="1a5490"/>
          <w:sz w:val="36"/>
          <w:szCs w:val="36"/>
        </w:rPr>
        <w:t xml:space="preserve">2. Migration Dependency Matrix</w:t>
      </w:r>
    </w:p>
    <w:p>
      <w:pPr>
        <w:spacing w:after="60" w:before="60"/>
      </w:pPr>
      <w:r>
        <w:rPr>
          <w:rFonts w:ascii="IBM Plex Sans Condensed" w:cs="IBM Plex Sans Condensed" w:eastAsia="IBM Plex Sans Condensed" w:hAnsi="IBM Plex Sans Condensed"/>
          <w:color w:val="1a1a1a"/>
          <w:sz w:val="20"/>
          <w:szCs w:val="20"/>
        </w:rPr>
        <w:t xml:space="preserve">Each row shows a migration, the agents or domains it covers, its direct dependencies on prior migrations, and the critical FK targets it references. Dashed dependencies indicate shared enum references rather than table-level FKs.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900"/>
        <w:gridCol w:w="1800"/>
        <w:gridCol w:w="2760"/>
      </w:tblGrid>
      <w:tr>
        <w:tc>
          <w:tcPr>
            <w:tcW w:type="dxa" w:w="7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IBM Plex Sans Condensed" w:cs="IBM Plex Sans Condensed" w:eastAsia="IBM Plex Sans Condensed" w:hAnsi="IBM Plex Sans Condensed"/>
                <w:b/>
                <w:bCs/>
                <w:color w:val="1a1a1a"/>
                <w:sz w:val="18"/>
                <w:szCs w:val="18"/>
              </w:rPr>
              <w:t xml:space="preserve">ID</w:t>
            </w:r>
          </w:p>
        </w:tc>
        <w:tc>
          <w:tcPr>
            <w:tcW w:type="dxa" w:w="3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IBM Plex Sans Condensed" w:cs="IBM Plex Sans Condensed" w:eastAsia="IBM Plex Sans Condensed" w:hAnsi="IBM Plex Sans Condensed"/>
                <w:b/>
                <w:bCs/>
                <w:color w:val="1a1a1a"/>
                <w:sz w:val="18"/>
                <w:szCs w:val="18"/>
              </w:rPr>
              <w:t xml:space="preserve">Scope</w:t>
            </w:r>
          </w:p>
        </w:tc>
        <w:tc>
          <w:tcPr>
            <w:tcW w:type="dxa" w:w="9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IBM Plex Sans Condensed" w:cs="IBM Plex Sans Condensed" w:eastAsia="IBM Plex Sans Condensed" w:hAnsi="IBM Plex Sans Condensed"/>
                <w:b/>
                <w:bCs/>
                <w:color w:val="1a1a1a"/>
                <w:sz w:val="18"/>
                <w:szCs w:val="18"/>
              </w:rPr>
              <w:t xml:space="preserve">Tables</w:t>
            </w:r>
          </w:p>
        </w:tc>
        <w:tc>
          <w:tcPr>
            <w:tcW w:type="dxa" w:w="1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IBM Plex Sans Condensed" w:cs="IBM Plex Sans Condensed" w:eastAsia="IBM Plex Sans Condensed" w:hAnsi="IBM Plex Sans Condensed"/>
                <w:b/>
                <w:bCs/>
                <w:color w:val="1a1a1a"/>
                <w:sz w:val="18"/>
                <w:szCs w:val="18"/>
              </w:rPr>
              <w:t xml:space="preserve">Depends On</w:t>
            </w:r>
          </w:p>
        </w:tc>
        <w:tc>
          <w:tcPr>
            <w:tcW w:type="dxa" w:w="27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IBM Plex Sans Condensed" w:cs="IBM Plex Sans Condensed" w:eastAsia="IBM Plex Sans Condensed" w:hAnsi="IBM Plex Sans Condensed"/>
                <w:b/>
                <w:bCs/>
                <w:color w:val="1a1a1a"/>
                <w:sz w:val="18"/>
                <w:szCs w:val="18"/>
              </w:rPr>
              <w:t xml:space="preserve">Key Prior References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A01 Ingestion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A02 Normalization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V001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raw_cost_record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A03 Allocation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V002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normalized_cost_record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A04 Reporting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V003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allocated_cost_record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A05 Anomaly Detection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V003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allocated_cost_record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V006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MTR-01 Metering Foundation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Introduces ref_currency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V007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ME-01 Self-Managing Metering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V006</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ref_currency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V008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BE-01 Billing Part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V006, V007</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ref_currency, AAR from V006</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V009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BE-01 Billing Part 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V008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be_subscription, be_invoice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MT-01/A31 Foundation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V006</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Introduces tenant, auth_user, agent_identity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FK Backfill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0 (75 FKs)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V010 + seed data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V001-V009 all reference V010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Wave 2a: A06, A07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tenant, auth_user, ref_currency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Wave 2b: A08, A09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tenant, auth_user, ref_currency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Wave 2c: A20, A23, A24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Introduces gov_severity, gov_policy_scope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Wave 3a: A11-A13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V010, V014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Introduces opt_* enum family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Wave 3b: A14-A16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V010, V014, V015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gov_severity, opt_*</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Wave 3c: A17-A19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V010, V014, V015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gov_severity, opt_*</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Wave 4a: A22, A25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V010, V015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opt_priority_tier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Wave 4b: A28-A30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V010, V014, V015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gov_severity, opt_*, agent_autonomy_level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V020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Wave 4c: A26, A32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V010, V012, V014, V019</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forecast_drift_severity, gov_severity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V021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Wave 5a: AP-01 Notify/Integrate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V010, V014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gov_severity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V022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Wave 5b: AP-01 Flags/Support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V010, V014, V015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gov_severity, opt_priority_tier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V023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Wave 5c: AP-01 Lifecycle/Audit/DSR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V010, V014, V015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gov_severity, opt_priority_tier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V024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A21 Assessment Agent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V010, V013, V015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bm_peer_cohort, opt_*</w:t>
            </w:r>
          </w:p>
        </w:tc>
      </w:tr>
    </w:tbl>
    <w:p>
      <w:pPr>
        <w:pStyle w:val="Heading1"/>
        <w:spacing w:after="180" w:before="360"/>
      </w:pPr>
      <w:r>
        <w:rPr>
          <w:rFonts w:ascii="IBM Plex Sans Condensed" w:cs="IBM Plex Sans Condensed" w:eastAsia="IBM Plex Sans Condensed" w:hAnsi="IBM Plex Sans Condensed"/>
          <w:b/>
          <w:bCs/>
          <w:color w:val="1a5490"/>
          <w:sz w:val="36"/>
          <w:szCs w:val="36"/>
        </w:rPr>
        <w:t xml:space="preserve">3. Canonical FK Target Tables</w:t>
      </w:r>
    </w:p>
    <w:p>
      <w:pPr>
        <w:spacing w:after="60" w:before="60"/>
      </w:pPr>
      <w:r>
        <w:rPr>
          <w:rFonts w:ascii="IBM Plex Sans Condensed" w:cs="IBM Plex Sans Condensed" w:eastAsia="IBM Plex Sans Condensed" w:hAnsi="IBM Plex Sans Condensed"/>
          <w:color w:val="1a1a1a"/>
          <w:sz w:val="20"/>
          <w:szCs w:val="20"/>
        </w:rPr>
        <w:t xml:space="preserve">Five tables across the platform serve as FK targets for large numbers of columns. Any plan to modify these tables must consider the downstream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3760"/>
      </w:tblGrid>
      <w:tr>
        <w:tc>
          <w:tcPr>
            <w:tcW w:type="dxa" w:w="26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IBM Plex Sans Condensed" w:cs="IBM Plex Sans Condensed" w:eastAsia="IBM Plex Sans Condensed" w:hAnsi="IBM Plex Sans Condensed"/>
                <w:b/>
                <w:bCs/>
                <w:color w:val="1a1a1a"/>
                <w:sz w:val="18"/>
                <w:szCs w:val="18"/>
              </w:rPr>
              <w:t xml:space="preserve">Target</w:t>
            </w:r>
          </w:p>
        </w:tc>
        <w:tc>
          <w:tcPr>
            <w:tcW w:type="dxa" w:w="1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IBM Plex Sans Condensed" w:cs="IBM Plex Sans Condensed" w:eastAsia="IBM Plex Sans Condensed" w:hAnsi="IBM Plex Sans Condensed"/>
                <w:b/>
                <w:bCs/>
                <w:color w:val="1a1a1a"/>
                <w:sz w:val="18"/>
                <w:szCs w:val="18"/>
              </w:rPr>
              <w:t xml:space="preserve">Defined In</w:t>
            </w:r>
          </w:p>
        </w:tc>
        <w:tc>
          <w:tcPr>
            <w:tcW w:type="dxa" w:w="16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IBM Plex Sans Condensed" w:cs="IBM Plex Sans Condensed" w:eastAsia="IBM Plex Sans Condensed" w:hAnsi="IBM Plex Sans Condensed"/>
                <w:b/>
                <w:bCs/>
                <w:color w:val="1a1a1a"/>
                <w:sz w:val="18"/>
                <w:szCs w:val="18"/>
              </w:rPr>
              <w:t xml:space="preserve">Referenced By</w:t>
            </w:r>
          </w:p>
        </w:tc>
        <w:tc>
          <w:tcPr>
            <w:tcW w:type="dxa" w:w="37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IBM Plex Sans Condensed" w:cs="IBM Plex Sans Condensed" w:eastAsia="IBM Plex Sans Condensed" w:hAnsi="IBM Plex Sans Condensed"/>
                <w:b/>
                <w:bCs/>
                <w:color w:val="1a1a1a"/>
                <w:sz w:val="18"/>
                <w:szCs w:val="18"/>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tenant.tenant_id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~185 tables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Every tenant-scoped table FKs here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auth_user.user_id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~145 tables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Every audit column (created_by, approved_by, etc.)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agent_identity.agent_id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~28 tables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Agent-produced records and signed actions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auth_role.role_id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~12 tables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RBAC bindings, approver role lists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ref_currency.currency_id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V006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~112 tables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Paired with every monetary amount column</w:t>
            </w:r>
          </w:p>
        </w:tc>
      </w:tr>
    </w:tbl>
    <w:p>
      <w:pPr>
        <w:pStyle w:val="Heading1"/>
        <w:spacing w:after="180" w:before="360"/>
      </w:pPr>
      <w:r>
        <w:rPr>
          <w:rFonts w:ascii="IBM Plex Sans Condensed" w:cs="IBM Plex Sans Condensed" w:eastAsia="IBM Plex Sans Condensed" w:hAnsi="IBM Plex Sans Condensed"/>
          <w:b/>
          <w:bCs/>
          <w:color w:val="1a5490"/>
          <w:sz w:val="36"/>
          <w:szCs w:val="36"/>
        </w:rPr>
        <w:t xml:space="preserve">4. Shared Enum Reuse Patterns</w:t>
      </w:r>
    </w:p>
    <w:p>
      <w:pPr>
        <w:spacing w:after="60" w:before="60"/>
      </w:pPr>
      <w:r>
        <w:rPr>
          <w:rFonts w:ascii="IBM Plex Sans Condensed" w:cs="IBM Plex Sans Condensed" w:eastAsia="IBM Plex Sans Condensed" w:hAnsi="IBM Plex Sans Condensed"/>
          <w:color w:val="1a1a1a"/>
          <w:sz w:val="20"/>
          <w:szCs w:val="20"/>
        </w:rPr>
        <w:t xml:space="preserve">Eight enums are defined in one migration and reused across many others. This prevents type proliferation (no gov_severity_v2 or opt_confidence_level_billing) and ensures consistent semantics across agents.</w:t>
      </w:r>
    </w:p>
    <w:p>
      <w:pPr>
        <w:pStyle w:val="Heading3"/>
        <w:spacing w:after="100" w:before="200"/>
      </w:pPr>
      <w:r>
        <w:rPr>
          <w:rFonts w:ascii="IBM Plex Sans Condensed" w:cs="IBM Plex Sans Condensed" w:eastAsia="IBM Plex Sans Condensed" w:hAnsi="IBM Plex Sans Condensed"/>
          <w:b/>
          <w:bCs/>
          <w:color w:val="b7791f"/>
          <w:sz w:val="24"/>
          <w:szCs w:val="24"/>
        </w:rPr>
        <w:t xml:space="preserve">gov_severity (V014)</w:t>
      </w:r>
    </w:p>
    <w:p>
      <w:pPr>
        <w:spacing w:after="60" w:before="60"/>
      </w:pPr>
      <w:r>
        <w:rPr>
          <w:rFonts w:ascii="IBM Plex Sans Condensed" w:cs="IBM Plex Sans Condensed" w:eastAsia="IBM Plex Sans Condensed" w:hAnsi="IBM Plex Sans Condensed"/>
          <w:color w:val="1a1a1a"/>
          <w:sz w:val="20"/>
          <w:szCs w:val="20"/>
        </w:rPr>
        <w:t xml:space="preserve">Five-value severity scale (Informational / Low / Medium / High / Critical) reused by V015 through V023. Used on findings, violations, conflicts, and alerts across every Optimize, Manage, and Admin Portal table.</w:t>
      </w:r>
    </w:p>
    <w:p>
      <w:pPr>
        <w:pStyle w:val="Heading3"/>
        <w:spacing w:after="100" w:before="200"/>
      </w:pPr>
      <w:r>
        <w:rPr>
          <w:rFonts w:ascii="IBM Plex Sans Condensed" w:cs="IBM Plex Sans Condensed" w:eastAsia="IBM Plex Sans Condensed" w:hAnsi="IBM Plex Sans Condensed"/>
          <w:b/>
          <w:bCs/>
          <w:color w:val="b7791f"/>
          <w:sz w:val="24"/>
          <w:szCs w:val="24"/>
        </w:rPr>
        <w:t xml:space="preserve">opt_recommendation_status (V015)</w:t>
      </w:r>
    </w:p>
    <w:p>
      <w:pPr>
        <w:spacing w:after="60" w:before="60"/>
      </w:pPr>
      <w:r>
        <w:rPr>
          <w:rFonts w:ascii="IBM Plex Sans Condensed" w:cs="IBM Plex Sans Condensed" w:eastAsia="IBM Plex Sans Condensed" w:hAnsi="IBM Plex Sans Condensed"/>
          <w:color w:val="1a1a1a"/>
          <w:sz w:val="20"/>
          <w:szCs w:val="20"/>
        </w:rPr>
        <w:t xml:space="preserve">Nine-value lifecycle enum (Draft / Pending_Review / Approved / Rejected / In_Execution / Executed / Reverted / Superseded / Expired) reused by all 9 Optimize agents plus A22 Chargeback in V018. Enables a single UI pattern for the recommendation review queue across agents.</w:t>
      </w:r>
    </w:p>
    <w:p>
      <w:pPr>
        <w:pStyle w:val="Heading3"/>
        <w:spacing w:after="100" w:before="200"/>
      </w:pPr>
      <w:r>
        <w:rPr>
          <w:rFonts w:ascii="IBM Plex Sans Condensed" w:cs="IBM Plex Sans Condensed" w:eastAsia="IBM Plex Sans Condensed" w:hAnsi="IBM Plex Sans Condensed"/>
          <w:b/>
          <w:bCs/>
          <w:color w:val="b7791f"/>
          <w:sz w:val="24"/>
          <w:szCs w:val="24"/>
        </w:rPr>
        <w:t xml:space="preserve">opt_confidence_level + opt_priority_tier (V015)</w:t>
      </w:r>
    </w:p>
    <w:p>
      <w:pPr>
        <w:spacing w:after="60" w:before="60"/>
      </w:pPr>
      <w:r>
        <w:rPr>
          <w:rFonts w:ascii="IBM Plex Sans Condensed" w:cs="IBM Plex Sans Condensed" w:eastAsia="IBM Plex Sans Condensed" w:hAnsi="IBM Plex Sans Condensed"/>
          <w:color w:val="1a1a1a"/>
          <w:sz w:val="20"/>
          <w:szCs w:val="20"/>
        </w:rPr>
        <w:t xml:space="preserve">Four-value confidence (Low / Medium / High / Very_High) and five-value priority (P1_Critical / P2_High / P3_Medium / P4_Low / P5_Backlog) reused across V016, V017, V018, V019, V020, V021, V022, V023, V024 — effectively every recommendation-producing entity in the platform.</w:t>
      </w:r>
    </w:p>
    <w:p>
      <w:pPr>
        <w:pStyle w:val="Heading3"/>
        <w:spacing w:after="100" w:before="200"/>
      </w:pPr>
      <w:r>
        <w:rPr>
          <w:rFonts w:ascii="IBM Plex Sans Condensed" w:cs="IBM Plex Sans Condensed" w:eastAsia="IBM Plex Sans Condensed" w:hAnsi="IBM Plex Sans Condensed"/>
          <w:b/>
          <w:bCs/>
          <w:color w:val="b7791f"/>
          <w:sz w:val="24"/>
          <w:szCs w:val="24"/>
        </w:rPr>
        <w:t xml:space="preserve">agent_autonomy_level (V010)</w:t>
      </w:r>
    </w:p>
    <w:p>
      <w:pPr>
        <w:spacing w:after="60" w:before="60"/>
      </w:pPr>
      <w:r>
        <w:rPr>
          <w:rFonts w:ascii="IBM Plex Sans Condensed" w:cs="IBM Plex Sans Condensed" w:eastAsia="IBM Plex Sans Condensed" w:hAnsi="IBM Plex Sans Condensed"/>
          <w:color w:val="1a1a1a"/>
          <w:sz w:val="20"/>
          <w:szCs w:val="20"/>
        </w:rPr>
        <w:t xml:space="preserve">Five-value autonomy enum (L0_Observer / L1_Suggest / L2_Approve_To_Act / L3_Act_With_Notify / L4_Fully_Autonomous) referenced by A29 Explainability (V019) and A32 Continuous Learning (V020) to record the autonomy tier at which actions were taken.</w:t>
      </w:r>
    </w:p>
    <w:p>
      <w:r>
        <w:br w:type="page"/>
      </w:r>
    </w:p>
    <w:p>
      <w:pPr>
        <w:pStyle w:val="Heading1"/>
        <w:spacing w:after="180" w:before="360"/>
      </w:pPr>
      <w:r>
        <w:rPr>
          <w:rFonts w:ascii="IBM Plex Sans Condensed" w:cs="IBM Plex Sans Condensed" w:eastAsia="IBM Plex Sans Condensed" w:hAnsi="IBM Plex Sans Condensed"/>
          <w:b/>
          <w:bCs/>
          <w:color w:val="1a5490"/>
          <w:sz w:val="36"/>
          <w:szCs w:val="36"/>
        </w:rPr>
        <w:t xml:space="preserve">5. Deployment Procedure</w:t>
      </w:r>
    </w:p>
    <w:p>
      <w:pPr>
        <w:spacing w:after="60" w:before="60"/>
      </w:pPr>
      <w:r>
        <w:rPr>
          <w:rFonts w:ascii="IBM Plex Sans Condensed" w:cs="IBM Plex Sans Condensed" w:eastAsia="IBM Plex Sans Condensed" w:hAnsi="IBM Plex Sans Condensed"/>
          <w:color w:val="1a1a1a"/>
          <w:sz w:val="20"/>
          <w:szCs w:val="20"/>
        </w:rPr>
        <w:t xml:space="preserve">The migrations cannot all be applied sequentially without intervention. Specifically, V011 requires seed data to be populated between V010's application and V011's FK constraint validation. Use this procedure:</w:t>
      </w:r>
    </w:p>
    <w:p>
      <w:pPr>
        <w:pStyle w:val="Heading2"/>
        <w:spacing w:after="140" w:before="280"/>
      </w:pPr>
      <w:r>
        <w:rPr>
          <w:rFonts w:ascii="IBM Plex Sans Condensed" w:cs="IBM Plex Sans Condensed" w:eastAsia="IBM Plex Sans Condensed" w:hAnsi="IBM Plex Sans Condensed"/>
          <w:b/>
          <w:bCs/>
          <w:color w:val="1a5490"/>
          <w:sz w:val="28"/>
          <w:szCs w:val="28"/>
        </w:rPr>
        <w:t xml:space="preserve">Phase 1 — Apply core foundation migrations</w:t>
      </w:r>
    </w:p>
    <w:p>
      <w:pPr>
        <w:spacing w:after="60" w:before="60"/>
      </w:pPr>
      <w:r>
        <w:rPr>
          <w:rFonts w:ascii="IBM Plex Sans Condensed" w:cs="IBM Plex Sans Condensed" w:eastAsia="IBM Plex Sans Condensed" w:hAnsi="IBM Plex Sans Condensed"/>
          <w:color w:val="1a1a1a"/>
          <w:sz w:val="20"/>
          <w:szCs w:val="20"/>
        </w:rPr>
        <w:t xml:space="preserve">Apply in numerical order:</w:t>
      </w:r>
    </w:p>
    <w:p>
      <w:pPr>
        <w:spacing w:after="60" w:before="60"/>
      </w:pPr>
      <w:r>
        <w:rPr>
          <w:rFonts w:ascii="Consolas" w:cs="Consolas" w:eastAsia="Consolas" w:hAnsi="Consolas"/>
          <w:color w:val="922b21"/>
          <w:sz w:val="18"/>
          <w:szCs w:val="18"/>
        </w:rPr>
        <w:t xml:space="preserve">V001 → V002 → V003 → V004 → V005  (Seed agents)</w:t>
      </w:r>
    </w:p>
    <w:p>
      <w:pPr>
        <w:spacing w:after="60" w:before="60"/>
      </w:pPr>
      <w:r>
        <w:rPr>
          <w:rFonts w:ascii="Consolas" w:cs="Consolas" w:eastAsia="Consolas" w:hAnsi="Consolas"/>
          <w:color w:val="922b21"/>
          <w:sz w:val="18"/>
          <w:szCs w:val="18"/>
        </w:rPr>
        <w:t xml:space="preserve">V006 → V007 → V008 → V009            (Metering + Billing)</w:t>
      </w:r>
    </w:p>
    <w:p>
      <w:pPr>
        <w:spacing w:after="60" w:before="60"/>
      </w:pPr>
      <w:r>
        <w:rPr>
          <w:rFonts w:ascii="Consolas" w:cs="Consolas" w:eastAsia="Consolas" w:hAnsi="Consolas"/>
          <w:color w:val="922b21"/>
          <w:sz w:val="18"/>
          <w:szCs w:val="18"/>
        </w:rPr>
        <w:t xml:space="preserve">V010                                  (Foundation tables, empty)</w:t>
      </w:r>
    </w:p>
    <w:p>
      <w:pPr>
        <w:pStyle w:val="Heading2"/>
        <w:spacing w:after="140" w:before="280"/>
      </w:pPr>
      <w:r>
        <w:rPr>
          <w:rFonts w:ascii="IBM Plex Sans Condensed" w:cs="IBM Plex Sans Condensed" w:eastAsia="IBM Plex Sans Condensed" w:hAnsi="IBM Plex Sans Condensed"/>
          <w:b/>
          <w:bCs/>
          <w:color w:val="1a5490"/>
          <w:sz w:val="28"/>
          <w:szCs w:val="28"/>
        </w:rPr>
        <w:t xml:space="preserve">Phase 2 — Seed the foundation tables</w:t>
      </w:r>
    </w:p>
    <w:p>
      <w:pPr>
        <w:spacing w:after="60" w:before="60"/>
      </w:pPr>
      <w:r>
        <w:rPr>
          <w:rFonts w:ascii="IBM Plex Sans Condensed" w:cs="IBM Plex Sans Condensed" w:eastAsia="IBM Plex Sans Condensed" w:hAnsi="IBM Plex Sans Condensed"/>
          <w:color w:val="1a1a1a"/>
          <w:sz w:val="20"/>
          <w:szCs w:val="20"/>
        </w:rPr>
        <w:t xml:space="preserve">Before V011 can run, the foundation tables must contain records matching UUIDs already present in V001-V009 data. Populate in this order:</w:t>
      </w:r>
    </w:p>
    <w:p>
      <w:pPr>
        <w:pStyle w:val="ListParagraph"/>
        <w:numPr>
          <w:ilvl w:val="0"/>
          <w:numId w:val="2"/>
        </w:numPr>
        <w:spacing w:after="40" w:before="40"/>
      </w:pPr>
      <w:r>
        <w:rPr>
          <w:rFonts w:ascii="IBM Plex Sans Condensed" w:cs="IBM Plex Sans Condensed" w:eastAsia="IBM Plex Sans Condensed" w:hAnsi="IBM Plex Sans Condensed"/>
          <w:color w:val="1a1a1a"/>
          <w:sz w:val="20"/>
          <w:szCs w:val="20"/>
        </w:rPr>
        <w:t xml:space="preserve">ref_currency: Seed with ISO 4217 codes (AED, USD, EUR, GBP, etc.) — must include every currency_id UUID referenced in V006-V009 data.</w:t>
      </w:r>
    </w:p>
    <w:p>
      <w:pPr>
        <w:pStyle w:val="ListParagraph"/>
        <w:numPr>
          <w:ilvl w:val="0"/>
          <w:numId w:val="2"/>
        </w:numPr>
        <w:spacing w:after="40" w:before="40"/>
      </w:pPr>
      <w:r>
        <w:rPr>
          <w:rFonts w:ascii="IBM Plex Sans Condensed" w:cs="IBM Plex Sans Condensed" w:eastAsia="IBM Plex Sans Condensed" w:hAnsi="IBM Plex Sans Condensed"/>
          <w:color w:val="1a1a1a"/>
          <w:sz w:val="20"/>
          <w:szCs w:val="20"/>
        </w:rPr>
        <w:t xml:space="preserve">tenant_tier: Seed with deployment-specific tier definitions. Tier names are not hardcoded — they are data.</w:t>
      </w:r>
    </w:p>
    <w:p>
      <w:pPr>
        <w:pStyle w:val="ListParagraph"/>
        <w:numPr>
          <w:ilvl w:val="0"/>
          <w:numId w:val="2"/>
        </w:numPr>
        <w:spacing w:after="40" w:before="40"/>
      </w:pPr>
      <w:r>
        <w:rPr>
          <w:rFonts w:ascii="IBM Plex Sans Condensed" w:cs="IBM Plex Sans Condensed" w:eastAsia="IBM Plex Sans Condensed" w:hAnsi="IBM Plex Sans Condensed"/>
          <w:color w:val="1a1a1a"/>
          <w:sz w:val="20"/>
          <w:szCs w:val="20"/>
        </w:rPr>
        <w:t xml:space="preserve">tenant: Seed with UUIDs matching every tenant_id value in V001-V009 data. The legal_name, display_name, and other columns can be placeholder values initially.</w:t>
      </w:r>
    </w:p>
    <w:p>
      <w:pPr>
        <w:pStyle w:val="ListParagraph"/>
        <w:numPr>
          <w:ilvl w:val="0"/>
          <w:numId w:val="2"/>
        </w:numPr>
        <w:spacing w:after="40" w:before="40"/>
      </w:pPr>
      <w:r>
        <w:rPr>
          <w:rFonts w:ascii="IBM Plex Sans Condensed" w:cs="IBM Plex Sans Condensed" w:eastAsia="IBM Plex Sans Condensed" w:hAnsi="IBM Plex Sans Condensed"/>
          <w:color w:val="1a1a1a"/>
          <w:sz w:val="20"/>
          <w:szCs w:val="20"/>
        </w:rPr>
        <w:t xml:space="preserve">auth_user: Seed with UUIDs matching every created_by, approved_by, last_modified_by value across V001-V009.</w:t>
      </w:r>
    </w:p>
    <w:p>
      <w:pPr>
        <w:pStyle w:val="ListParagraph"/>
        <w:numPr>
          <w:ilvl w:val="0"/>
          <w:numId w:val="2"/>
        </w:numPr>
        <w:spacing w:after="40" w:before="40"/>
      </w:pPr>
      <w:r>
        <w:rPr>
          <w:rFonts w:ascii="IBM Plex Sans Condensed" w:cs="IBM Plex Sans Condensed" w:eastAsia="IBM Plex Sans Condensed" w:hAnsi="IBM Plex Sans Condensed"/>
          <w:color w:val="1a1a1a"/>
          <w:sz w:val="20"/>
          <w:szCs w:val="20"/>
        </w:rPr>
        <w:t xml:space="preserve">agent_identity: Seed with UUIDs matching every agent_id value in V001-V009 data.</w:t>
      </w:r>
    </w:p>
    <w:p>
      <w:pPr>
        <w:pStyle w:val="Heading2"/>
        <w:spacing w:after="140" w:before="280"/>
      </w:pPr>
      <w:r>
        <w:rPr>
          <w:rFonts w:ascii="IBM Plex Sans Condensed" w:cs="IBM Plex Sans Condensed" w:eastAsia="IBM Plex Sans Condensed" w:hAnsi="IBM Plex Sans Condensed"/>
          <w:b/>
          <w:bCs/>
          <w:color w:val="1a5490"/>
          <w:sz w:val="28"/>
          <w:szCs w:val="28"/>
        </w:rPr>
        <w:t xml:space="preserve">Phase 3 — Apply FK backfill</w:t>
      </w:r>
    </w:p>
    <w:p>
      <w:pPr>
        <w:spacing w:after="60" w:before="60"/>
      </w:pPr>
      <w:r>
        <w:rPr>
          <w:rFonts w:ascii="Consolas" w:cs="Consolas" w:eastAsia="Consolas" w:hAnsi="Consolas"/>
          <w:color w:val="922b21"/>
          <w:sz w:val="18"/>
          <w:szCs w:val="18"/>
        </w:rPr>
        <w:t xml:space="preserve">V011                                  (FK constraints added)</w:t>
      </w:r>
    </w:p>
    <w:p>
      <w:pPr>
        <w:spacing w:after="60" w:before="60"/>
      </w:pPr>
      <w:r>
        <w:rPr>
          <w:rFonts w:ascii="IBM Plex Sans Condensed" w:cs="IBM Plex Sans Condensed" w:eastAsia="IBM Plex Sans Condensed" w:hAnsi="IBM Plex Sans Condensed"/>
          <w:color w:val="1a1a1a"/>
          <w:sz w:val="20"/>
          <w:szCs w:val="20"/>
        </w:rPr>
        <w:t xml:space="preserve">This will fail if Phase 2 seed data is incomplete. The error message will identify the specific FK violation, allowing targeted seed data correction.</w:t>
      </w:r>
    </w:p>
    <w:p>
      <w:pPr>
        <w:pStyle w:val="Heading2"/>
        <w:spacing w:after="140" w:before="280"/>
      </w:pPr>
      <w:r>
        <w:rPr>
          <w:rFonts w:ascii="IBM Plex Sans Condensed" w:cs="IBM Plex Sans Condensed" w:eastAsia="IBM Plex Sans Condensed" w:hAnsi="IBM Plex Sans Condensed"/>
          <w:b/>
          <w:bCs/>
          <w:color w:val="1a5490"/>
          <w:sz w:val="28"/>
          <w:szCs w:val="28"/>
        </w:rPr>
        <w:t xml:space="preserve">Phase 4 — Apply remaining migrations</w:t>
      </w:r>
    </w:p>
    <w:p>
      <w:pPr>
        <w:spacing w:after="60" w:before="60"/>
      </w:pPr>
      <w:r>
        <w:rPr>
          <w:rFonts w:ascii="IBM Plex Sans Condensed" w:cs="IBM Plex Sans Condensed" w:eastAsia="IBM Plex Sans Condensed" w:hAnsi="IBM Plex Sans Condensed"/>
          <w:color w:val="1a1a1a"/>
          <w:sz w:val="20"/>
          <w:szCs w:val="20"/>
        </w:rPr>
        <w:t xml:space="preserve">All subsequent migrations can be applied in numerical order without further intervention:</w:t>
      </w:r>
    </w:p>
    <w:p>
      <w:pPr>
        <w:spacing w:after="60" w:before="60"/>
      </w:pPr>
      <w:r>
        <w:rPr>
          <w:rFonts w:ascii="Consolas" w:cs="Consolas" w:eastAsia="Consolas" w:hAnsi="Consolas"/>
          <w:color w:val="922b21"/>
          <w:sz w:val="18"/>
          <w:szCs w:val="18"/>
        </w:rPr>
        <w:t xml:space="preserve">V012 → V013 → V014                    (Wave 2: Quantify + Governance)</w:t>
      </w:r>
    </w:p>
    <w:p>
      <w:pPr>
        <w:spacing w:after="60" w:before="60"/>
      </w:pPr>
      <w:r>
        <w:rPr>
          <w:rFonts w:ascii="Consolas" w:cs="Consolas" w:eastAsia="Consolas" w:hAnsi="Consolas"/>
          <w:color w:val="922b21"/>
          <w:sz w:val="18"/>
          <w:szCs w:val="18"/>
        </w:rPr>
        <w:t xml:space="preserve">V015 → V016 → V017                    (Wave 3: Optimize)</w:t>
      </w:r>
    </w:p>
    <w:p>
      <w:pPr>
        <w:spacing w:after="60" w:before="60"/>
      </w:pPr>
      <w:r>
        <w:rPr>
          <w:rFonts w:ascii="Consolas" w:cs="Consolas" w:eastAsia="Consolas" w:hAnsi="Consolas"/>
          <w:color w:val="922b21"/>
          <w:sz w:val="18"/>
          <w:szCs w:val="18"/>
        </w:rPr>
        <w:t xml:space="preserve">V018 → V019 → V020                    (Wave 4: Manage)</w:t>
      </w:r>
    </w:p>
    <w:p>
      <w:pPr>
        <w:spacing w:after="60" w:before="60"/>
      </w:pPr>
      <w:r>
        <w:rPr>
          <w:rFonts w:ascii="Consolas" w:cs="Consolas" w:eastAsia="Consolas" w:hAnsi="Consolas"/>
          <w:color w:val="922b21"/>
          <w:sz w:val="18"/>
          <w:szCs w:val="18"/>
        </w:rPr>
        <w:t xml:space="preserve">V021 → V022 → V023                    (Wave 5: AP-01 Admin Portal)</w:t>
      </w:r>
    </w:p>
    <w:p>
      <w:pPr>
        <w:spacing w:after="60" w:before="60"/>
      </w:pPr>
      <w:r>
        <w:rPr>
          <w:rFonts w:ascii="Consolas" w:cs="Consolas" w:eastAsia="Consolas" w:hAnsi="Consolas"/>
          <w:color w:val="922b21"/>
          <w:sz w:val="18"/>
          <w:szCs w:val="18"/>
        </w:rPr>
        <w:t xml:space="preserve">V024                                  (A21 Assessment)</w:t>
      </w:r>
    </w:p>
    <w:p>
      <w:pPr>
        <w:pStyle w:val="Heading2"/>
        <w:spacing w:after="140" w:before="280"/>
      </w:pPr>
      <w:r>
        <w:rPr>
          <w:rFonts w:ascii="IBM Plex Sans Condensed" w:cs="IBM Plex Sans Condensed" w:eastAsia="IBM Plex Sans Condensed" w:hAnsi="IBM Plex Sans Condensed"/>
          <w:b/>
          <w:bCs/>
          <w:color w:val="1a5490"/>
          <w:sz w:val="28"/>
          <w:szCs w:val="28"/>
        </w:rPr>
        <w:t xml:space="preserve">Phase 5 — Enable row-level security</w:t>
      </w:r>
    </w:p>
    <w:p>
      <w:pPr>
        <w:spacing w:after="60" w:before="60"/>
      </w:pPr>
      <w:r>
        <w:rPr>
          <w:rFonts w:ascii="IBM Plex Sans Condensed" w:cs="IBM Plex Sans Condensed" w:eastAsia="IBM Plex Sans Condensed" w:hAnsi="IBM Plex Sans Condensed"/>
          <w:color w:val="1a1a1a"/>
          <w:sz w:val="20"/>
          <w:szCs w:val="20"/>
        </w:rPr>
        <w:t xml:space="preserve">All RLS policies are defined in the migrations, but the application layer must set the session variable app.current_tenant_id before every query to enable isolation. Typically handled in middleware:</w:t>
      </w:r>
    </w:p>
    <w:p>
      <w:pPr>
        <w:spacing w:after="60" w:before="60"/>
      </w:pPr>
      <w:r>
        <w:rPr>
          <w:rFonts w:ascii="Consolas" w:cs="Consolas" w:eastAsia="Consolas" w:hAnsi="Consolas"/>
          <w:color w:val="922b21"/>
          <w:sz w:val="18"/>
          <w:szCs w:val="18"/>
        </w:rPr>
        <w:t xml:space="preserve">SET app.current_tenant_id = '&lt;uuid&gt;';</w:t>
      </w:r>
    </w:p>
    <w:p>
      <w:pPr>
        <w:spacing w:after="60" w:before="60"/>
      </w:pPr>
      <w:r>
        <w:rPr>
          <w:rFonts w:ascii="IBM Plex Sans Condensed" w:cs="IBM Plex Sans Condensed" w:eastAsia="IBM Plex Sans Condensed" w:hAnsi="IBM Plex Sans Condensed"/>
          <w:color w:val="1a1a1a"/>
          <w:sz w:val="20"/>
          <w:szCs w:val="20"/>
        </w:rPr>
        <w:t xml:space="preserve">Platform administrators doing cross-tenant queries must set app.is_platform_admin = true and use a role that has BYPASSRLS, or alternatively the session role of a user with rolbypassrls set.</w:t>
      </w:r>
    </w:p>
    <w:p>
      <w:pPr>
        <w:pStyle w:val="Heading1"/>
        <w:spacing w:after="180" w:before="360"/>
      </w:pPr>
      <w:r>
        <w:rPr>
          <w:rFonts w:ascii="IBM Plex Sans Condensed" w:cs="IBM Plex Sans Condensed" w:eastAsia="IBM Plex Sans Condensed" w:hAnsi="IBM Plex Sans Condensed"/>
          <w:b/>
          <w:bCs/>
          <w:color w:val="1a5490"/>
          <w:sz w:val="36"/>
          <w:szCs w:val="36"/>
        </w:rPr>
        <w:t xml:space="preserve">6. Cross-Agent Integration Points</w:t>
      </w:r>
    </w:p>
    <w:p>
      <w:pPr>
        <w:spacing w:after="60" w:before="60"/>
      </w:pPr>
      <w:r>
        <w:rPr>
          <w:rFonts w:ascii="IBM Plex Sans Condensed" w:cs="IBM Plex Sans Condensed" w:eastAsia="IBM Plex Sans Condensed" w:hAnsi="IBM Plex Sans Condensed"/>
          <w:color w:val="1a1a1a"/>
          <w:sz w:val="20"/>
          <w:szCs w:val="20"/>
        </w:rPr>
        <w:t xml:space="preserve">Beyond FK dependencies, several cross-migration logical integrations require coordinated development and testing:</w:t>
      </w:r>
    </w:p>
    <w:p>
      <w:pPr>
        <w:pStyle w:val="Heading3"/>
        <w:spacing w:after="100" w:before="200"/>
      </w:pPr>
      <w:r>
        <w:rPr>
          <w:rFonts w:ascii="IBM Plex Sans Condensed" w:cs="IBM Plex Sans Condensed" w:eastAsia="IBM Plex Sans Condensed" w:hAnsi="IBM Plex Sans Condensed"/>
          <w:b/>
          <w:bCs/>
          <w:color w:val="b7791f"/>
          <w:sz w:val="24"/>
          <w:szCs w:val="24"/>
        </w:rPr>
        <w:t xml:space="preserve">A05 Anomaly → A06 Forecasting</w:t>
      </w:r>
    </w:p>
    <w:p>
      <w:pPr>
        <w:spacing w:after="60" w:before="60"/>
      </w:pPr>
      <w:r>
        <w:rPr>
          <w:rFonts w:ascii="IBM Plex Sans Condensed" w:cs="IBM Plex Sans Condensed" w:eastAsia="IBM Plex Sans Condensed" w:hAnsi="IBM Plex Sans Condensed"/>
          <w:color w:val="1a1a1a"/>
          <w:sz w:val="20"/>
          <w:szCs w:val="20"/>
        </w:rPr>
        <w:t xml:space="preserve">Confirmed anomalies from V005 trigger forecast re-generation in V012 per FSD FC-007. No FK, but fc_forecast_run.trigger_reference_id can hold an anomaly_record.anomaly_id UUID.</w:t>
      </w:r>
    </w:p>
    <w:p>
      <w:pPr>
        <w:pStyle w:val="Heading3"/>
        <w:spacing w:after="100" w:before="200"/>
      </w:pPr>
      <w:r>
        <w:rPr>
          <w:rFonts w:ascii="IBM Plex Sans Condensed" w:cs="IBM Plex Sans Condensed" w:eastAsia="IBM Plex Sans Condensed" w:hAnsi="IBM Plex Sans Condensed"/>
          <w:b/>
          <w:bCs/>
          <w:color w:val="b7791f"/>
          <w:sz w:val="24"/>
          <w:szCs w:val="24"/>
        </w:rPr>
        <w:t xml:space="preserve">A11-A19 Optimize → A28 Conflict Resolution</w:t>
      </w:r>
    </w:p>
    <w:p>
      <w:pPr>
        <w:spacing w:after="60" w:before="60"/>
      </w:pPr>
      <w:r>
        <w:rPr>
          <w:rFonts w:ascii="IBM Plex Sans Condensed" w:cs="IBM Plex Sans Condensed" w:eastAsia="IBM Plex Sans Condensed" w:hAnsi="IBM Plex Sans Condensed"/>
          <w:color w:val="1a1a1a"/>
          <w:sz w:val="20"/>
          <w:szCs w:val="20"/>
        </w:rPr>
        <w:t xml:space="preserve">When multiple Optimize agents produce contradictory recommendations for the same resource, A28 in V019 captures the conflict with cr_conflict.conflicting_entity_refs JSONB referencing the competing recommendation IDs. No FK because the referenced recommendations live in 9 different tables across V015-V017.</w:t>
      </w:r>
    </w:p>
    <w:p>
      <w:pPr>
        <w:pStyle w:val="Heading3"/>
        <w:spacing w:after="100" w:before="200"/>
      </w:pPr>
      <w:r>
        <w:rPr>
          <w:rFonts w:ascii="IBM Plex Sans Condensed" w:cs="IBM Plex Sans Condensed" w:eastAsia="IBM Plex Sans Condensed" w:hAnsi="IBM Plex Sans Condensed"/>
          <w:b/>
          <w:bCs/>
          <w:color w:val="b7791f"/>
          <w:sz w:val="24"/>
          <w:szCs w:val="24"/>
        </w:rPr>
        <w:t xml:space="preserve">Any agent action → A29 Explainability</w:t>
      </w:r>
    </w:p>
    <w:p>
      <w:pPr>
        <w:spacing w:after="60" w:before="60"/>
      </w:pPr>
      <w:r>
        <w:rPr>
          <w:rFonts w:ascii="IBM Plex Sans Condensed" w:cs="IBM Plex Sans Condensed" w:eastAsia="IBM Plex Sans Condensed" w:hAnsi="IBM Plex Sans Condensed"/>
          <w:color w:val="1a1a1a"/>
          <w:sz w:val="20"/>
          <w:szCs w:val="20"/>
        </w:rPr>
        <w:t xml:space="preserve">ex_reasoning_chain.source_entity_type + source_entity_id is a generic pointer pattern letting A29 explain any entity from any agent. No FK for the same reason — the entity could live in any of 260 tables.</w:t>
      </w:r>
    </w:p>
    <w:p>
      <w:pPr>
        <w:pStyle w:val="Heading3"/>
        <w:spacing w:after="100" w:before="200"/>
      </w:pPr>
      <w:r>
        <w:rPr>
          <w:rFonts w:ascii="IBM Plex Sans Condensed" w:cs="IBM Plex Sans Condensed" w:eastAsia="IBM Plex Sans Condensed" w:hAnsi="IBM Plex Sans Condensed"/>
          <w:b/>
          <w:bCs/>
          <w:color w:val="b7791f"/>
          <w:sz w:val="24"/>
          <w:szCs w:val="24"/>
        </w:rPr>
        <w:t xml:space="preserve">Any agent escalation → A30 HITL</w:t>
      </w:r>
    </w:p>
    <w:p>
      <w:pPr>
        <w:spacing w:after="60" w:before="60"/>
      </w:pPr>
      <w:r>
        <w:rPr>
          <w:rFonts w:ascii="IBM Plex Sans Condensed" w:cs="IBM Plex Sans Condensed" w:eastAsia="IBM Plex Sans Condensed" w:hAnsi="IBM Plex Sans Condensed"/>
          <w:color w:val="1a1a1a"/>
          <w:sz w:val="20"/>
          <w:szCs w:val="20"/>
        </w:rPr>
        <w:t xml:space="preserve">hl_task uses the same generic pointer pattern. When A30 has explained the decision via A29, hl_task.narrative_id FKs to ex_narrative so the human reviewer sees the machine-generated explanation alongside the decision request.</w:t>
      </w:r>
    </w:p>
    <w:p>
      <w:pPr>
        <w:pStyle w:val="Heading3"/>
        <w:spacing w:after="100" w:before="200"/>
      </w:pPr>
      <w:r>
        <w:rPr>
          <w:rFonts w:ascii="IBM Plex Sans Condensed" w:cs="IBM Plex Sans Condensed" w:eastAsia="IBM Plex Sans Condensed" w:hAnsi="IBM Plex Sans Condensed"/>
          <w:b/>
          <w:bCs/>
          <w:color w:val="b7791f"/>
          <w:sz w:val="24"/>
          <w:szCs w:val="24"/>
        </w:rPr>
        <w:t xml:space="preserve">A22 Chargeback → A03 Allocation + B02 Billing</w:t>
      </w:r>
    </w:p>
    <w:p>
      <w:pPr>
        <w:spacing w:after="60" w:before="60"/>
      </w:pPr>
      <w:r>
        <w:rPr>
          <w:rFonts w:ascii="IBM Plex Sans Condensed" w:cs="IBM Plex Sans Condensed" w:eastAsia="IBM Plex Sans Condensed" w:hAnsi="IBM Plex Sans Condensed"/>
          <w:color w:val="1a1a1a"/>
          <w:sz w:val="20"/>
          <w:szCs w:val="20"/>
        </w:rPr>
        <w:t xml:space="preserve">cb_statement_line_item.source_allocation_ids (UUID array) and source_cdr_ids (UUID array) provide full traceability from chargeback line back to raw allocated cost (V003) and charge detail records (V008). Array FKs aren't enforceable at database level in PostgreSQL, so referential integrity here is application-layer responsibility.</w:t>
      </w:r>
    </w:p>
    <w:p>
      <w:pPr>
        <w:pStyle w:val="Heading3"/>
        <w:spacing w:after="100" w:before="200"/>
      </w:pPr>
      <w:r>
        <w:rPr>
          <w:rFonts w:ascii="IBM Plex Sans Condensed" w:cs="IBM Plex Sans Condensed" w:eastAsia="IBM Plex Sans Condensed" w:hAnsi="IBM Plex Sans Condensed"/>
          <w:b/>
          <w:bCs/>
          <w:color w:val="b7791f"/>
          <w:sz w:val="24"/>
          <w:szCs w:val="24"/>
        </w:rPr>
        <w:t xml:space="preserve">All agents with models → A32 Continuous Learning</w:t>
      </w:r>
    </w:p>
    <w:p>
      <w:pPr>
        <w:spacing w:after="60" w:before="60"/>
      </w:pPr>
      <w:r>
        <w:rPr>
          <w:rFonts w:ascii="IBM Plex Sans Condensed" w:cs="IBM Plex Sans Condensed" w:eastAsia="IBM Plex Sans Condensed" w:hAnsi="IBM Plex Sans Condensed"/>
          <w:color w:val="1a1a1a"/>
          <w:sz w:val="20"/>
          <w:szCs w:val="20"/>
        </w:rPr>
        <w:t xml:space="preserve">cl_model_registry in V020 tracks model versions for every agent that runs ML models (A05, A06, A08, A09, A17-A19, A20, A24, A28, A29). cl_feedback_signal captures human responses to any agent's output via the generic source_entity pointer pattern.</w:t>
      </w:r>
    </w:p>
    <w:p>
      <w:pPr>
        <w:pStyle w:val="Heading3"/>
        <w:spacing w:after="100" w:before="200"/>
      </w:pPr>
      <w:r>
        <w:rPr>
          <w:rFonts w:ascii="IBM Plex Sans Condensed" w:cs="IBM Plex Sans Condensed" w:eastAsia="IBM Plex Sans Condensed" w:hAnsi="IBM Plex Sans Condensed"/>
          <w:b/>
          <w:bCs/>
          <w:color w:val="b7791f"/>
          <w:sz w:val="24"/>
          <w:szCs w:val="24"/>
        </w:rPr>
        <w:t xml:space="preserve">All agents → AP-01 Unified Audit</w:t>
      </w:r>
    </w:p>
    <w:p>
      <w:pPr>
        <w:spacing w:after="60" w:before="60"/>
      </w:pPr>
      <w:r>
        <w:rPr>
          <w:rFonts w:ascii="IBM Plex Sans Condensed" w:cs="IBM Plex Sans Condensed" w:eastAsia="IBM Plex Sans Condensed" w:hAnsi="IBM Plex Sans Condensed"/>
          <w:color w:val="1a1a1a"/>
          <w:sz w:val="20"/>
          <w:szCs w:val="20"/>
        </w:rPr>
        <w:t xml:space="preserve">au_audit_event in V023 is the platform-wide audit aggregation table. Every agent-specific audit column (agent_action_signature from V010, hl_decision_audit from V019, me_metering_config_version from V007, etc.) logically rolls up here for cross-agent audit queries and regulatory export.</w:t>
      </w:r>
    </w:p>
    <w:p>
      <w:r>
        <w:br w:type="page"/>
      </w:r>
    </w:p>
    <w:p>
      <w:pPr>
        <w:pStyle w:val="Heading1"/>
        <w:spacing w:after="180" w:before="360"/>
      </w:pPr>
      <w:r>
        <w:rPr>
          <w:rFonts w:ascii="IBM Plex Sans Condensed" w:cs="IBM Plex Sans Condensed" w:eastAsia="IBM Plex Sans Condensed" w:hAnsi="IBM Plex Sans Condensed"/>
          <w:b/>
          <w:bCs/>
          <w:color w:val="1a5490"/>
          <w:sz w:val="36"/>
          <w:szCs w:val="36"/>
        </w:rPr>
        <w:t xml:space="preserve">7. Partitioned Tables</w:t>
      </w:r>
    </w:p>
    <w:p>
      <w:pPr>
        <w:spacing w:after="60" w:before="60"/>
      </w:pPr>
      <w:r>
        <w:rPr>
          <w:rFonts w:ascii="IBM Plex Sans Condensed" w:cs="IBM Plex Sans Condensed" w:eastAsia="IBM Plex Sans Condensed" w:hAnsi="IBM Plex Sans Condensed"/>
          <w:color w:val="1a1a1a"/>
          <w:sz w:val="20"/>
          <w:szCs w:val="20"/>
        </w:rPr>
        <w:t xml:space="preserve">Twelve tables use PostgreSQL range partitioning for time-series scale. Each migration creates example partitions for 2026-07 and 2026-08, but ongoing partition management requires either a scheduled job or pg_partman. Without ongoing partition creation, inserts past the latest defined partition will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2600"/>
        <w:gridCol w:w="2460"/>
      </w:tblGrid>
      <w:tr>
        <w:tc>
          <w:tcPr>
            <w:tcW w:type="dxa" w:w="3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IBM Plex Sans Condensed" w:cs="IBM Plex Sans Condensed" w:eastAsia="IBM Plex Sans Condensed" w:hAnsi="IBM Plex Sans Condensed"/>
                <w:b/>
                <w:bCs/>
                <w:color w:val="1a1a1a"/>
                <w:sz w:val="18"/>
                <w:szCs w:val="18"/>
              </w:rPr>
              <w:t xml:space="preserve">Table</w:t>
            </w:r>
          </w:p>
        </w:tc>
        <w:tc>
          <w:tcPr>
            <w:tcW w:type="dxa" w:w="11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IBM Plex Sans Condensed" w:cs="IBM Plex Sans Condensed" w:eastAsia="IBM Plex Sans Condensed" w:hAnsi="IBM Plex Sans Condensed"/>
                <w:b/>
                <w:bCs/>
                <w:color w:val="1a1a1a"/>
                <w:sz w:val="18"/>
                <w:szCs w:val="18"/>
              </w:rPr>
              <w:t xml:space="preserve">Migration</w:t>
            </w:r>
          </w:p>
        </w:tc>
        <w:tc>
          <w:tcPr>
            <w:tcW w:type="dxa" w:w="26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IBM Plex Sans Condensed" w:cs="IBM Plex Sans Condensed" w:eastAsia="IBM Plex Sans Condensed" w:hAnsi="IBM Plex Sans Condensed"/>
                <w:b/>
                <w:bCs/>
                <w:color w:val="1a1a1a"/>
                <w:sz w:val="18"/>
                <w:szCs w:val="18"/>
              </w:rPr>
              <w:t xml:space="preserve">Partition Key</w:t>
            </w:r>
          </w:p>
        </w:tc>
        <w:tc>
          <w:tcPr>
            <w:tcW w:type="dxa" w:w="24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IBM Plex Sans Condensed" w:cs="IBM Plex Sans Condensed" w:eastAsia="IBM Plex Sans Condensed" w:hAnsi="IBM Plex Sans Condensed"/>
                <w:b/>
                <w:bCs/>
                <w:color w:val="1a1a1a"/>
                <w:sz w:val="18"/>
                <w:szCs w:val="18"/>
              </w:rPr>
              <w:t xml:space="preserve">Strategy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mtr_agent_activity_record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V006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operation_end_ts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Monthly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mtr_pulse_ledger_entry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V006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posted_at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Monthly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be_charge_detail_record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V008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rated_at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Monthly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be_wallet_transaction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V009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posted_at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Monthly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fc_forecast_point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forecast_date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Monthly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ue_transaction_volume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period_start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Monthly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su_emission_measurement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measurement_period_start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Monthly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go_utilization_metric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measurement_timestamp</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Monthly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nt_transfer_measurement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V017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measurement_period_start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Monthly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ntf_delivery_log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V021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queued_at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Monthly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ih_webhook_delivery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V021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queued_at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Monthly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au_audit_event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V023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occurred_at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Condensed" w:cs="IBM Plex Sans Condensed" w:eastAsia="IBM Plex Sans Condensed" w:hAnsi="IBM Plex Sans Condensed"/>
                <w:color w:val="1a1a1a"/>
                <w:sz w:val="18"/>
                <w:szCs w:val="18"/>
              </w:rPr>
              <w:t xml:space="preserve">Monthly</w:t>
            </w:r>
          </w:p>
        </w:tc>
      </w:tr>
    </w:tbl>
    <w:p>
      <w:pPr>
        <w:pStyle w:val="Heading1"/>
        <w:spacing w:after="180" w:before="360"/>
      </w:pPr>
      <w:r>
        <w:rPr>
          <w:rFonts w:ascii="IBM Plex Sans Condensed" w:cs="IBM Plex Sans Condensed" w:eastAsia="IBM Plex Sans Condensed" w:hAnsi="IBM Plex Sans Condensed"/>
          <w:b/>
          <w:bCs/>
          <w:color w:val="1a5490"/>
          <w:sz w:val="36"/>
          <w:szCs w:val="36"/>
        </w:rPr>
        <w:t xml:space="preserve">8. Known Risks &amp; Gotchas</w:t>
      </w:r>
    </w:p>
    <w:p>
      <w:pPr>
        <w:pStyle w:val="Heading3"/>
        <w:spacing w:after="100" w:before="200"/>
      </w:pPr>
      <w:r>
        <w:rPr>
          <w:rFonts w:ascii="IBM Plex Sans Condensed" w:cs="IBM Plex Sans Condensed" w:eastAsia="IBM Plex Sans Condensed" w:hAnsi="IBM Plex Sans Condensed"/>
          <w:b/>
          <w:bCs/>
          <w:color w:val="b7791f"/>
          <w:sz w:val="24"/>
          <w:szCs w:val="24"/>
        </w:rPr>
        <w:t xml:space="preserve">Risk 1 — V011 fails on empty foundation</w:t>
      </w:r>
    </w:p>
    <w:p>
      <w:pPr>
        <w:spacing w:after="60" w:before="60"/>
      </w:pPr>
      <w:r>
        <w:rPr>
          <w:rFonts w:ascii="IBM Plex Sans Condensed" w:cs="IBM Plex Sans Condensed" w:eastAsia="IBM Plex Sans Condensed" w:hAnsi="IBM Plex Sans Condensed"/>
          <w:color w:val="1a1a1a"/>
          <w:sz w:val="20"/>
          <w:szCs w:val="20"/>
        </w:rPr>
        <w:t xml:space="preserve">If V011 runs before tenant, auth_user, and agent_identity are seeded with UUIDs matching V001-V009 data, FK constraint validation fails. Mitigation: follow Phase 2 seed procedure exactly.</w:t>
      </w:r>
    </w:p>
    <w:p>
      <w:pPr>
        <w:pStyle w:val="Heading3"/>
        <w:spacing w:after="100" w:before="200"/>
      </w:pPr>
      <w:r>
        <w:rPr>
          <w:rFonts w:ascii="IBM Plex Sans Condensed" w:cs="IBM Plex Sans Condensed" w:eastAsia="IBM Plex Sans Condensed" w:hAnsi="IBM Plex Sans Condensed"/>
          <w:b/>
          <w:bCs/>
          <w:color w:val="b7791f"/>
          <w:sz w:val="24"/>
          <w:szCs w:val="24"/>
        </w:rPr>
        <w:t xml:space="preserve">Risk 2 — Partition exhaustion</w:t>
      </w:r>
    </w:p>
    <w:p>
      <w:pPr>
        <w:spacing w:after="60" w:before="60"/>
      </w:pPr>
      <w:r>
        <w:rPr>
          <w:rFonts w:ascii="IBM Plex Sans Condensed" w:cs="IBM Plex Sans Condensed" w:eastAsia="IBM Plex Sans Condensed" w:hAnsi="IBM Plex Sans Condensed"/>
          <w:color w:val="1a1a1a"/>
          <w:sz w:val="20"/>
          <w:szCs w:val="20"/>
        </w:rPr>
        <w:t xml:space="preserve">Partitioned tables only have 2 example partitions defined. Production inserts past 2026-08-31 will fail until more partitions are created. Mitigation: deploy pg_partman with monthly pre-creation or a scheduled job creating N months of future partitions.</w:t>
      </w:r>
    </w:p>
    <w:p>
      <w:pPr>
        <w:pStyle w:val="Heading3"/>
        <w:spacing w:after="100" w:before="200"/>
      </w:pPr>
      <w:r>
        <w:rPr>
          <w:rFonts w:ascii="IBM Plex Sans Condensed" w:cs="IBM Plex Sans Condensed" w:eastAsia="IBM Plex Sans Condensed" w:hAnsi="IBM Plex Sans Condensed"/>
          <w:b/>
          <w:bCs/>
          <w:color w:val="b7791f"/>
          <w:sz w:val="24"/>
          <w:szCs w:val="24"/>
        </w:rPr>
        <w:t xml:space="preserve">Risk 3 — RLS session variable not set</w:t>
      </w:r>
    </w:p>
    <w:p>
      <w:pPr>
        <w:spacing w:after="60" w:before="60"/>
      </w:pPr>
      <w:r>
        <w:rPr>
          <w:rFonts w:ascii="IBM Plex Sans Condensed" w:cs="IBM Plex Sans Condensed" w:eastAsia="IBM Plex Sans Condensed" w:hAnsi="IBM Plex Sans Condensed"/>
          <w:color w:val="1a1a1a"/>
          <w:sz w:val="20"/>
          <w:szCs w:val="20"/>
        </w:rPr>
        <w:t xml:space="preserve">If app.current_tenant_id is not set in the session, tenant-scoped SELECT queries return zero rows rather than an error — potentially hiding bugs that appear as missing data. Mitigation: require the session variable in application middleware and fail closed if absent.</w:t>
      </w:r>
    </w:p>
    <w:p>
      <w:pPr>
        <w:pStyle w:val="Heading3"/>
        <w:spacing w:after="100" w:before="200"/>
      </w:pPr>
      <w:r>
        <w:rPr>
          <w:rFonts w:ascii="IBM Plex Sans Condensed" w:cs="IBM Plex Sans Condensed" w:eastAsia="IBM Plex Sans Condensed" w:hAnsi="IBM Plex Sans Condensed"/>
          <w:b/>
          <w:bCs/>
          <w:color w:val="b7791f"/>
          <w:sz w:val="24"/>
          <w:szCs w:val="24"/>
        </w:rPr>
        <w:t xml:space="preserve">Risk 4 — Cross-migration enum dependencies</w:t>
      </w:r>
    </w:p>
    <w:p>
      <w:pPr>
        <w:spacing w:after="60" w:before="60"/>
      </w:pPr>
      <w:r>
        <w:rPr>
          <w:rFonts w:ascii="IBM Plex Sans Condensed" w:cs="IBM Plex Sans Condensed" w:eastAsia="IBM Plex Sans Condensed" w:hAnsi="IBM Plex Sans Condensed"/>
          <w:color w:val="1a1a1a"/>
          <w:sz w:val="20"/>
          <w:szCs w:val="20"/>
        </w:rPr>
        <w:t xml:space="preserve">V015 defines opt_* enums consumed by V016-V024. V014 defines gov_severity consumed by V015-V023. Skipping migrations or applying out of order produces cryptic enum-not-found errors. Mitigation: use Flyway or Liquibase with strict numerical ordering — do not allow out-of-order application.</w:t>
      </w:r>
    </w:p>
    <w:p>
      <w:pPr>
        <w:pStyle w:val="Heading3"/>
        <w:spacing w:after="100" w:before="200"/>
      </w:pPr>
      <w:r>
        <w:rPr>
          <w:rFonts w:ascii="IBM Plex Sans Condensed" w:cs="IBM Plex Sans Condensed" w:eastAsia="IBM Plex Sans Condensed" w:hAnsi="IBM Plex Sans Condensed"/>
          <w:b/>
          <w:bCs/>
          <w:color w:val="b7791f"/>
          <w:sz w:val="24"/>
          <w:szCs w:val="24"/>
        </w:rPr>
        <w:t xml:space="preserve">Risk 5 — Array FKs not enforced</w:t>
      </w:r>
    </w:p>
    <w:p>
      <w:pPr>
        <w:spacing w:after="60" w:before="60"/>
      </w:pPr>
      <w:r>
        <w:rPr>
          <w:rFonts w:ascii="IBM Plex Sans Condensed" w:cs="IBM Plex Sans Condensed" w:eastAsia="IBM Plex Sans Condensed" w:hAnsi="IBM Plex Sans Condensed"/>
          <w:color w:val="1a1a1a"/>
          <w:sz w:val="20"/>
          <w:szCs w:val="20"/>
        </w:rPr>
        <w:t xml:space="preserve">Several tables use UUID arrays for one-to-many references: cb_statement_line_item.source_allocation_ids, conflicting_agent_ids, affected_user_ids, etc. PostgreSQL does not support FK constraints on array elements, so referential integrity is application-layer responsibility. Mitigation: application code must validate array contents on insert, or use triggers for enforcement.</w:t>
      </w:r>
    </w:p>
    <w:p>
      <w:pPr>
        <w:pStyle w:val="Heading3"/>
        <w:spacing w:after="100" w:before="200"/>
      </w:pPr>
      <w:r>
        <w:rPr>
          <w:rFonts w:ascii="IBM Plex Sans Condensed" w:cs="IBM Plex Sans Condensed" w:eastAsia="IBM Plex Sans Condensed" w:hAnsi="IBM Plex Sans Condensed"/>
          <w:b/>
          <w:bCs/>
          <w:color w:val="b7791f"/>
          <w:sz w:val="24"/>
          <w:szCs w:val="24"/>
        </w:rPr>
        <w:t xml:space="preserve">Risk 6 — Platform admin RLS bypass</w:t>
      </w:r>
    </w:p>
    <w:p>
      <w:pPr>
        <w:spacing w:after="60" w:before="60"/>
      </w:pPr>
      <w:r>
        <w:rPr>
          <w:rFonts w:ascii="IBM Plex Sans Condensed" w:cs="IBM Plex Sans Condensed" w:eastAsia="IBM Plex Sans Condensed" w:hAnsi="IBM Plex Sans Condensed"/>
          <w:color w:val="1a1a1a"/>
          <w:sz w:val="20"/>
          <w:szCs w:val="20"/>
        </w:rPr>
        <w:t xml:space="preserve">Some queries (platform operations dashboard, cross-tenant reporting, compliance exports) need to see data across tenants. If the application layer doesn't implement a bypass mechanism, platform admins will only see their own tenant's data. Mitigation: assign platform admin users to a PostgreSQL role with BYPASSRLS attribute, or wrap cross-tenant queries in SET LOCAL role switching.</w:t>
      </w:r>
    </w:p>
    <w:p>
      <w:pPr>
        <w:pStyle w:val="Heading1"/>
        <w:spacing w:after="180" w:before="360"/>
      </w:pPr>
      <w:r>
        <w:rPr>
          <w:rFonts w:ascii="IBM Plex Sans Condensed" w:cs="IBM Plex Sans Condensed" w:eastAsia="IBM Plex Sans Condensed" w:hAnsi="IBM Plex Sans Condensed"/>
          <w:b/>
          <w:bCs/>
          <w:color w:val="1a5490"/>
          <w:sz w:val="36"/>
          <w:szCs w:val="36"/>
        </w:rPr>
        <w:t xml:space="preserve">9. Conclusion</w:t>
      </w:r>
    </w:p>
    <w:p>
      <w:pPr>
        <w:spacing w:after="60" w:before="60"/>
      </w:pPr>
      <w:r>
        <w:rPr>
          <w:rFonts w:ascii="IBM Plex Sans Condensed" w:cs="IBM Plex Sans Condensed" w:eastAsia="IBM Plex Sans Condensed" w:hAnsi="IBM Plex Sans Condensed"/>
          <w:color w:val="1a1a1a"/>
          <w:sz w:val="20"/>
          <w:szCs w:val="20"/>
        </w:rPr>
        <w:t xml:space="preserve">The 24 migrations implement a complete platform data model covering all 32 agents plus the metering, billing, multi-tenancy, and administration portal infrastructure. Dependency structure is fundamentally a two-pivot design: V006 establishes currency as data, V010 establishes tenant/user/agent identity as data, and V011 retrofits the referential integrity from V001-V009. Everything else composes on top of these pivots.</w:t>
      </w:r>
    </w:p>
    <w:p>
      <w:pPr>
        <w:spacing w:after="60" w:before="60"/>
      </w:pPr>
      <w:r>
        <w:rPr>
          <w:rFonts w:ascii="IBM Plex Sans Condensed" w:cs="IBM Plex Sans Condensed" w:eastAsia="IBM Plex Sans Condensed" w:hAnsi="IBM Plex Sans Condensed"/>
          <w:color w:val="1a1a1a"/>
          <w:sz w:val="20"/>
          <w:szCs w:val="20"/>
        </w:rPr>
        <w:t xml:space="preserve">The shared enum patterns (gov_severity, opt_*) mean that building AP-01's admin UI is largely a single pattern applied consistently across domains rather than 32 different UI implementations. The generic source_entity_type + source_entity_id pointer pattern used by A29 Explainability, A30 HITL, cl_feedback_signal, ntf_delivery_log, ih_webhook_delivery, and au_audit_event provides cross-agent integration without FK coupling — at the cost of application-layer integrity checking.</w:t>
      </w:r>
    </w:p>
    <w:p>
      <w:pPr>
        <w:spacing w:after="60" w:before="60"/>
        <w:rPr>
          <w:i/>
          <w:iCs/>
          <w:color w:val="555555"/>
        </w:rPr>
      </w:pPr>
      <w:r>
        <w:rPr>
          <w:rFonts w:ascii="IBM Plex Sans Condensed" w:cs="IBM Plex Sans Condensed" w:eastAsia="IBM Plex Sans Condensed" w:hAnsi="IBM Plex Sans Condensed"/>
          <w:i/>
          <w:iCs/>
          <w:color w:val="555555"/>
          <w:sz w:val="20"/>
          <w:szCs w:val="20"/>
        </w:rPr>
        <w:t xml:space="preserve">Further recommended work: seed data scripts for ref_currency, tenant_tier, auth_permission, ih_integration_catalog, asm_capability_definition, asm_maturity_criterion, gov_policy templates, and ntf_template system templates — each of these tables is defined as data-driven specifically so deployments can customise without DDL changes, but each requires seed data to be useful on day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Condensed" w:cs="IBM Plex Sans Condensed" w:eastAsia="IBM Plex Sans Condensed" w:hAnsi="IBM Plex Sans Condense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IBM Plex Sans Condensed" w:cs="IBM Plex Sans Condensed" w:eastAsia="IBM Plex Sans Condensed" w:hAnsi="IBM Plex Sans Condensed"/>
      <w:b/>
      <w:bCs/>
      <w:color w:val="1a5490"/>
      <w:sz w:val="36"/>
      <w:szCs w:val="36"/>
    </w:rPr>
  </w:style>
  <w:style w:type="paragraph" w:styleId="Heading2">
    <w:name w:val="Heading 2"/>
    <w:basedOn w:val="Normal"/>
    <w:next w:val="Normal"/>
    <w:qFormat/>
    <w:pPr>
      <w:spacing w:after="140" w:before="280"/>
      <w:outlineLvl w:val="1"/>
    </w:pPr>
    <w:rPr>
      <w:rFonts w:ascii="IBM Plex Sans Condensed" w:cs="IBM Plex Sans Condensed" w:eastAsia="IBM Plex Sans Condensed" w:hAnsi="IBM Plex Sans Condensed"/>
      <w:b/>
      <w:bCs/>
      <w:color w:val="1a5490"/>
      <w:sz w:val="28"/>
      <w:szCs w:val="28"/>
    </w:rPr>
  </w:style>
  <w:style w:type="paragraph" w:styleId="Heading3">
    <w:name w:val="Heading 3"/>
    <w:basedOn w:val="Normal"/>
    <w:next w:val="Normal"/>
    <w:qFormat/>
    <w:pPr>
      <w:spacing w:after="100" w:before="200"/>
      <w:outlineLvl w:val="2"/>
    </w:pPr>
    <w:rPr>
      <w:rFonts w:ascii="IBM Plex Sans Condensed" w:cs="IBM Plex Sans Condensed" w:eastAsia="IBM Plex Sans Condensed" w:hAnsi="IBM Plex Sans Condensed"/>
      <w:b/>
      <w:bCs/>
      <w:color w:val="b779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2026-04-12T19:09:44.577Z</dcterms:created>
  <dcterms:modified xsi:type="dcterms:W3CDTF">2026-04-12T19:09:44.578Z</dcterms:modified>
</cp:coreProperties>
</file>

<file path=docProps/custom.xml><?xml version="1.0" encoding="utf-8"?>
<Properties xmlns="http://schemas.openxmlformats.org/officeDocument/2006/custom-properties" xmlns:vt="http://schemas.openxmlformats.org/officeDocument/2006/docPropsVTypes"/>
</file>