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Nathan Ngo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Created at</w:t>
      </w:r>
      <w:r w:rsidDel="00000000" w:rsidR="00000000" w:rsidRPr="00000000">
        <w:rPr>
          <w:rtl w:val="0"/>
        </w:rPr>
        <w:t xml:space="preserve">: 25/07/2025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ind w:left="0" w:firstLine="0"/>
        <w:rPr/>
      </w:pPr>
      <w:bookmarkStart w:colFirst="0" w:colLast="0" w:name="_v94swcamct76" w:id="0"/>
      <w:bookmarkEnd w:id="0"/>
      <w:r w:rsidDel="00000000" w:rsidR="00000000" w:rsidRPr="00000000">
        <w:rPr>
          <w:b w:val="1"/>
          <w:rtl w:val="0"/>
        </w:rPr>
        <w:t xml:space="preserve">Trends Over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What trends do you observe in contract volumes and award amounts over time? What might explain seasonal or yearly spikes?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Based on the chart.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Early Years (Pre-1990s)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Very few contracts with low total award amounts.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Possibly incomplete data or limited digital record-keeping before the 1990s.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Steady Growth (1995–2010)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clear increase in total award amounts year-over-year.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Indicates growth in procurement activity or broader economic expansion.</w:t>
        <w:br w:type="textWrapping"/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Peaks Around 2015–2020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Notable spikes in contract award amounts.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These could reflect: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Major infrastructure or modernization projects.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Response to large-scale city programs.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Stimulus funding or political changes (e.g., mayoral terms).</w:t>
        <w:br w:type="textWrapping"/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Post-2020 Drop &amp; Outliers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Some extremely high spikes (especially around 2019–2020).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May correspond to emergency COVID-19 contracts or long-term city initiatives.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Sudden dips afterward could indicate: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Budget cuts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Delays or audits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Data incompleteness for recent years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Yearly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Election cycles</w:t>
      </w:r>
      <w:r w:rsidDel="00000000" w:rsidR="00000000" w:rsidRPr="00000000">
        <w:rPr>
          <w:rtl w:val="0"/>
        </w:rPr>
        <w:t xml:space="preserve">: Government spending often surges before elections.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External shocks</w:t>
      </w:r>
      <w:r w:rsidDel="00000000" w:rsidR="00000000" w:rsidRPr="00000000">
        <w:rPr>
          <w:rtl w:val="0"/>
        </w:rPr>
        <w:t xml:space="preserve">: Events like the 2008 recession or COVID-19 heavily influence spikes/drops.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>
          <w:b w:val="1"/>
        </w:rPr>
      </w:pPr>
      <w:bookmarkStart w:colFirst="0" w:colLast="0" w:name="_2f9ibnrpsqer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Departmental Spend Analysis: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departments awarding the highest total contract amounts include: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Finance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Chicago Department of Transportation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Family and Support Services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of Planning and Development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 (misclassified data)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These departments collectively account for a </w:t>
      </w:r>
      <w:r w:rsidDel="00000000" w:rsidR="00000000" w:rsidRPr="00000000">
        <w:rPr>
          <w:b w:val="1"/>
          <w:rtl w:val="0"/>
        </w:rPr>
        <w:t xml:space="preserve">significantly larger share</w:t>
      </w:r>
      <w:r w:rsidDel="00000000" w:rsidR="00000000" w:rsidRPr="00000000">
        <w:rPr>
          <w:rtl w:val="0"/>
        </w:rPr>
        <w:t xml:space="preserve"> of the city’s procurement budget.</w:t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relationship between contract duration vs award amount: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46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Because both of the features are numeric values → Compute correlation.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Coefficient correlation (pearson method) result: </w:t>
      </w:r>
      <w:r w:rsidDel="00000000" w:rsidR="00000000" w:rsidRPr="00000000">
        <w:rPr>
          <w:b w:val="1"/>
          <w:rtl w:val="0"/>
        </w:rPr>
        <w:t xml:space="preserve">0.6297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both of the features have a positive relation (but it is medium level) so we can conclude there is a relationship (but not strong) between </w:t>
      </w:r>
      <w:r w:rsidDel="00000000" w:rsidR="00000000" w:rsidRPr="00000000">
        <w:rPr>
          <w:i w:val="1"/>
          <w:rtl w:val="0"/>
        </w:rPr>
        <w:t xml:space="preserve">contract duration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award 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spacing w:line="240" w:lineRule="auto"/>
        <w:rPr/>
      </w:pPr>
      <w:bookmarkStart w:colFirst="0" w:colLast="0" w:name="_qp8zcg1cxd61" w:id="2"/>
      <w:bookmarkEnd w:id="2"/>
      <w:r w:rsidDel="00000000" w:rsidR="00000000" w:rsidRPr="00000000">
        <w:rPr>
          <w:b w:val="1"/>
          <w:rtl w:val="0"/>
        </w:rPr>
        <w:t xml:space="preserve">Vendor concentration: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Total award amount: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first chart</w:t>
      </w:r>
      <w:r w:rsidDel="00000000" w:rsidR="00000000" w:rsidRPr="00000000">
        <w:rPr>
          <w:rtl w:val="0"/>
        </w:rPr>
        <w:t xml:space="preserve"> (Total Award Amount):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One vendor stands out with </w:t>
      </w:r>
      <w:r w:rsidDel="00000000" w:rsidR="00000000" w:rsidRPr="00000000">
        <w:rPr>
          <w:b w:val="1"/>
          <w:rtl w:val="0"/>
        </w:rPr>
        <w:t xml:space="preserve">over $12 billion</w:t>
      </w:r>
      <w:r w:rsidDel="00000000" w:rsidR="00000000" w:rsidRPr="00000000">
        <w:rPr>
          <w:rtl w:val="0"/>
        </w:rPr>
        <w:t xml:space="preserve"> in total award amount — likely the </w:t>
      </w:r>
      <w:r w:rsidDel="00000000" w:rsidR="00000000" w:rsidRPr="00000000">
        <w:rPr>
          <w:b w:val="1"/>
          <w:rtl w:val="0"/>
        </w:rPr>
        <w:t xml:space="preserve">Board of Education of the City of Chicago</w:t>
      </w:r>
      <w:r w:rsidDel="00000000" w:rsidR="00000000" w:rsidRPr="00000000">
        <w:rPr>
          <w:rtl w:val="0"/>
        </w:rPr>
        <w:t xml:space="preserve"> or a major infrastructure/construction vendor.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 steep drop follows after the top few vendors, highlighting a </w:t>
      </w:r>
      <w:r w:rsidDel="00000000" w:rsidR="00000000" w:rsidRPr="00000000">
        <w:rPr>
          <w:b w:val="1"/>
          <w:rtl w:val="0"/>
        </w:rPr>
        <w:t xml:space="preserve">highly skewed distribution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second chart</w:t>
      </w:r>
      <w:r w:rsidDel="00000000" w:rsidR="00000000" w:rsidRPr="00000000">
        <w:rPr>
          <w:rtl w:val="0"/>
        </w:rPr>
        <w:t xml:space="preserve"> (Total Contracts):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Some vendors like </w:t>
      </w:r>
      <w:r w:rsidDel="00000000" w:rsidR="00000000" w:rsidRPr="00000000">
        <w:rPr>
          <w:b w:val="1"/>
          <w:rtl w:val="0"/>
        </w:rPr>
        <w:t xml:space="preserve">CHICAGO UNITED INDUSTRIES, LIMITED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CATHOLIC CHARITIES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METROPOLITAN FAMILY SERVICE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hundreds to over a thousand contracts</w:t>
      </w:r>
      <w:r w:rsidDel="00000000" w:rsidR="00000000" w:rsidRPr="00000000">
        <w:rPr>
          <w:rtl w:val="0"/>
        </w:rPr>
        <w:t xml:space="preserve">, but their </w:t>
      </w:r>
      <w:r w:rsidDel="00000000" w:rsidR="00000000" w:rsidRPr="00000000">
        <w:rPr>
          <w:b w:val="1"/>
          <w:rtl w:val="0"/>
        </w:rPr>
        <w:t xml:space="preserve">award amounts may be smaller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zl0e05g64v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Overreliance on a few vendors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If top vendors fail to deliver or face legal/financial issues, the city's operations could be disrupted.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competition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Favoritism or structural advantages might discourage new or smaller vendors from bidding.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Procurement risk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High concentration might signal the need to audit those contracts for fairness, compliance, or inflated costs.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Accountability issues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The higher the concentration, the harder it is to ensure transparency without strict oversight.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2jlf6ehrm1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Opportunities: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partnerships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Long-standing vendors with a strong performance record can be key partners in scaling city initiatives.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gains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Repeat contracts may reflect streamlined processes and strong vendor familiarity with city systems.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negotiation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High-volume vendors may offer better terms or economies of scale, reducing unit costs.</w:t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