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3"/>
          <w:sz w:val="38"/>
        </w:rPr>
        <w:t>글로벌 해저전력케이블 수요 증가 분석</w:t>
      </w:r>
    </w:p>
    <w:p>
      <w:pPr>
        <w:jc w:val="center"/>
      </w:pPr>
      <w:r>
        <w:rPr>
          <w:i/>
          <w:color w:val="5A5A5A"/>
          <w:sz w:val="20"/>
        </w:rPr>
        <w:t>Global Subsea Power Cable Demand Analysis</w:t>
      </w:r>
    </w:p>
    <w:p>
      <w:pPr>
        <w:jc w:val="center"/>
      </w:pPr>
      <w:r>
        <w:rPr>
          <w:color w:val="6E6E6E"/>
          <w:sz w:val="18"/>
        </w:rPr>
        <w:t>Source Validation · Market Screening · Python-based Analysis</w:t>
      </w:r>
    </w:p>
    <w:p>
      <w:r>
        <w:rPr>
          <w:b/>
          <w:color w:val="1F3753"/>
          <w:sz w:val="26"/>
        </w:rPr>
        <w:t>1. 요약</w:t>
      </w:r>
    </w:p>
    <w:p>
      <w:r>
        <w:t>본 보고서는 글로벌 해저전력케이블 수요 증가를 정량적으로 설명할 수 있는 공개 데이터를 선별하고, 여러 산업 리서치 자료를 비교·검증한 과정을 정리한 개인 데이터 리서치 프로젝트이다. 최종 분석에는 PW Consulting / PmarketResearch의 2026년 Worldwide Offshore Wind Cable Market 데이터를 사용했다. 이 데이터는 전체 해저전력케이블 시장 자체가 아니라 해상풍력용 케이블 시장을 나타내므로, 본 프로젝트에서는 해저전력케이블 수요 증가를 보여주는 대표적인 수요 Proxy로 사용한다.</w:t>
      </w:r>
    </w:p>
    <w:p>
      <w:r>
        <w:rPr>
          <w:b/>
        </w:rPr>
        <w:t xml:space="preserve">핵심 결론: </w:t>
      </w:r>
      <w:r>
        <w:t>글로벌 Offshore Wind Cable 시장은 2025년 53.2억 달러를 기준으로 2032년 150억 달러까지 성장할 것으로 전망되며, 2025~2032년 CAGR은 15.96%이다. 2025년은 Base Year, 2026~2032년은 Forecast Period로 구분된다.</w:t>
      </w:r>
    </w:p>
    <w:p>
      <w:r>
        <w:rPr>
          <w:b/>
          <w:color w:val="1F3753"/>
          <w:sz w:val="26"/>
        </w:rPr>
        <w:t>2. 연구 목적 및 데이터 선정 기준</w:t>
      </w:r>
    </w:p>
    <w:p>
      <w:pPr>
        <w:ind w:left="259"/>
      </w:pPr>
      <w:r>
        <w:rPr>
          <w:b/>
        </w:rPr>
        <w:t xml:space="preserve">• </w:t>
      </w:r>
      <w:r>
        <w:t>2025년 수치가 Actual 또는 Base Year로 명확히 구분될 것</w:t>
      </w:r>
    </w:p>
    <w:p>
      <w:pPr>
        <w:ind w:left="259"/>
      </w:pPr>
      <w:r>
        <w:rPr>
          <w:b/>
        </w:rPr>
        <w:t xml:space="preserve">• </w:t>
      </w:r>
      <w:r>
        <w:t>2026F와 2027F가 동일 기관의 동일 시계열에서 제공될 것</w:t>
      </w:r>
    </w:p>
    <w:p>
      <w:pPr>
        <w:ind w:left="259"/>
      </w:pPr>
      <w:r>
        <w:rPr>
          <w:b/>
        </w:rPr>
        <w:t xml:space="preserve">• </w:t>
      </w:r>
      <w:r>
        <w:t>Global / Worldwide 범위일 것</w:t>
      </w:r>
    </w:p>
    <w:p>
      <w:pPr>
        <w:ind w:left="259"/>
      </w:pPr>
      <w:r>
        <w:rPr>
          <w:b/>
        </w:rPr>
        <w:t xml:space="preserve">• </w:t>
      </w:r>
      <w:r>
        <w:t>연도별 수치가 공개되어 재현 가능한 계산이 가능할 것</w:t>
      </w:r>
    </w:p>
    <w:p>
      <w:pPr>
        <w:ind w:left="259"/>
      </w:pPr>
      <w:r>
        <w:rPr>
          <w:b/>
        </w:rPr>
        <w:t xml:space="preserve">• </w:t>
      </w:r>
      <w:r>
        <w:t>중장기 CAGR이 15% 이상일 것</w:t>
      </w:r>
    </w:p>
    <w:p>
      <w:pPr>
        <w:ind w:left="259"/>
      </w:pPr>
      <w:r>
        <w:rPr>
          <w:b/>
        </w:rPr>
        <w:t xml:space="preserve">• </w:t>
      </w:r>
      <w:r>
        <w:t>해저전력케이블 수요 증가를 합리적으로 설명할 수 있는 지표일 것</w:t>
      </w:r>
    </w:p>
    <w:p>
      <w:r>
        <w:rPr>
          <w:b/>
          <w:color w:val="1F3753"/>
          <w:sz w:val="26"/>
        </w:rPr>
        <w:t>3. 최종 분석 데이터</w:t>
      </w:r>
    </w:p>
    <w:p>
      <w:r>
        <w:rPr>
          <w:b/>
        </w:rPr>
        <w:t xml:space="preserve">최종 선택 데이터: </w:t>
      </w:r>
      <w:r>
        <w:t>PW Consulting / PmarketResearch, Worldwide Offshore Wind Cable Market 2026 (Updated Jun. 23, 2026)</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pPr>
              <w:jc w:val="center"/>
            </w:pPr>
            <w:r/>
            <w:r>
              <w:rPr>
                <w:b/>
                <w:color w:val="FFFFFF"/>
                <w:sz w:val="18"/>
              </w:rPr>
              <w:t>연도</w:t>
            </w:r>
          </w:p>
        </w:tc>
        <w:tc>
          <w:tcPr>
            <w:tcW w:type="dxa" w:w="2541"/>
            <w:shd w:fill="1F4E78"/>
            <w:vAlign w:val="center"/>
          </w:tcPr>
          <w:p>
            <w:pPr>
              <w:jc w:val="center"/>
            </w:pPr>
            <w:r/>
            <w:r>
              <w:rPr>
                <w:b/>
                <w:color w:val="FFFFFF"/>
                <w:sz w:val="18"/>
              </w:rPr>
              <w:t>시장규모 (USD bn)</w:t>
            </w:r>
          </w:p>
        </w:tc>
        <w:tc>
          <w:tcPr>
            <w:tcW w:type="dxa" w:w="2541"/>
            <w:shd w:fill="1F4E78"/>
            <w:vAlign w:val="center"/>
          </w:tcPr>
          <w:p>
            <w:pPr>
              <w:jc w:val="center"/>
            </w:pPr>
            <w:r/>
            <w:r>
              <w:rPr>
                <w:b/>
                <w:color w:val="FFFFFF"/>
                <w:sz w:val="18"/>
              </w:rPr>
              <w:t>구분</w:t>
            </w:r>
          </w:p>
        </w:tc>
        <w:tc>
          <w:tcPr>
            <w:tcW w:type="dxa" w:w="2541"/>
            <w:shd w:fill="1F4E78"/>
            <w:vAlign w:val="center"/>
          </w:tcPr>
          <w:p>
            <w:pPr>
              <w:jc w:val="center"/>
            </w:pPr>
            <w:r/>
            <w:r>
              <w:rPr>
                <w:b/>
                <w:color w:val="FFFFFF"/>
                <w:sz w:val="18"/>
              </w:rPr>
              <w:t>YoY</w:t>
            </w:r>
          </w:p>
        </w:tc>
      </w:tr>
      <w:tr>
        <w:tc>
          <w:tcPr>
            <w:tcW w:type="dxa" w:w="2541"/>
            <w:vAlign w:val="center"/>
          </w:tcPr>
          <w:p>
            <w:pPr>
              <w:jc w:val="center"/>
            </w:pPr>
            <w:r/>
            <w:r>
              <w:rPr>
                <w:b w:val="0"/>
                <w:sz w:val="18"/>
              </w:rPr>
              <w:t>2023</w:t>
            </w:r>
          </w:p>
        </w:tc>
        <w:tc>
          <w:tcPr>
            <w:tcW w:type="dxa" w:w="2541"/>
            <w:vAlign w:val="center"/>
          </w:tcPr>
          <w:p>
            <w:pPr>
              <w:jc w:val="center"/>
            </w:pPr>
            <w:r/>
            <w:r>
              <w:rPr>
                <w:b w:val="0"/>
                <w:sz w:val="18"/>
              </w:rPr>
              <w:t>4.049</w:t>
            </w:r>
          </w:p>
        </w:tc>
        <w:tc>
          <w:tcPr>
            <w:tcW w:type="dxa" w:w="2541"/>
            <w:vAlign w:val="center"/>
          </w:tcPr>
          <w:p>
            <w:pPr>
              <w:jc w:val="center"/>
            </w:pPr>
            <w:r/>
            <w:r>
              <w:rPr>
                <w:b w:val="0"/>
                <w:sz w:val="18"/>
              </w:rPr>
              <w:t>Historical</w:t>
            </w:r>
          </w:p>
        </w:tc>
        <w:tc>
          <w:tcPr>
            <w:tcW w:type="dxa" w:w="2541"/>
            <w:vAlign w:val="center"/>
          </w:tcPr>
          <w:p>
            <w:pPr>
              <w:jc w:val="center"/>
            </w:pPr>
            <w:r/>
            <w:r>
              <w:rPr>
                <w:b w:val="0"/>
                <w:sz w:val="18"/>
              </w:rPr>
              <w:t>19.08%</w:t>
            </w:r>
          </w:p>
        </w:tc>
      </w:tr>
      <w:tr>
        <w:tc>
          <w:tcPr>
            <w:tcW w:type="dxa" w:w="2541"/>
            <w:vAlign w:val="center"/>
          </w:tcPr>
          <w:p>
            <w:pPr>
              <w:jc w:val="center"/>
            </w:pPr>
            <w:r/>
            <w:r>
              <w:rPr>
                <w:b w:val="0"/>
                <w:sz w:val="18"/>
              </w:rPr>
              <w:t>2024</w:t>
            </w:r>
          </w:p>
        </w:tc>
        <w:tc>
          <w:tcPr>
            <w:tcW w:type="dxa" w:w="2541"/>
            <w:vAlign w:val="center"/>
          </w:tcPr>
          <w:p>
            <w:pPr>
              <w:jc w:val="center"/>
            </w:pPr>
            <w:r/>
            <w:r>
              <w:rPr>
                <w:b w:val="0"/>
                <w:sz w:val="18"/>
              </w:rPr>
              <w:t>4.627</w:t>
            </w:r>
          </w:p>
        </w:tc>
        <w:tc>
          <w:tcPr>
            <w:tcW w:type="dxa" w:w="2541"/>
            <w:vAlign w:val="center"/>
          </w:tcPr>
          <w:p>
            <w:pPr>
              <w:jc w:val="center"/>
            </w:pPr>
            <w:r/>
            <w:r>
              <w:rPr>
                <w:b w:val="0"/>
                <w:sz w:val="18"/>
              </w:rPr>
              <w:t>Historical</w:t>
            </w:r>
          </w:p>
        </w:tc>
        <w:tc>
          <w:tcPr>
            <w:tcW w:type="dxa" w:w="2541"/>
            <w:vAlign w:val="center"/>
          </w:tcPr>
          <w:p>
            <w:pPr>
              <w:jc w:val="center"/>
            </w:pPr>
            <w:r/>
            <w:r>
              <w:rPr>
                <w:b w:val="0"/>
                <w:sz w:val="18"/>
              </w:rPr>
              <w:t>14.29%</w:t>
            </w:r>
          </w:p>
        </w:tc>
      </w:tr>
      <w:tr>
        <w:tc>
          <w:tcPr>
            <w:tcW w:type="dxa" w:w="2541"/>
            <w:vAlign w:val="center"/>
          </w:tcPr>
          <w:p>
            <w:pPr>
              <w:jc w:val="center"/>
            </w:pPr>
            <w:r/>
            <w:r>
              <w:rPr>
                <w:b w:val="0"/>
                <w:sz w:val="18"/>
              </w:rPr>
              <w:t>2025</w:t>
            </w:r>
          </w:p>
        </w:tc>
        <w:tc>
          <w:tcPr>
            <w:tcW w:type="dxa" w:w="2541"/>
            <w:vAlign w:val="center"/>
          </w:tcPr>
          <w:p>
            <w:pPr>
              <w:jc w:val="center"/>
            </w:pPr>
            <w:r/>
            <w:r>
              <w:rPr>
                <w:b w:val="0"/>
                <w:sz w:val="18"/>
              </w:rPr>
              <w:t>5.320</w:t>
            </w:r>
          </w:p>
        </w:tc>
        <w:tc>
          <w:tcPr>
            <w:tcW w:type="dxa" w:w="2541"/>
            <w:vAlign w:val="center"/>
          </w:tcPr>
          <w:p>
            <w:pPr>
              <w:jc w:val="center"/>
            </w:pPr>
            <w:r/>
            <w:r>
              <w:rPr>
                <w:b w:val="0"/>
                <w:sz w:val="18"/>
              </w:rPr>
              <w:t>Base Year</w:t>
            </w:r>
          </w:p>
        </w:tc>
        <w:tc>
          <w:tcPr>
            <w:tcW w:type="dxa" w:w="2541"/>
            <w:vAlign w:val="center"/>
          </w:tcPr>
          <w:p>
            <w:pPr>
              <w:jc w:val="center"/>
            </w:pPr>
            <w:r/>
            <w:r>
              <w:rPr>
                <w:b w:val="0"/>
                <w:sz w:val="18"/>
              </w:rPr>
              <w:t>14.97%</w:t>
            </w:r>
          </w:p>
        </w:tc>
      </w:tr>
      <w:tr>
        <w:tc>
          <w:tcPr>
            <w:tcW w:type="dxa" w:w="2541"/>
            <w:vAlign w:val="center"/>
          </w:tcPr>
          <w:p>
            <w:pPr>
              <w:jc w:val="center"/>
            </w:pPr>
            <w:r/>
            <w:r>
              <w:rPr>
                <w:b w:val="0"/>
                <w:sz w:val="18"/>
              </w:rPr>
              <w:t>2026</w:t>
            </w:r>
          </w:p>
        </w:tc>
        <w:tc>
          <w:tcPr>
            <w:tcW w:type="dxa" w:w="2541"/>
            <w:vAlign w:val="center"/>
          </w:tcPr>
          <w:p>
            <w:pPr>
              <w:jc w:val="center"/>
            </w:pPr>
            <w:r/>
            <w:r>
              <w:rPr>
                <w:b w:val="0"/>
                <w:sz w:val="18"/>
              </w:rPr>
              <w:t>6.321</w:t>
            </w:r>
          </w:p>
        </w:tc>
        <w:tc>
          <w:tcPr>
            <w:tcW w:type="dxa" w:w="2541"/>
            <w:vAlign w:val="center"/>
          </w:tcPr>
          <w:p>
            <w:pPr>
              <w:jc w:val="center"/>
            </w:pPr>
            <w:r/>
            <w:r>
              <w:rPr>
                <w:b w:val="0"/>
                <w:sz w:val="18"/>
              </w:rPr>
              <w:t>Forecast</w:t>
            </w:r>
          </w:p>
        </w:tc>
        <w:tc>
          <w:tcPr>
            <w:tcW w:type="dxa" w:w="2541"/>
            <w:vAlign w:val="center"/>
          </w:tcPr>
          <w:p>
            <w:pPr>
              <w:jc w:val="center"/>
            </w:pPr>
            <w:r/>
            <w:r>
              <w:rPr>
                <w:b w:val="0"/>
                <w:sz w:val="18"/>
              </w:rPr>
              <w:t>18.81%</w:t>
            </w:r>
          </w:p>
        </w:tc>
      </w:tr>
      <w:tr>
        <w:tc>
          <w:tcPr>
            <w:tcW w:type="dxa" w:w="2541"/>
            <w:vAlign w:val="center"/>
          </w:tcPr>
          <w:p>
            <w:pPr>
              <w:jc w:val="center"/>
            </w:pPr>
            <w:r/>
            <w:r>
              <w:rPr>
                <w:b w:val="0"/>
                <w:sz w:val="18"/>
              </w:rPr>
              <w:t>2027</w:t>
            </w:r>
          </w:p>
        </w:tc>
        <w:tc>
          <w:tcPr>
            <w:tcW w:type="dxa" w:w="2541"/>
            <w:vAlign w:val="center"/>
          </w:tcPr>
          <w:p>
            <w:pPr>
              <w:jc w:val="center"/>
            </w:pPr>
            <w:r/>
            <w:r>
              <w:rPr>
                <w:b w:val="0"/>
                <w:sz w:val="18"/>
              </w:rPr>
              <w:t>7.046</w:t>
            </w:r>
          </w:p>
        </w:tc>
        <w:tc>
          <w:tcPr>
            <w:tcW w:type="dxa" w:w="2541"/>
            <w:vAlign w:val="center"/>
          </w:tcPr>
          <w:p>
            <w:pPr>
              <w:jc w:val="center"/>
            </w:pPr>
            <w:r/>
            <w:r>
              <w:rPr>
                <w:b w:val="0"/>
                <w:sz w:val="18"/>
              </w:rPr>
              <w:t>Forecast</w:t>
            </w:r>
          </w:p>
        </w:tc>
        <w:tc>
          <w:tcPr>
            <w:tcW w:type="dxa" w:w="2541"/>
            <w:vAlign w:val="center"/>
          </w:tcPr>
          <w:p>
            <w:pPr>
              <w:jc w:val="center"/>
            </w:pPr>
            <w:r/>
            <w:r>
              <w:rPr>
                <w:b w:val="0"/>
                <w:sz w:val="18"/>
              </w:rPr>
              <w:t>11.48%</w:t>
            </w:r>
          </w:p>
        </w:tc>
      </w:tr>
    </w:tbl>
    <w:p>
      <w:r>
        <w:rPr>
          <w:b/>
        </w:rPr>
        <w:t xml:space="preserve">주: </w:t>
      </w:r>
      <w:r>
        <w:t>2025~2032년 출처 제시 CAGR은 15.96%이며, 2025 Market Size는 USD 5.32bn, 2032 Forecast는 USD 15.00bn이다.</w:t>
      </w:r>
    </w:p>
    <w:p>
      <w:r>
        <w:rPr>
          <w:b/>
          <w:color w:val="1F3753"/>
          <w:sz w:val="26"/>
        </w:rPr>
        <w:t>4. 분석 결과</w:t>
      </w:r>
    </w:p>
    <w:p>
      <w:pPr>
        <w:ind w:left="259"/>
      </w:pPr>
      <w:r>
        <w:rPr>
          <w:b/>
        </w:rPr>
        <w:t xml:space="preserve">• </w:t>
      </w:r>
      <w:r>
        <w:t>2023년 40.49억 달러에서 2027년 70.46억 달러로 증가하며, 선택한 5개년 구간에서도 뚜렷한 우상향 흐름을 보인다.</w:t>
      </w:r>
    </w:p>
    <w:p>
      <w:pPr>
        <w:ind w:left="259"/>
      </w:pPr>
      <w:r>
        <w:rPr>
          <w:b/>
        </w:rPr>
        <w:t xml:space="preserve">• </w:t>
      </w:r>
      <w:r>
        <w:t>2025년은 Base Year이며 2026년과 2027년은 동일 보고서의 Forecast 값이므로 기준연도와 전망치의 시점이 일관된다.</w:t>
      </w:r>
    </w:p>
    <w:p>
      <w:pPr>
        <w:ind w:left="259"/>
      </w:pPr>
      <w:r>
        <w:rPr>
          <w:b/>
        </w:rPr>
        <w:t xml:space="preserve">• </w:t>
      </w:r>
      <w:r>
        <w:t>2025→2026 YoY는 18.81%, 2026→2027 YoY는 11.48%로, 과거에 검토했던 일부 설치량 전망처럼 비정상적으로 한 해에 90% 이상 급증하는 구조는 아니다.</w:t>
      </w:r>
    </w:p>
    <w:p>
      <w:pPr>
        <w:ind w:left="259"/>
      </w:pPr>
      <w:r>
        <w:rPr>
          <w:b/>
        </w:rPr>
        <w:t xml:space="preserve">• </w:t>
      </w:r>
      <w:r>
        <w:t>장기적으로는 2025~2032 CAGR 15.96%가 제시되어 본 프로젝트의 성장률 필터(CAGR 15% 이상)를 충족한다.</w:t>
      </w:r>
    </w:p>
    <w:p>
      <w:r>
        <w:rPr>
          <w:b/>
          <w:color w:val="1F3753"/>
          <w:sz w:val="26"/>
        </w:rPr>
        <w:t>5. 산업 자료를 통한 교차 검증</w:t>
      </w:r>
    </w:p>
    <w:p>
      <w:r>
        <w:rPr>
          <w:b/>
        </w:rPr>
        <w:t xml:space="preserve">TGS | 4C (2026): </w:t>
      </w:r>
      <w:r>
        <w:t>해상풍력 프로젝트용 케이블 누적 설치량이 2015년 약 9,000km에서 2025년 55,500km로 증가했으며, 2026~2040년에는 추가 117,640km 설치를 전망한다. 같은 기간 해저 인터커넥터 및 고전압 해저케이블은 추가 60,700km 증가할 것으로 전망한다.</w:t>
      </w:r>
    </w:p>
    <w:p>
      <w:r>
        <w:rPr>
          <w:b/>
        </w:rPr>
        <w:t xml:space="preserve">CRU: </w:t>
      </w:r>
      <w:r>
        <w:t>2024~2030년 주요 케이블 수요 성장률로 Offshore Wind +22.7% CAGR, HV Subsea +25.1% CAGR을 제시한다. 이는 해상풍력 및 해저 송전 인프라가 케이블 수요 확대의 고성장 영역임을 보조적으로 보여준다.</w:t>
      </w:r>
    </w:p>
    <w:p>
      <w:r>
        <w:rPr>
          <w:b/>
          <w:color w:val="1F3753"/>
          <w:sz w:val="26"/>
        </w:rPr>
        <w:t>6. 데이터 소스 스크리닝</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pPr>
              <w:jc w:val="center"/>
            </w:pPr>
            <w:r/>
            <w:r>
              <w:rPr>
                <w:b/>
                <w:color w:val="FFFFFF"/>
                <w:sz w:val="17"/>
              </w:rPr>
              <w:t>Source</w:t>
            </w:r>
          </w:p>
        </w:tc>
        <w:tc>
          <w:tcPr>
            <w:tcW w:type="dxa" w:w="2541"/>
            <w:shd w:fill="1F4E78"/>
            <w:vAlign w:val="center"/>
          </w:tcPr>
          <w:p>
            <w:pPr>
              <w:jc w:val="center"/>
            </w:pPr>
            <w:r/>
            <w:r>
              <w:rPr>
                <w:b/>
                <w:color w:val="FFFFFF"/>
                <w:sz w:val="17"/>
              </w:rPr>
              <w:t>강점</w:t>
            </w:r>
          </w:p>
        </w:tc>
        <w:tc>
          <w:tcPr>
            <w:tcW w:type="dxa" w:w="2541"/>
            <w:shd w:fill="1F4E78"/>
            <w:vAlign w:val="center"/>
          </w:tcPr>
          <w:p>
            <w:pPr>
              <w:jc w:val="center"/>
            </w:pPr>
            <w:r/>
            <w:r>
              <w:rPr>
                <w:b/>
                <w:color w:val="FFFFFF"/>
                <w:sz w:val="17"/>
              </w:rPr>
              <w:t>한계</w:t>
            </w:r>
          </w:p>
        </w:tc>
        <w:tc>
          <w:tcPr>
            <w:tcW w:type="dxa" w:w="2541"/>
            <w:shd w:fill="1F4E78"/>
            <w:vAlign w:val="center"/>
          </w:tcPr>
          <w:p>
            <w:pPr>
              <w:jc w:val="center"/>
            </w:pPr>
            <w:r/>
            <w:r>
              <w:rPr>
                <w:b/>
                <w:color w:val="FFFFFF"/>
                <w:sz w:val="17"/>
              </w:rPr>
              <w:t>판정</w:t>
            </w:r>
          </w:p>
        </w:tc>
      </w:tr>
      <w:tr>
        <w:tc>
          <w:tcPr>
            <w:tcW w:type="dxa" w:w="2541"/>
            <w:vAlign w:val="center"/>
          </w:tcPr>
          <w:p>
            <w:pPr>
              <w:jc w:val="center"/>
            </w:pPr>
            <w:r/>
            <w:r>
              <w:rPr>
                <w:b w:val="0"/>
                <w:sz w:val="16"/>
              </w:rPr>
              <w:t>Spinergie</w:t>
            </w:r>
          </w:p>
        </w:tc>
        <w:tc>
          <w:tcPr>
            <w:tcW w:type="dxa" w:w="2541"/>
            <w:vAlign w:val="center"/>
          </w:tcPr>
          <w:p>
            <w:pPr>
              <w:jc w:val="left"/>
            </w:pPr>
            <w:r/>
            <w:r>
              <w:rPr>
                <w:b w:val="0"/>
                <w:sz w:val="16"/>
              </w:rPr>
              <w:t>설치량(km) 기반 수요 Proxy가 강점</w:t>
            </w:r>
          </w:p>
        </w:tc>
        <w:tc>
          <w:tcPr>
            <w:tcW w:type="dxa" w:w="2541"/>
            <w:vAlign w:val="center"/>
          </w:tcPr>
          <w:p>
            <w:pPr>
              <w:jc w:val="left"/>
            </w:pPr>
            <w:r/>
            <w:r>
              <w:rPr>
                <w:b w:val="0"/>
                <w:sz w:val="16"/>
              </w:rPr>
              <w:t>공개 연도별 수치의 전망 빈티지 불일치</w:t>
            </w:r>
          </w:p>
        </w:tc>
        <w:tc>
          <w:tcPr>
            <w:tcW w:type="dxa" w:w="2541"/>
            <w:vAlign w:val="center"/>
          </w:tcPr>
          <w:p>
            <w:pPr>
              <w:jc w:val="center"/>
            </w:pPr>
            <w:r/>
            <w:r>
              <w:rPr>
                <w:b w:val="0"/>
                <w:sz w:val="16"/>
              </w:rPr>
              <w:t>제외</w:t>
            </w:r>
          </w:p>
        </w:tc>
      </w:tr>
      <w:tr>
        <w:tc>
          <w:tcPr>
            <w:tcW w:type="dxa" w:w="2541"/>
            <w:vAlign w:val="center"/>
          </w:tcPr>
          <w:p>
            <w:pPr>
              <w:jc w:val="center"/>
            </w:pPr>
            <w:r/>
            <w:r>
              <w:rPr>
                <w:b w:val="0"/>
                <w:sz w:val="16"/>
              </w:rPr>
              <w:t>CRU</w:t>
            </w:r>
          </w:p>
        </w:tc>
        <w:tc>
          <w:tcPr>
            <w:tcW w:type="dxa" w:w="2541"/>
            <w:vAlign w:val="center"/>
          </w:tcPr>
          <w:p>
            <w:pPr>
              <w:jc w:val="left"/>
            </w:pPr>
            <w:r/>
            <w:r>
              <w:rPr>
                <w:b w:val="0"/>
                <w:sz w:val="16"/>
              </w:rPr>
              <w:t>HV Subsea / Offshore Wind 성장률 신뢰도 높음</w:t>
            </w:r>
          </w:p>
        </w:tc>
        <w:tc>
          <w:tcPr>
            <w:tcW w:type="dxa" w:w="2541"/>
            <w:vAlign w:val="center"/>
          </w:tcPr>
          <w:p>
            <w:pPr>
              <w:jc w:val="left"/>
            </w:pPr>
            <w:r/>
            <w:r>
              <w:rPr>
                <w:b w:val="0"/>
                <w:sz w:val="16"/>
              </w:rPr>
              <w:t>정확한 2023~2027 연도별 공개값 부족</w:t>
            </w:r>
          </w:p>
        </w:tc>
        <w:tc>
          <w:tcPr>
            <w:tcW w:type="dxa" w:w="2541"/>
            <w:vAlign w:val="center"/>
          </w:tcPr>
          <w:p>
            <w:pPr>
              <w:jc w:val="center"/>
            </w:pPr>
            <w:r/>
            <w:r>
              <w:rPr>
                <w:b w:val="0"/>
                <w:sz w:val="16"/>
              </w:rPr>
              <w:t>보조자료</w:t>
            </w:r>
          </w:p>
        </w:tc>
      </w:tr>
      <w:tr>
        <w:tc>
          <w:tcPr>
            <w:tcW w:type="dxa" w:w="2541"/>
            <w:vAlign w:val="center"/>
          </w:tcPr>
          <w:p>
            <w:pPr>
              <w:jc w:val="center"/>
            </w:pPr>
            <w:r/>
            <w:r>
              <w:rPr>
                <w:b w:val="0"/>
                <w:sz w:val="16"/>
              </w:rPr>
              <w:t>TGS | 4C</w:t>
            </w:r>
          </w:p>
        </w:tc>
        <w:tc>
          <w:tcPr>
            <w:tcW w:type="dxa" w:w="2541"/>
            <w:vAlign w:val="center"/>
          </w:tcPr>
          <w:p>
            <w:pPr>
              <w:jc w:val="left"/>
            </w:pPr>
            <w:r/>
            <w:r>
              <w:rPr>
                <w:b w:val="0"/>
                <w:sz w:val="16"/>
              </w:rPr>
              <w:t>실제 설치 누적 및 장기 설치 전망 공개</w:t>
            </w:r>
          </w:p>
        </w:tc>
        <w:tc>
          <w:tcPr>
            <w:tcW w:type="dxa" w:w="2541"/>
            <w:vAlign w:val="center"/>
          </w:tcPr>
          <w:p>
            <w:pPr>
              <w:jc w:val="left"/>
            </w:pPr>
            <w:r/>
            <w:r>
              <w:rPr>
                <w:b w:val="0"/>
                <w:sz w:val="16"/>
              </w:rPr>
              <w:t>2026F/2027F 개별 연도값 미공개</w:t>
            </w:r>
          </w:p>
        </w:tc>
        <w:tc>
          <w:tcPr>
            <w:tcW w:type="dxa" w:w="2541"/>
            <w:vAlign w:val="center"/>
          </w:tcPr>
          <w:p>
            <w:pPr>
              <w:jc w:val="center"/>
            </w:pPr>
            <w:r/>
            <w:r>
              <w:rPr>
                <w:b w:val="0"/>
                <w:sz w:val="16"/>
              </w:rPr>
              <w:t>보조자료</w:t>
            </w:r>
          </w:p>
        </w:tc>
      </w:tr>
      <w:tr>
        <w:tc>
          <w:tcPr>
            <w:tcW w:type="dxa" w:w="2541"/>
            <w:vAlign w:val="center"/>
          </w:tcPr>
          <w:p>
            <w:pPr>
              <w:jc w:val="center"/>
            </w:pPr>
            <w:r/>
            <w:r>
              <w:rPr>
                <w:b w:val="0"/>
                <w:sz w:val="16"/>
              </w:rPr>
              <w:t>TrendX Insights</w:t>
            </w:r>
          </w:p>
        </w:tc>
        <w:tc>
          <w:tcPr>
            <w:tcW w:type="dxa" w:w="2541"/>
            <w:vAlign w:val="center"/>
          </w:tcPr>
          <w:p>
            <w:pPr>
              <w:jc w:val="left"/>
            </w:pPr>
            <w:r/>
            <w:r>
              <w:rPr>
                <w:b w:val="0"/>
                <w:sz w:val="16"/>
              </w:rPr>
              <w:t>2025 Base + 2026F/2027F 구조가 깔끔</w:t>
            </w:r>
          </w:p>
        </w:tc>
        <w:tc>
          <w:tcPr>
            <w:tcW w:type="dxa" w:w="2541"/>
            <w:vAlign w:val="center"/>
          </w:tcPr>
          <w:p>
            <w:pPr>
              <w:jc w:val="left"/>
            </w:pPr>
            <w:r/>
            <w:r>
              <w:rPr>
                <w:b w:val="0"/>
                <w:sz w:val="16"/>
              </w:rPr>
              <w:t>장기 CAGR 15% 미만</w:t>
            </w:r>
          </w:p>
        </w:tc>
        <w:tc>
          <w:tcPr>
            <w:tcW w:type="dxa" w:w="2541"/>
            <w:vAlign w:val="center"/>
          </w:tcPr>
          <w:p>
            <w:pPr>
              <w:jc w:val="center"/>
            </w:pPr>
            <w:r/>
            <w:r>
              <w:rPr>
                <w:b w:val="0"/>
                <w:sz w:val="16"/>
              </w:rPr>
              <w:t>제외</w:t>
            </w:r>
          </w:p>
        </w:tc>
      </w:tr>
      <w:tr>
        <w:tc>
          <w:tcPr>
            <w:tcW w:type="dxa" w:w="2541"/>
            <w:vAlign w:val="center"/>
          </w:tcPr>
          <w:p>
            <w:pPr>
              <w:jc w:val="center"/>
            </w:pPr>
            <w:r/>
            <w:r>
              <w:rPr>
                <w:b w:val="0"/>
                <w:sz w:val="16"/>
              </w:rPr>
              <w:t>PW Consulting / PmarketResearch</w:t>
            </w:r>
          </w:p>
        </w:tc>
        <w:tc>
          <w:tcPr>
            <w:tcW w:type="dxa" w:w="2541"/>
            <w:vAlign w:val="center"/>
          </w:tcPr>
          <w:p>
            <w:pPr>
              <w:jc w:val="left"/>
            </w:pPr>
            <w:r/>
            <w:r>
              <w:rPr>
                <w:b w:val="0"/>
                <w:sz w:val="16"/>
              </w:rPr>
              <w:t>Global, 2025 Base, 연도별 공개, CAGR 15%+</w:t>
            </w:r>
          </w:p>
        </w:tc>
        <w:tc>
          <w:tcPr>
            <w:tcW w:type="dxa" w:w="2541"/>
            <w:vAlign w:val="center"/>
          </w:tcPr>
          <w:p>
            <w:pPr>
              <w:jc w:val="left"/>
            </w:pPr>
            <w:r/>
            <w:r>
              <w:rPr>
                <w:b w:val="0"/>
                <w:sz w:val="16"/>
              </w:rPr>
              <w:t>Offshore Wind Cable 범위</w:t>
            </w:r>
          </w:p>
        </w:tc>
        <w:tc>
          <w:tcPr>
            <w:tcW w:type="dxa" w:w="2541"/>
            <w:vAlign w:val="center"/>
          </w:tcPr>
          <w:p>
            <w:pPr>
              <w:jc w:val="center"/>
            </w:pPr>
            <w:r/>
            <w:r>
              <w:rPr>
                <w:b w:val="0"/>
                <w:sz w:val="16"/>
              </w:rPr>
              <w:t>최종 채택</w:t>
            </w:r>
          </w:p>
        </w:tc>
      </w:tr>
    </w:tbl>
    <w:p>
      <w:r>
        <w:rPr>
          <w:b/>
          <w:color w:val="1F3753"/>
          <w:sz w:val="26"/>
        </w:rPr>
        <w:t>7. 방법론 및 재현성</w:t>
      </w:r>
    </w:p>
    <w:p>
      <w:pPr>
        <w:ind w:left="173"/>
      </w:pPr>
      <w:r>
        <w:rPr>
          <w:b/>
        </w:rPr>
        <w:t xml:space="preserve">1. </w:t>
      </w:r>
      <w:r>
        <w:t>후보 산업 리서치 출처를 수집하고 시장 정의와 조사 시점을 확인하였다.</w:t>
      </w:r>
    </w:p>
    <w:p>
      <w:pPr>
        <w:ind w:left="173"/>
      </w:pPr>
      <w:r>
        <w:rPr>
          <w:b/>
        </w:rPr>
        <w:t xml:space="preserve">2. </w:t>
      </w:r>
      <w:r>
        <w:t>2025 Base/Actual 여부, 2026F·2027F 동일기관 여부, 글로벌 범위, CAGR 15% 이상 여부를 필터로 적용하였다.</w:t>
      </w:r>
    </w:p>
    <w:p>
      <w:pPr>
        <w:ind w:left="173"/>
      </w:pPr>
      <w:r>
        <w:rPr>
          <w:b/>
        </w:rPr>
        <w:t xml:space="preserve">3. </w:t>
      </w:r>
      <w:r>
        <w:t>최종 데이터는 CSV로 정리하고 Python(pandas)을 이용해 YoY와 2023~2027 CAGR을 재계산하였다.</w:t>
      </w:r>
    </w:p>
    <w:p>
      <w:pPr>
        <w:ind w:left="173"/>
      </w:pPr>
      <w:r>
        <w:rPr>
          <w:b/>
        </w:rPr>
        <w:t xml:space="preserve">4. </w:t>
      </w:r>
      <w:r>
        <w:t>시장 전체를 과장하지 않도록 Offshore Wind Cable을 “전체 Subsea Power Cable 시장”이 아닌 “수요 증가 Proxy”로 명확히 구분하였다.</w:t>
      </w:r>
    </w:p>
    <w:p>
      <w:pPr>
        <w:ind w:left="173"/>
      </w:pPr>
      <w:r>
        <w:rPr>
          <w:b/>
        </w:rPr>
        <w:t xml:space="preserve">5. </w:t>
      </w:r>
      <w:r>
        <w:t>TGS | 4C 및 CRU 자료를 이용해 설치량 증가와 HV Subsea 성장률을 교차 검증하였다.</w:t>
      </w:r>
    </w:p>
    <w:p>
      <w:r>
        <w:rPr>
          <w:b/>
          <w:color w:val="1F3753"/>
          <w:sz w:val="26"/>
        </w:rPr>
        <w:t>8. AI 활용 및 검증</w:t>
      </w:r>
    </w:p>
    <w:p>
      <w:r>
        <w:t>생성형 AI는 후보 출처 탐색, 데이터 조건 비교, Python 코드 작성 보조, 문서 구조화에 활용하였다. 다만 AI가 제시한 수치를 그대로 채택하지 않고 원문 페이지의 Base Year, Forecast Period, 연도별 표, CAGR 및 시장 범위를 직접 확인하였다. 특히 과거 전망치를 현재 Actual로 오표기하는 문제, 서로 다른 기관·시장 정의를 혼합하는 문제, CAGR 기준 미충족 자료를 채택하는 문제를 방지하기 위해 출처 검증 절차를 별도로 기록하였다.</w:t>
      </w:r>
    </w:p>
    <w:p>
      <w:r>
        <w:rPr>
          <w:b/>
          <w:color w:val="1F3753"/>
          <w:sz w:val="26"/>
        </w:rPr>
        <w:t>9. 한계 및 해석상 주의사항</w:t>
      </w:r>
    </w:p>
    <w:p>
      <w:pPr>
        <w:ind w:left="259"/>
      </w:pPr>
      <w:r>
        <w:rPr>
          <w:b/>
        </w:rPr>
        <w:t xml:space="preserve">• </w:t>
      </w:r>
      <w:r>
        <w:t>최종 데이터는 전체 글로벌 Subsea Power Cable 시장이 아니라 Offshore Wind Cable 시장이다.</w:t>
      </w:r>
    </w:p>
    <w:p>
      <w:pPr>
        <w:ind w:left="259"/>
      </w:pPr>
      <w:r>
        <w:rPr>
          <w:b/>
        </w:rPr>
        <w:t xml:space="preserve">• </w:t>
      </w:r>
      <w:r>
        <w:t>단위는 케이블 설치 길이(km)가 아니라 시장규모(USD)이다.</w:t>
      </w:r>
    </w:p>
    <w:p>
      <w:pPr>
        <w:ind w:left="259"/>
      </w:pPr>
      <w:r>
        <w:rPr>
          <w:b/>
        </w:rPr>
        <w:t xml:space="preserve">• </w:t>
      </w:r>
      <w:r>
        <w:t>상업 리서치 기관마다 시장 정의·포함 범위가 달라 절대 시장규모를 기관 간 단순 비교해서는 안 된다.</w:t>
      </w:r>
    </w:p>
    <w:p>
      <w:pPr>
        <w:ind w:left="259"/>
      </w:pPr>
      <w:r>
        <w:rPr>
          <w:b/>
        </w:rPr>
        <w:t xml:space="preserve">• </w:t>
      </w:r>
      <w:r>
        <w:t>따라서 본 프로젝트의 목적은 절대값 확정이 아니라, 공개 자료를 이용해 해저전력케이블 수요 증가 방향성과 성장성을 검증하는 데 있다.</w:t>
      </w:r>
    </w:p>
    <w:p>
      <w:r>
        <w:rPr>
          <w:b/>
          <w:color w:val="1F3753"/>
          <w:sz w:val="26"/>
        </w:rPr>
        <w:t>10. 주요 출처</w:t>
      </w:r>
    </w:p>
    <w:p>
      <w:pPr>
        <w:ind w:left="216"/>
      </w:pPr>
      <w:r>
        <w:rPr>
          <w:b/>
        </w:rPr>
        <w:t xml:space="preserve">• </w:t>
      </w:r>
      <w:r>
        <w:t>PW Consulting / PmarketResearch, “Worldwide Offshore Wind Cable Market 2026”</w:t>
        <w:br/>
      </w:r>
      <w:r>
        <w:rPr>
          <w:color w:val="3C5A8C"/>
          <w:sz w:val="16"/>
        </w:rPr>
        <w:t>https://pmarketresearch.com/worldwide-offshore-wind-cable-market-research/</w:t>
      </w:r>
    </w:p>
    <w:p>
      <w:pPr>
        <w:ind w:left="216"/>
      </w:pPr>
      <w:r>
        <w:rPr>
          <w:b/>
        </w:rPr>
        <w:t xml:space="preserve">• </w:t>
      </w:r>
      <w:r>
        <w:t>TGS | 4C, “Analysis Flags Rising Subsea Cable Demand and Vessel Bottlenecks Driven by Offshore Wind Growth”</w:t>
        <w:br/>
      </w:r>
      <w:r>
        <w:rPr>
          <w:color w:val="3C5A8C"/>
          <w:sz w:val="16"/>
        </w:rPr>
        <w:t>https://www.tgs.com/press-releases/tgs-4c-analysis-flags-rising-subsea-cable-demand-and-vessel-bottlenecks-driven-by-offshore-wind-growth</w:t>
      </w:r>
    </w:p>
    <w:p>
      <w:pPr>
        <w:ind w:left="216"/>
      </w:pPr>
      <w:r>
        <w:rPr>
          <w:b/>
        </w:rPr>
        <w:t xml:space="preserve">• </w:t>
      </w:r>
      <w:r>
        <w:t>CRU, “Wire and Cable Services”</w:t>
        <w:br/>
      </w:r>
      <w:r>
        <w:rPr>
          <w:color w:val="3C5A8C"/>
          <w:sz w:val="16"/>
        </w:rPr>
        <w:t>https://www.crugroup.com/globalassets/brochures/new-brochures/wires-and-cable-services-brochure.pdf</w:t>
      </w:r>
    </w:p>
    <w:p>
      <w:pPr>
        <w:spacing w:before="160"/>
      </w:pPr>
      <w:r>
        <w:rPr>
          <w:i/>
          <w:color w:val="646464"/>
          <w:sz w:val="16"/>
        </w:rPr>
        <w:t>본 문서는 공개 데이터와 공개적으로 확인 가능한 산업 리서치 자료를 바탕으로 작성되었으며, 유료 보고서의 비공개 원문 수치를 재배포하지 않는다.</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5"/>
      </w:rPr>
      <w:t>Global Subsea Power Cable Demand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