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B45309"/>
          <w:sz w:val="18"/>
        </w:rPr>
        <w:t>VERSIÓN DE TRABAJO · SUJETA A REVISIÓN JURÍDICA ANTES DE PRODUCCIÓN</w:t>
      </w:r>
    </w:p>
    <w:p>
      <w:pPr>
        <w:pStyle w:val="Title"/>
      </w:pPr>
      <w:r>
        <w:t>Acuerdo de Confidencialidad (NDA) Bilateral</w:t>
      </w:r>
    </w:p>
    <w:p>
      <w:pPr>
        <w:jc w:val="left"/>
      </w:pPr>
      <w:r>
        <w:rPr>
          <w:b/>
          <w:sz w:val="22"/>
        </w:rPr>
        <w:t>Modelo para clientes, prospectos, partners y colaboradores</w:t>
      </w:r>
    </w:p>
    <w:p>
      <w:r>
        <w:rPr>
          <w:i/>
          <w:sz w:val="18"/>
        </w:rPr>
        <w:t>Versión 1.0 | Fecha de referencia: 15 de agosto de 2026</w:t>
      </w:r>
    </w:p>
    <w:p>
      <w:pPr/>
      <w:r>
        <w:rPr>
          <w:b/>
        </w:rPr>
        <w:t xml:space="preserve">BORRADOR PARA REVISIÓN LEGAL. </w:t>
      </w:r>
      <w:r>
        <w:t>Documento preparado para la V1 de Datara. Los campos entre corchetes deben completarse antes de publicación o firma. Se recomienda revisión final por abogado mexicano especializado en tecnología y protección de datos.</w:t>
      </w:r>
    </w:p>
    <w:p>
      <w:pPr>
        <w:pStyle w:val="Heading1"/>
      </w:pPr>
      <w:r>
        <w:t>1. Partes</w:t>
      </w:r>
    </w:p>
    <w:p>
      <w:r>
        <w:t>Este Acuerdo de Confidencialidad se celebra entre Jean Paul Augdey Rodriguez (“Datara”) y Jean Paul Augdey Rodriguez (cada una, una “Parte” y conjuntamente, las “Partes”).</w:t>
      </w:r>
    </w:p>
    <w:p>
      <w:pPr>
        <w:pStyle w:val="Heading1"/>
      </w:pPr>
      <w:r>
        <w:t>2. Información confidencial</w:t>
      </w:r>
    </w:p>
    <w:p>
      <w:r>
        <w:t>Se considera Información Confidencial toda información no pública revelada por una Parte a la otra, oralmente, visualmente, por escrito o electrónicamente, incluyendo información técnica, comercial, financiera, bases de datos, código, arquitectura, credenciales, estrategias, precios, clientes, prototipos, documentación y secretos industriales, siempre que por su naturaleza o circunstancias razonablemente deba entenderse como confidencial.</w:t>
      </w:r>
    </w:p>
    <w:p>
      <w:pPr>
        <w:pStyle w:val="Heading1"/>
      </w:pPr>
      <w:r>
        <w:t>3. Exclusiones</w:t>
      </w:r>
    </w:p>
    <w:p>
      <w:pPr>
        <w:pStyle w:val="ListBullet"/>
      </w:pPr>
      <w:r>
        <w:t>Información que sea pública sin incumplimiento de este Acuerdo.</w:t>
      </w:r>
    </w:p>
    <w:p>
      <w:pPr>
        <w:pStyle w:val="ListBullet"/>
      </w:pPr>
      <w:r>
        <w:t>Información que la Parte receptora ya poseía legítimamente sin obligación de confidencialidad.</w:t>
      </w:r>
    </w:p>
    <w:p>
      <w:pPr>
        <w:pStyle w:val="ListBullet"/>
      </w:pPr>
      <w:r>
        <w:t>Información recibida lícitamente de un tercero sin deber de confidencialidad.</w:t>
      </w:r>
    </w:p>
    <w:p>
      <w:pPr>
        <w:pStyle w:val="ListBullet"/>
      </w:pPr>
      <w:r>
        <w:t>Información desarrollada independientemente sin uso de Información Confidencial.</w:t>
      </w:r>
    </w:p>
    <w:p>
      <w:pPr>
        <w:pStyle w:val="Heading1"/>
      </w:pPr>
      <w:r>
        <w:t>4. Obligaciones</w:t>
      </w:r>
    </w:p>
    <w:p>
      <w:r>
        <w:t>La Parte receptora utilizará la Información Confidencial únicamente para evaluar, negociar, implementar o mantener la relación entre las Partes; limitará el acceso a personas que necesiten conocerla y estén sujetas a deberes de confidencialidad; y aplicará cuidado razonable para protegerla.</w:t>
      </w:r>
    </w:p>
    <w:p>
      <w:pPr>
        <w:pStyle w:val="Heading1"/>
      </w:pPr>
      <w:r>
        <w:t>5. Divulgación requerida</w:t>
      </w:r>
    </w:p>
    <w:p>
      <w:r>
        <w:t>Si una autoridad competente exige divulgar Información Confidencial, la Parte receptora podrá hacerlo en la medida legalmente requerida y, cuando sea permitido, notificará previamente a la Parte reveladora.</w:t>
      </w:r>
    </w:p>
    <w:p>
      <w:pPr>
        <w:pStyle w:val="Heading1"/>
      </w:pPr>
      <w:r>
        <w:t>6. Datos personales</w:t>
      </w:r>
    </w:p>
    <w:p>
      <w:r>
        <w:t>La revelación de datos personales no sustituye los avisos, consentimientos, contratos de tratamiento u otras obligaciones de privacidad aplicables. Si la relación requiere tratamiento sistemático de datos por cuenta de otra Parte, deberá celebrarse o incorporarse el acuerdo correspondiente.</w:t>
      </w:r>
    </w:p>
    <w:p>
      <w:pPr>
        <w:pStyle w:val="Heading1"/>
      </w:pPr>
      <w:r>
        <w:t>7. Propiedad</w:t>
      </w:r>
    </w:p>
    <w:p>
      <w:r>
        <w:t>La Información Confidencial continúa siendo propiedad de la Parte reveladora. Este Acuerdo no concede licencia de propiedad intelectual salvo la autorización limitada necesaria para el propósito permitido.</w:t>
      </w:r>
    </w:p>
    <w:p>
      <w:pPr>
        <w:pStyle w:val="Heading1"/>
      </w:pPr>
      <w:r>
        <w:t>8. Vigencia</w:t>
      </w:r>
    </w:p>
    <w:p>
      <w:r>
        <w:t>Las obligaciones de confidencialidad permanecerán durante 5 años desde cada revelación; respecto de secretos industriales, durante el tiempo en que mantengan dicho carácter conforme a la ley aplicable.</w:t>
      </w:r>
    </w:p>
    <w:p>
      <w:pPr>
        <w:pStyle w:val="Heading1"/>
      </w:pPr>
      <w:r>
        <w:t>9. Devolución o destrucción</w:t>
      </w:r>
    </w:p>
    <w:p>
      <w:r>
        <w:t>A solicitud, la Parte receptora devolverá o destruirá la Información Confidencial razonablemente identificable, salvo copias conservadas por obligaciones legales, sistemas de respaldo o políticas de archivo, que seguirán protegidas.</w:t>
      </w:r>
    </w:p>
    <w:p>
      <w:pPr>
        <w:pStyle w:val="Heading1"/>
      </w:pPr>
      <w:r>
        <w:t>10. Ley y jurisdicción</w:t>
      </w:r>
    </w:p>
    <w:p>
      <w:r>
        <w:t>Este Acuerdo se regirá por las leyes de México. Jurisdicción propuesta: Cuautitlán Izcalli, Estado de México, salvo pacto distinto por escrito.</w:t>
      </w:r>
    </w:p>
    <w:p>
      <w:pPr>
        <w:pStyle w:val="Heading1"/>
      </w:pPr>
      <w:r>
        <w:t>11.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EAEA"/>
          </w:tcPr>
          <w:p>
            <w:r>
              <w:rPr>
                <w:b/>
              </w:rPr>
              <w:t>DATARA</w:t>
            </w:r>
          </w:p>
        </w:tc>
        <w:tc>
          <w:tcPr>
            <w:tcW w:type="dxa" w:w="4896"/>
            <w:vAlign w:val="center"/>
            <w:shd w:fill="EAEAEA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4896"/>
            <w:vAlign w:val="center"/>
          </w:tcPr>
          <w:p>
            <w:r>
              <w:t>Nombre: Jean Paul Augdey Rodriguez</w:t>
            </w:r>
          </w:p>
        </w:tc>
        <w:tc>
          <w:tcPr>
            <w:tcW w:type="dxa" w:w="4896"/>
            <w:vAlign w:val="center"/>
          </w:tcPr>
          <w:p>
            <w:r>
              <w:t>Razón social: 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Representante: __________________________</w:t>
            </w:r>
          </w:p>
        </w:tc>
        <w:tc>
          <w:tcPr>
            <w:tcW w:type="dxa" w:w="4896"/>
            <w:vAlign w:val="center"/>
          </w:tcPr>
          <w:p>
            <w:r>
              <w:t>Representante: 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Firma / aceptación electrónica: __________</w:t>
            </w:r>
          </w:p>
        </w:tc>
        <w:tc>
          <w:tcPr>
            <w:tcW w:type="dxa" w:w="4896"/>
            <w:vAlign w:val="center"/>
          </w:tcPr>
          <w:p>
            <w:r>
              <w:t>Firma / aceptación electrónica: 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DATARA  |  Legal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NDA Confidencialidad Datara V1</dc:title>
  <dc:subject/>
  <dc:creator>Datara Lab</dc:creator>
  <cp:keywords/>
  <dc:description>Versión de trabajo actualizada para revisión jurídica e integración técnica del checkout V1.</dc:description>
  <cp:lastModifiedBy>Datara Lab</cp:lastModifiedBy>
  <cp:revision>1</cp:revision>
  <dcterms:created xsi:type="dcterms:W3CDTF">2013-12-23T23:15:00Z</dcterms:created>
  <dcterms:modified xsi:type="dcterms:W3CDTF">2013-12-23T23:15:00Z</dcterms:modified>
  <cp:category/>
</cp:coreProperties>
</file>