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B45309"/>
          <w:sz w:val="18"/>
        </w:rPr>
        <w:t>VERSIÓN DE TRABAJO · SUJETA A REVISIÓN JURÍDICA ANTES DE PRODUCCIÓN</w:t>
      </w:r>
    </w:p>
    <w:p>
      <w:pPr>
        <w:pStyle w:val="Title"/>
      </w:pPr>
      <w:r>
        <w:t>Checklist Legal y de Privacidad para Lanzamiento V1</w:t>
      </w:r>
    </w:p>
    <w:p>
      <w:pPr>
        <w:jc w:val="left"/>
      </w:pPr>
      <w:r>
        <w:rPr>
          <w:b/>
          <w:sz w:val="22"/>
        </w:rPr>
        <w:t>Acciones que deben coincidir entre documentos y producto</w:t>
      </w:r>
    </w:p>
    <w:p>
      <w:r>
        <w:rPr>
          <w:i/>
          <w:sz w:val="18"/>
        </w:rPr>
        <w:t>Versión 1.0 | Fecha de referencia: 15 de agosto de 2026</w:t>
      </w:r>
    </w:p>
    <w:p>
      <w:pPr/>
      <w:r>
        <w:rPr>
          <w:b/>
        </w:rPr>
        <w:t xml:space="preserve">BORRADOR PARA REVISIÓN LEGAL. </w:t>
      </w:r>
      <w:r>
        <w:t>Documento preparado para la V1 de Datara. Los campos entre corchetes deben completarse antes de publicación o firma. Se recomienda revisión final por abogado mexicano especializado en tecnología y protección de datos.</w:t>
      </w:r>
    </w:p>
    <w:p>
      <w:pPr>
        <w:pStyle w:val="Heading1"/>
      </w:pPr>
      <w:r>
        <w:t>A. Datos corporativos</w:t>
      </w:r>
    </w:p>
    <w:p>
      <w:pPr>
        <w:pStyle w:val="ListBullet"/>
      </w:pPr>
      <w:r>
        <w:t>Completar razón social/nombre legal, RFC y domicilio.</w:t>
      </w:r>
    </w:p>
    <w:p>
      <w:pPr>
        <w:pStyle w:val="ListBullet"/>
      </w:pPr>
      <w:r>
        <w:t>Definir correo de privacidad y correo de soporte.</w:t>
      </w:r>
    </w:p>
    <w:p>
      <w:pPr>
        <w:pStyle w:val="ListBullet"/>
      </w:pPr>
      <w:r>
        <w:t>Definir jurisdicción contractual.</w:t>
      </w:r>
    </w:p>
    <w:p>
      <w:pPr>
        <w:pStyle w:val="ListBullet"/>
      </w:pPr>
      <w:r>
        <w:t>Confirmar si la contratación será B2B exclusivamente o también con personas consumidoras.</w:t>
      </w:r>
    </w:p>
    <w:p>
      <w:pPr>
        <w:pStyle w:val="Heading1"/>
      </w:pPr>
      <w:r>
        <w:t>B. Contratación electrónica</w:t>
      </w:r>
    </w:p>
    <w:p>
      <w:pPr>
        <w:pStyle w:val="ListBullet"/>
      </w:pPr>
      <w:r>
        <w:t>Mostrar enlaces a Términos, Contrato y Aviso antes de contratar.</w:t>
      </w:r>
    </w:p>
    <w:p>
      <w:pPr>
        <w:pStyle w:val="ListBullet"/>
      </w:pPr>
      <w:r>
        <w:t>Agregar casilla no premarcada de aceptación cuando corresponda.</w:t>
      </w:r>
    </w:p>
    <w:p>
      <w:pPr>
        <w:pStyle w:val="ListBullet"/>
      </w:pPr>
      <w:r>
        <w:t>Guardar versión del documento, fecha/hora, usuario/organización y evidencia técnica de aceptación.</w:t>
      </w:r>
    </w:p>
    <w:p>
      <w:pPr>
        <w:pStyle w:val="ListBullet"/>
      </w:pPr>
      <w:r>
        <w:t>Permitir descargar o consultar la versión aceptada.</w:t>
      </w:r>
    </w:p>
    <w:p>
      <w:pPr>
        <w:pStyle w:val="Heading1"/>
      </w:pPr>
      <w:r>
        <w:t>C. Privacidad</w:t>
      </w:r>
    </w:p>
    <w:p>
      <w:pPr>
        <w:pStyle w:val="ListBullet"/>
      </w:pPr>
      <w:r>
        <w:t>Publicar Aviso de Privacidad integral.</w:t>
      </w:r>
    </w:p>
    <w:p>
      <w:pPr>
        <w:pStyle w:val="ListBullet"/>
      </w:pPr>
      <w:r>
        <w:t>Crear flujo interno para solicitudes ARCO.</w:t>
      </w:r>
    </w:p>
    <w:p>
      <w:pPr>
        <w:pStyle w:val="ListBullet"/>
      </w:pPr>
      <w:r>
        <w:t>Definir responsable interno de privacidad.</w:t>
      </w:r>
    </w:p>
    <w:p>
      <w:pPr>
        <w:pStyle w:val="ListBullet"/>
      </w:pPr>
      <w:r>
        <w:t>Documentar subencargados reales y regiones de alojamiento.</w:t>
      </w:r>
    </w:p>
    <w:p>
      <w:pPr>
        <w:pStyle w:val="ListBullet"/>
      </w:pPr>
      <w:r>
        <w:t>Definir procedimiento de incidentes y contacto de escalamiento.</w:t>
      </w:r>
    </w:p>
    <w:p>
      <w:pPr>
        <w:pStyle w:val="Heading1"/>
      </w:pPr>
      <w:r>
        <w:t>D. Producto</w:t>
      </w:r>
    </w:p>
    <w:p>
      <w:pPr>
        <w:pStyle w:val="ListBullet"/>
      </w:pPr>
      <w:r>
        <w:t>Implementar soft delete con deleted_at y deleted_by en entidades eliminables.</w:t>
      </w:r>
    </w:p>
    <w:p>
      <w:pPr>
        <w:pStyle w:val="ListBullet"/>
      </w:pPr>
      <w:r>
        <w:t>Excluir eliminados de consultas ordinarias.</w:t>
      </w:r>
    </w:p>
    <w:p>
      <w:pPr>
        <w:pStyle w:val="ListBullet"/>
      </w:pPr>
      <w:r>
        <w:t>Definir qué entidades se cancelan/anulan en lugar de eliminarse.</w:t>
      </w:r>
    </w:p>
    <w:p>
      <w:pPr>
        <w:pStyle w:val="ListBullet"/>
      </w:pPr>
      <w:r>
        <w:t>Registrar eventos de auditoría críticos.</w:t>
      </w:r>
    </w:p>
    <w:p>
      <w:pPr>
        <w:pStyle w:val="ListBullet"/>
      </w:pPr>
      <w:r>
        <w:t>Definir periodos reales de retención y purga.</w:t>
      </w:r>
    </w:p>
    <w:p>
      <w:pPr>
        <w:pStyle w:val="ListBullet"/>
      </w:pPr>
      <w:r>
        <w:t>Crear exportación de datos del Workspace antes de cancelación o un procedimiento de soporte equivalente.</w:t>
      </w:r>
    </w:p>
    <w:p>
      <w:pPr>
        <w:pStyle w:val="ListBullet"/>
      </w:pPr>
      <w:r>
        <w:t>Revisar separación lógica multi-tenant y permisos por rol.</w:t>
      </w:r>
    </w:p>
    <w:p>
      <w:pPr>
        <w:pStyle w:val="Heading1"/>
      </w:pPr>
      <w:r>
        <w:t>E. Cookies</w:t>
      </w:r>
    </w:p>
    <w:p>
      <w:pPr>
        <w:pStyle w:val="ListBullet"/>
      </w:pPr>
      <w:r>
        <w:t>Inventariar cookies reales de autenticación y terceros.</w:t>
      </w:r>
    </w:p>
    <w:p>
      <w:pPr>
        <w:pStyle w:val="ListBullet"/>
      </w:pPr>
      <w:r>
        <w:t>No publicar categorías/proveedores ficticios.</w:t>
      </w:r>
    </w:p>
    <w:p>
      <w:pPr>
        <w:pStyle w:val="ListBullet"/>
      </w:pPr>
      <w:r>
        <w:t>Implementar consentimiento para tecnologías no necesarias cuando corresponda.</w:t>
      </w:r>
    </w:p>
    <w:p>
      <w:pPr>
        <w:pStyle w:val="ListBullet"/>
      </w:pPr>
      <w:r>
        <w:t>Mantener la Política de Cookies sincronizada con el código.</w:t>
      </w:r>
    </w:p>
    <w:p>
      <w:pPr>
        <w:pStyle w:val="Heading1"/>
      </w:pPr>
      <w:r>
        <w:t>F. Revisión profesional antes de producción</w:t>
      </w:r>
    </w:p>
    <w:p>
      <w:pPr>
        <w:pStyle w:val="ListBullet"/>
      </w:pPr>
      <w:r>
        <w:t>Abogado: responsabilidad, jurisdicción, renovación/cancelación, DPA, transferencias y privacidad.</w:t>
      </w:r>
    </w:p>
    <w:p>
      <w:pPr>
        <w:pStyle w:val="ListBullet"/>
      </w:pPr>
      <w:r>
        <w:t>Contador/fiscal: periodos de conservación de facturación y documentación fiscal.</w:t>
      </w:r>
    </w:p>
    <w:p>
      <w:pPr>
        <w:pStyle w:val="ListBullet"/>
      </w:pPr>
      <w:r>
        <w:t>Seguridad: validar medidas descritas contra la implementación real.</w:t>
      </w:r>
    </w:p>
    <w:p>
      <w:pPr>
        <w:pStyle w:val="ListBullet"/>
      </w:pPr>
      <w:r>
        <w:t>Producto: verificar que ninguna pantalla prometa eliminación inmediata si el backend usa soft delete.</w:t>
      </w:r>
    </w:p>
    <w:p>
      <w:pPr>
        <w:pStyle w:val="Heading2"/>
      </w:pPr>
      <w:r>
        <w:t>Evidencia de aceptación electrónica</w:t>
      </w:r>
    </w:p>
    <w:p>
      <w:r>
        <w:t>La plataforma conservará un registro auditable con el identificador de la compra, usuario y organización cuando existan, fecha y hora, contexto de aceptación, versiones y huellas digitales de los documentos, texto del consentimiento y evidencia técnica razonable. El registro de aceptación no sustituye las obligaciones de información ni los derechos de revocación o cancelación aplicables.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DATARA  |  Legal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Checklist Legal Privacidad Lanzamiento V1</dc:title>
  <dc:subject/>
  <dc:creator>Datara Lab</dc:creator>
  <cp:keywords/>
  <dc:description>Versión de trabajo actualizada para revisión jurídica e integración técnica del checkout V1.</dc:description>
  <cp:lastModifiedBy>Datara Lab</cp:lastModifiedBy>
  <cp:revision>1</cp:revision>
  <dcterms:created xsi:type="dcterms:W3CDTF">2013-12-23T23:15:00Z</dcterms:created>
  <dcterms:modified xsi:type="dcterms:W3CDTF">2013-12-23T23:15:00Z</dcterms:modified>
  <cp:category/>
</cp:coreProperties>
</file>