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B45309"/>
          <w:sz w:val="18"/>
        </w:rPr>
        <w:t>VERSIÓN DE TRABAJO · SUJETA A REVISIÓN JURÍDICA ANTES DE PRODUCCIÓN</w:t>
      </w:r>
    </w:p>
    <w:p>
      <w:pPr>
        <w:pStyle w:val="Title"/>
      </w:pPr>
      <w:r>
        <w:t>Política de Conservación, Eliminación y Restauración de Datos</w:t>
      </w:r>
    </w:p>
    <w:p>
      <w:pPr>
        <w:jc w:val="left"/>
      </w:pPr>
      <w:r>
        <w:rPr>
          <w:b/>
          <w:sz w:val="22"/>
        </w:rPr>
        <w:t>Política operativa V1 de Datara</w:t>
      </w:r>
    </w:p>
    <w:p>
      <w:r>
        <w:rPr>
          <w:i/>
          <w:sz w:val="18"/>
        </w:rPr>
        <w:t>Versión 1.0 | Fecha de referencia: 15 de agosto de 2026</w:t>
      </w:r>
    </w:p>
    <w:p>
      <w:pPr/>
      <w:r>
        <w:rPr>
          <w:b/>
        </w:rPr>
        <w:t xml:space="preserve">BORRADOR PARA REVISIÓN LEGAL. </w:t>
      </w:r>
      <w:r>
        <w:t>Documento preparado para la V1 de Datara. Los campos entre corchetes deben completarse antes de publicación o firma. Se recomienda revisión final por abogado mexicano especializado en tecnología y protección de datos.</w:t>
      </w:r>
    </w:p>
    <w:p>
      <w:pPr>
        <w:pStyle w:val="Heading1"/>
      </w:pPr>
      <w:r>
        <w:t>1. Objetivo</w:t>
      </w:r>
    </w:p>
    <w:p>
      <w:r>
        <w:t>Definir cómo Datara conserva, elimina, bloquea, restaura y suprime información para equilibrar continuidad operativa, recuperación ante errores, privacidad, auditoría y obligaciones legales.</w:t>
      </w:r>
    </w:p>
    <w:p>
      <w:pPr>
        <w:pStyle w:val="Heading1"/>
      </w:pPr>
      <w:r>
        <w:t>2. Principios</w:t>
      </w:r>
    </w:p>
    <w:p>
      <w:pPr>
        <w:pStyle w:val="ListBullet"/>
      </w:pPr>
      <w:r>
        <w:t>Minimización: conservar únicamente lo necesario para finalidades legítimas.</w:t>
      </w:r>
    </w:p>
    <w:p>
      <w:pPr>
        <w:pStyle w:val="ListBullet"/>
      </w:pPr>
      <w:r>
        <w:t>Trazabilidad: registrar acciones relevantes de eliminación y restauración cuando la funcionalidad lo permita.</w:t>
      </w:r>
    </w:p>
    <w:p>
      <w:pPr>
        <w:pStyle w:val="ListBullet"/>
      </w:pPr>
      <w:r>
        <w:t>Recuperabilidad controlada: utilizar soft delete para reducir pérdidas accidentales.</w:t>
      </w:r>
    </w:p>
    <w:p>
      <w:pPr>
        <w:pStyle w:val="ListBullet"/>
      </w:pPr>
      <w:r>
        <w:t>Supresión efectiva: eliminar o anonimizar cuando expire la necesidad y no exista obligación de conservación.</w:t>
      </w:r>
    </w:p>
    <w:p>
      <w:pPr>
        <w:pStyle w:val="ListBullet"/>
      </w:pPr>
      <w:r>
        <w:t>Separación: distinguir Datos del Cliente, datos de cuenta de Datara, logs, facturación y respaldos.</w:t>
      </w:r>
    </w:p>
    <w:p>
      <w:pPr>
        <w:pStyle w:val="Heading1"/>
      </w:pPr>
      <w:r>
        <w:t>3. Modelo de eliminación V1</w:t>
      </w:r>
    </w:p>
    <w:p>
      <w:r>
        <w:t>En módulos que soporten eliminación, la acción del usuario marcará inicialmente el registro con atributos equivalentes a deleted_at y deleted_by. El registro se excluirá de las vistas ordinarias y podrá conservarse para restauración durante un periodo definido.</w:t>
      </w:r>
    </w:p>
    <w:p>
      <w:pPr>
        <w:pStyle w:val="Heading1"/>
      </w:pPr>
      <w:r>
        <w:t>4. Matriz inicial de conservación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EAEAEA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  <w:shd w:fill="EAEAEA"/>
          </w:tcPr>
          <w:p>
            <w:r>
              <w:rPr>
                <w:b/>
              </w:rPr>
              <w:t>Acción al eliminar</w:t>
            </w:r>
          </w:p>
        </w:tc>
        <w:tc>
          <w:tcPr>
            <w:tcW w:type="dxa" w:w="2448"/>
            <w:shd w:fill="EAEAEA"/>
          </w:tcPr>
          <w:p>
            <w:r>
              <w:rPr>
                <w:b/>
              </w:rPr>
              <w:t>Periodo V1 propuesto</w:t>
            </w:r>
          </w:p>
        </w:tc>
        <w:tc>
          <w:tcPr>
            <w:tcW w:type="dxa" w:w="2448"/>
            <w:shd w:fill="EAEAEA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448"/>
          </w:tcPr>
          <w:p>
            <w:r>
              <w:t>Registros CRM ordinarios</w:t>
            </w:r>
          </w:p>
        </w:tc>
        <w:tc>
          <w:tcPr>
            <w:tcW w:type="dxa" w:w="2448"/>
          </w:tcPr>
          <w:p>
            <w:r>
              <w:t>Soft delete</w:t>
            </w:r>
          </w:p>
        </w:tc>
        <w:tc>
          <w:tcPr>
            <w:tcW w:type="dxa" w:w="2448"/>
          </w:tcPr>
          <w:p>
            <w:r>
              <w:t>30 días 90 días naturales después de la terminación</w:t>
            </w:r>
          </w:p>
        </w:tc>
        <w:tc>
          <w:tcPr>
            <w:tcW w:type="dxa" w:w="2448"/>
          </w:tcPr>
          <w:p>
            <w:r>
              <w:t>Restaurables por Admin cuando la función exista.</w:t>
            </w:r>
          </w:p>
        </w:tc>
      </w:tr>
      <w:tr>
        <w:tc>
          <w:tcPr>
            <w:tcW w:type="dxa" w:w="2448"/>
          </w:tcPr>
          <w:p>
            <w:r>
              <w:t>Cotizaciones no finalizadas</w:t>
            </w:r>
          </w:p>
        </w:tc>
        <w:tc>
          <w:tcPr>
            <w:tcW w:type="dxa" w:w="2448"/>
          </w:tcPr>
          <w:p>
            <w:r>
              <w:t>Soft delete / cancelar</w:t>
            </w:r>
          </w:p>
        </w:tc>
        <w:tc>
          <w:tcPr>
            <w:tcW w:type="dxa" w:w="2448"/>
          </w:tcPr>
          <w:p>
            <w:r>
              <w:t>30 días 90 días naturales después de la terminación</w:t>
            </w:r>
          </w:p>
        </w:tc>
        <w:tc>
          <w:tcPr>
            <w:tcW w:type="dxa" w:w="2448"/>
          </w:tcPr>
          <w:p>
            <w:r>
              <w:t>Conservar trazabilidad si están vinculadas a operaciones.</w:t>
            </w:r>
          </w:p>
        </w:tc>
      </w:tr>
      <w:tr>
        <w:tc>
          <w:tcPr>
            <w:tcW w:type="dxa" w:w="2448"/>
          </w:tcPr>
          <w:p>
            <w:r>
              <w:t>Ventas/facturación</w:t>
            </w:r>
          </w:p>
        </w:tc>
        <w:tc>
          <w:tcPr>
            <w:tcW w:type="dxa" w:w="2448"/>
          </w:tcPr>
          <w:p>
            <w:r>
              <w:t>Cancelar/anular, no borrar libremente</w:t>
            </w:r>
          </w:p>
        </w:tc>
        <w:tc>
          <w:tcPr>
            <w:tcW w:type="dxa" w:w="2448"/>
          </w:tcPr>
          <w:p>
            <w:r>
              <w:t>Según obligaciones aplicables</w:t>
            </w:r>
          </w:p>
        </w:tc>
        <w:tc>
          <w:tcPr>
            <w:tcW w:type="dxa" w:w="2448"/>
          </w:tcPr>
          <w:p>
            <w:r>
              <w:t>No destruir evidencia contable/fiscal requerida.</w:t>
            </w:r>
          </w:p>
        </w:tc>
      </w:tr>
      <w:tr>
        <w:tc>
          <w:tcPr>
            <w:tcW w:type="dxa" w:w="2448"/>
          </w:tcPr>
          <w:p>
            <w:r>
              <w:t>Usuarios</w:t>
            </w:r>
          </w:p>
        </w:tc>
        <w:tc>
          <w:tcPr>
            <w:tcW w:type="dxa" w:w="2448"/>
          </w:tcPr>
          <w:p>
            <w:r>
              <w:t>Desactivar</w:t>
            </w:r>
          </w:p>
        </w:tc>
        <w:tc>
          <w:tcPr>
            <w:tcW w:type="dxa" w:w="2448"/>
          </w:tcPr>
          <w:p>
            <w:r>
              <w:t>Mientras exista relación + plazo legal</w:t>
            </w:r>
          </w:p>
        </w:tc>
        <w:tc>
          <w:tcPr>
            <w:tcW w:type="dxa" w:w="2448"/>
          </w:tcPr>
          <w:p>
            <w:r>
              <w:t>Conservar auditoría mínima.</w:t>
            </w:r>
          </w:p>
        </w:tc>
      </w:tr>
      <w:tr>
        <w:tc>
          <w:tcPr>
            <w:tcW w:type="dxa" w:w="2448"/>
          </w:tcPr>
          <w:p>
            <w:r>
              <w:t>Logs de seguridad</w:t>
            </w:r>
          </w:p>
        </w:tc>
        <w:tc>
          <w:tcPr>
            <w:tcW w:type="dxa" w:w="2448"/>
          </w:tcPr>
          <w:p>
            <w:r>
              <w:t>Rotación</w:t>
            </w:r>
          </w:p>
        </w:tc>
        <w:tc>
          <w:tcPr>
            <w:tcW w:type="dxa" w:w="2448"/>
          </w:tcPr>
          <w:p>
            <w:r>
              <w:t>90-365 días 12 meses para registros operativos de seguridad; 5 años para documentación fiscal; y 10 años para contratos, consentimientos y mensajes de datos que originen derechos u obligaciones</w:t>
            </w:r>
          </w:p>
        </w:tc>
        <w:tc>
          <w:tcPr>
            <w:tcW w:type="dxa" w:w="2448"/>
          </w:tcPr>
          <w:p>
            <w:r>
              <w:t>Ajustar a riesgo y costos.</w:t>
            </w:r>
          </w:p>
        </w:tc>
      </w:tr>
      <w:tr>
        <w:tc>
          <w:tcPr>
            <w:tcW w:type="dxa" w:w="2448"/>
          </w:tcPr>
          <w:p>
            <w:r>
              <w:t>Backups</w:t>
            </w:r>
          </w:p>
        </w:tc>
        <w:tc>
          <w:tcPr>
            <w:tcW w:type="dxa" w:w="2448"/>
          </w:tcPr>
          <w:p>
            <w:r>
              <w:t>Sobrescritura</w:t>
            </w:r>
          </w:p>
        </w:tc>
        <w:tc>
          <w:tcPr>
            <w:tcW w:type="dxa" w:w="2448"/>
          </w:tcPr>
          <w:p>
            <w:r>
              <w:t>30-90 días 90 días naturales</w:t>
            </w:r>
          </w:p>
        </w:tc>
        <w:tc>
          <w:tcPr>
            <w:tcW w:type="dxa" w:w="2448"/>
          </w:tcPr>
          <w:p>
            <w:r>
              <w:t>No restauración individual garantizada desde backup.</w:t>
            </w:r>
          </w:p>
        </w:tc>
      </w:tr>
      <w:tr>
        <w:tc>
          <w:tcPr>
            <w:tcW w:type="dxa" w:w="2448"/>
          </w:tcPr>
          <w:p>
            <w:r>
              <w:t>Datos tras cancelación del Workspace</w:t>
            </w:r>
          </w:p>
        </w:tc>
        <w:tc>
          <w:tcPr>
            <w:tcW w:type="dxa" w:w="2448"/>
          </w:tcPr>
          <w:p>
            <w:r>
              <w:t>Bloqueo/ventana de exportación</w:t>
            </w:r>
          </w:p>
        </w:tc>
        <w:tc>
          <w:tcPr>
            <w:tcW w:type="dxa" w:w="2448"/>
          </w:tcPr>
          <w:p>
            <w:r>
              <w:t>30/60/90 días 90 días naturales</w:t>
            </w:r>
          </w:p>
        </w:tc>
        <w:tc>
          <w:tcPr>
            <w:tcW w:type="dxa" w:w="2448"/>
          </w:tcPr>
          <w:p>
            <w:r>
              <w:t>Después eliminar/anonimizar salvo obligación.</w:t>
            </w:r>
          </w:p>
        </w:tc>
      </w:tr>
      <w:tr>
        <w:tc>
          <w:tcPr>
            <w:tcW w:type="dxa" w:w="2448"/>
          </w:tcPr>
          <w:p>
            <w:r>
              <w:t>Datos de facturación</w:t>
            </w:r>
          </w:p>
        </w:tc>
        <w:tc>
          <w:tcPr>
            <w:tcW w:type="dxa" w:w="2448"/>
          </w:tcPr>
          <w:p>
            <w:r>
              <w:t>Conservar</w:t>
            </w:r>
          </w:p>
        </w:tc>
        <w:tc>
          <w:tcPr>
            <w:tcW w:type="dxa" w:w="2448"/>
          </w:tcPr>
          <w:p>
            <w:r>
              <w:t>Plazo fiscal/legal aplicable</w:t>
            </w:r>
          </w:p>
        </w:tc>
        <w:tc>
          <w:tcPr>
            <w:tcW w:type="dxa" w:w="2448"/>
          </w:tcPr>
          <w:p>
            <w:r>
              <w:t>Validar con contador/abogado.</w:t>
            </w:r>
          </w:p>
        </w:tc>
      </w:tr>
    </w:tbl>
    <w:p>
      <w:pPr>
        <w:pStyle w:val="Heading1"/>
      </w:pPr>
      <w:r>
        <w:t>5. Papelera</w:t>
      </w:r>
    </w:p>
    <w:p>
      <w:r>
        <w:t>La Papelera no es requisito de lanzamiento si el backend ya conserva soft delete. Cuando se implemente, deberá limitarse por permisos y mostrar, al menos, tipo de registro, identificador, fecha de eliminación, usuario que eliminó y acción de restauración.</w:t>
      </w:r>
    </w:p>
    <w:p>
      <w:pPr>
        <w:pStyle w:val="Heading1"/>
      </w:pPr>
      <w:r>
        <w:t>6. Eliminación definitiva</w:t>
      </w:r>
    </w:p>
    <w:p>
      <w:r>
        <w:t>La purga definitiva debe ejecutarse mediante proceso controlado. Antes de purgar, el sistema deberá verificar dependencias, obligaciones de conservación, bloqueos legales y relaciones que requieran anonimización o conservación de referencias mínimas.</w:t>
      </w:r>
    </w:p>
    <w:p>
      <w:pPr>
        <w:pStyle w:val="Heading1"/>
      </w:pPr>
      <w:r>
        <w:t>7. Derechos de titulares</w:t>
      </w:r>
    </w:p>
    <w:p>
      <w:r>
        <w:t>Una solicitud de cancelación de datos personales no equivale necesariamente a borrar de inmediato un registro empresarial completo. Datara y el Cliente deberán determinar qué datos deben bloquearse, suprimirse, anonimizarse o conservarse por obligación legal, según sus respectivos roles.</w:t>
      </w:r>
    </w:p>
    <w:p>
      <w:pPr>
        <w:pStyle w:val="Heading1"/>
      </w:pPr>
      <w:r>
        <w:t>8. Responsables internos</w:t>
      </w:r>
    </w:p>
    <w:p>
      <w:r>
        <w:t>90 días naturales Responsable de privacidad; 90 días naturales responsable técnico de purgas; 90 días naturales proceso de aprobación para restauraciones o eliminaciones extraordinarias.</w:t>
      </w:r>
    </w:p>
    <w:p>
      <w:pPr>
        <w:pStyle w:val="Heading2"/>
      </w:pPr>
      <w:r>
        <w:t>Criterio de conservación y supresión</w:t>
      </w:r>
    </w:p>
    <w:p>
      <w:r>
        <w:t>Los datos se conservarán únicamente durante el tiempo necesario para prestar el servicio, atender responsabilidades y cumplir obligaciones legales. Cuando dejen de ser necesarios, se bloquearán y posteriormente se suprimirán o anonimizarán. Los respaldos operativos seguirán ciclos de sobrescritura de hasta 90 días, salvo retención legal, incidente de seguridad o requerimiento de autoridad.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DATARA  |  Legal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Politica Conservacion Eliminacion Datara V1</dc:title>
  <dc:subject/>
  <dc:creator>Datara Lab</dc:creator>
  <cp:keywords/>
  <dc:description>Versión de trabajo actualizada para revisión jurídica e integración técnica del checkout V1.</dc:description>
  <cp:lastModifiedBy>Datara Lab</cp:lastModifiedBy>
  <cp:revision>1</cp:revision>
  <dcterms:created xsi:type="dcterms:W3CDTF">2013-12-23T23:15:00Z</dcterms:created>
  <dcterms:modified xsi:type="dcterms:W3CDTF">2013-12-23T23:15:00Z</dcterms:modified>
  <cp:category/>
</cp:coreProperties>
</file>