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2"/>
        </w:rPr>
        <w:t>Critical Framework — V2</w:t>
      </w:r>
    </w:p>
    <w:p>
      <w:pPr>
        <w:pStyle w:val="Heading2"/>
      </w:pPr>
      <w:r>
        <w:rPr>
          <w:sz w:val="22"/>
        </w:rPr>
        <w:t>What the Latent Language Explorer Is and Is Not</w:t>
      </w:r>
    </w:p>
    <w:p>
      <w:pPr>
        <w:spacing w:before="4" w:after="4"/>
      </w:pPr>
      <w:r>
        <w:rPr>
          <w:i/>
          <w:color w:val="606060"/>
          <w:sz w:val="20"/>
        </w:rPr>
        <w:t>Sean Patrick Morris · Claude (Anthropic) · datasculptures.com · March 2026</w:t>
      </w:r>
    </w:p>
    <w:p>
      <w:pPr>
        <w:pBdr>
          <w:bottom w:val="single" w:sz="4" w:space="1" w:color="AAAAAA"/>
        </w:pBdr>
        <w:spacing w:before="6" w:after="6"/>
      </w:pPr>
    </w:p>
    <w:p>
      <w:pPr>
        <w:pStyle w:val="Heading2"/>
      </w:pPr>
      <w:r>
        <w:rPr>
          <w:sz w:val="22"/>
        </w:rPr>
        <w:t>What Is Being Measured</w:t>
      </w:r>
    </w:p>
    <w:p>
      <w:pPr>
        <w:spacing w:before="0" w:after="6"/>
      </w:pPr>
      <w:r>
        <w:rPr>
          <w:sz w:val="22"/>
        </w:rPr>
        <w:t xml:space="preserve">The Latent Language Explorer does not discover concepts. It discovers </w:t>
      </w:r>
      <w:r>
        <w:rPr>
          <w:b/>
          <w:sz w:val="22"/>
        </w:rPr>
        <w:t>gaps in a vocabulary's coverage of a geometric space</w:t>
      </w:r>
      <w:r>
        <w:rPr>
          <w:sz w:val="22"/>
        </w:rPr>
        <w:t>.</w:t>
      </w:r>
    </w:p>
    <w:p>
      <w:pPr>
        <w:spacing w:before="0" w:after="6"/>
      </w:pPr>
      <w:r>
        <w:rPr>
          <w:sz w:val="22"/>
        </w:rPr>
        <w:t>The geometric space is a 384-dimensional vector space produced by the all-MiniLM-L6-v2 sentence embedding model, trained on a large corpus of English text. The vocabulary is Roget's Thesaurus 1911, enriched with WordNet and four modern domain supplements, totalling 36,125 terms. The "desert" between two probe endpoints is the maximum L2 distance from the probe midpoint to the nearest term in that vocabulary, measured in the full 384-dimensional space.</w:t>
      </w:r>
    </w:p>
    <w:p>
      <w:pPr>
        <w:spacing w:before="0" w:after="6"/>
      </w:pPr>
      <w:r>
        <w:rPr>
          <w:sz w:val="22"/>
        </w:rPr>
        <w:t xml:space="preserve">A high desert score means: </w:t>
      </w:r>
      <w:r>
        <w:rPr>
          <w:b/>
          <w:sz w:val="22"/>
        </w:rPr>
        <w:t>the model has a region of geometric space that no term in our vocabulary is close to.</w:t>
      </w:r>
    </w:p>
    <w:p>
      <w:pPr>
        <w:spacing w:before="0" w:after="6"/>
      </w:pPr>
      <w:r>
        <w:rPr>
          <w:sz w:val="22"/>
        </w:rPr>
        <w:t>This is a statement about the vocabulary's coverage of the model's geometry. It is not a statement about the structure of language, human thought, or the world.</w:t>
      </w:r>
    </w:p>
    <w:p>
      <w:pPr>
        <w:pBdr>
          <w:bottom w:val="single" w:sz="4" w:space="1" w:color="AAAAAA"/>
        </w:pBdr>
        <w:spacing w:before="6" w:after="6"/>
      </w:pPr>
    </w:p>
    <w:p>
      <w:pPr>
        <w:pStyle w:val="Heading2"/>
      </w:pPr>
      <w:r>
        <w:rPr>
          <w:sz w:val="22"/>
        </w:rPr>
        <w:t>What the Embedding Model Encodes</w:t>
      </w:r>
    </w:p>
    <w:p>
      <w:pPr>
        <w:spacing w:before="0" w:after="6"/>
      </w:pPr>
      <w:r>
        <w:rPr>
          <w:sz w:val="22"/>
        </w:rPr>
        <w:t>all-MiniLM-L6-v2 is a transformer-based sentence embedding model trained to place semantically similar text near each other in vector space. Its geometry reflects:</w:t>
      </w:r>
    </w:p>
    <w:p>
      <w:pPr>
        <w:pStyle w:val="ListBullet"/>
        <w:spacing w:before="0" w:after="2"/>
      </w:pPr>
      <w:r>
        <w:rPr>
          <w:sz w:val="22"/>
        </w:rPr>
        <w:t>Co-occurrence patterns in its training corpus</w:t>
      </w:r>
    </w:p>
    <w:p>
      <w:pPr>
        <w:pStyle w:val="ListBullet"/>
        <w:spacing w:before="0" w:after="2"/>
      </w:pPr>
      <w:r>
        <w:rPr>
          <w:sz w:val="22"/>
        </w:rPr>
        <w:t>The representational choices made by its architecture and training objective</w:t>
      </w:r>
    </w:p>
    <w:p>
      <w:pPr>
        <w:pStyle w:val="ListBullet"/>
        <w:spacing w:before="0" w:after="2"/>
      </w:pPr>
      <w:r>
        <w:rPr>
          <w:sz w:val="22"/>
        </w:rPr>
        <w:t>The linguistic and cultural biases present in that corpus</w:t>
      </w:r>
    </w:p>
    <w:p>
      <w:pPr>
        <w:spacing w:before="0" w:after="6"/>
      </w:pPr>
      <w:r>
        <w:rPr>
          <w:sz w:val="22"/>
        </w:rPr>
        <w:t>The model encodes something in the desert regions. The probe midpoint between *chairperson* and *composure* (desert_max = 0.9329) is a real point in the model's geometric space. The model has a representation there. What it encodes is not legible from the probe alone — LLM descriptions are one attempt to name it, but those descriptions are themselves generated by a different model reading a prompt, not a readout of the embedding's internal state.</w:t>
      </w:r>
    </w:p>
    <w:p>
      <w:pPr>
        <w:spacing w:before="0" w:after="6"/>
      </w:pPr>
      <w:r>
        <w:rPr>
          <w:b/>
          <w:sz w:val="22"/>
        </w:rPr>
        <w:t>The desert score tells you that the vocabulary has no name for that region. It does not tell you what the model encodes there.</w:t>
      </w:r>
    </w:p>
    <w:p>
      <w:pPr>
        <w:pBdr>
          <w:bottom w:val="single" w:sz="4" w:space="1" w:color="AAAAAA"/>
        </w:pBdr>
        <w:spacing w:before="6" w:after="6"/>
      </w:pPr>
    </w:p>
    <w:p>
      <w:pPr>
        <w:pStyle w:val="Heading2"/>
      </w:pPr>
      <w:r>
        <w:rPr>
          <w:sz w:val="22"/>
        </w:rPr>
        <w:t>The Two-Layer Problem</w:t>
      </w:r>
    </w:p>
    <w:p>
      <w:pPr>
        <w:spacing w:before="0" w:after="6"/>
      </w:pPr>
      <w:r>
        <w:rPr>
          <w:sz w:val="22"/>
        </w:rPr>
        <w:t>Every result in this tool passes through two layers of representation:</w:t>
      </w:r>
    </w:p>
    <w:p>
      <w:pPr>
        <w:spacing w:before="0" w:after="6"/>
      </w:pPr>
      <w:r>
        <w:rPr>
          <w:b/>
          <w:sz w:val="22"/>
        </w:rPr>
        <w:t>Layer 1 — The embedding model.</w:t>
      </w:r>
      <w:r>
        <w:rPr>
          <w:sz w:val="22"/>
        </w:rPr>
        <w:t xml:space="preserve"> all-MiniLM-L6-v2 projects language into geometry. The geometry is determined by training, not by any theory of concepts. Distances in this space reflect learned associations, not ontological structure. The model conflates multiple senses of polysemous words, is biased toward its training corpus register, and is not a ground truth about anything.</w:t>
      </w:r>
    </w:p>
    <w:p>
      <w:pPr>
        <w:spacing w:before="0" w:after="6"/>
      </w:pPr>
      <w:r>
        <w:rPr>
          <w:b/>
          <w:sz w:val="22"/>
        </w:rPr>
        <w:t>Layer 2 — The vocabulary.</w:t>
      </w:r>
      <w:r>
        <w:rPr>
          <w:sz w:val="22"/>
        </w:rPr>
        <w:t xml:space="preserve"> Roget's 1911 taxonomy represents one Victorian Englishman's classification of English concepts. WordNet adds Princeton lexicographers' judgements. The modern supplements add hand-curated terms from AI/ML, computing, molecular biology, and cognitive science. This is a specific, historically and culturally situated vocabulary — not a universal concept inventory.</w:t>
      </w:r>
    </w:p>
    <w:p>
      <w:pPr>
        <w:spacing w:before="0" w:after="6"/>
      </w:pPr>
      <w:r>
        <w:rPr>
          <w:sz w:val="22"/>
        </w:rPr>
        <w:t>A "discovery" is a gap between these two layers: a region the model encodes but the vocabulary does not name. The interpretation of that gap requires holding both layers in view.</w:t>
      </w:r>
    </w:p>
    <w:p>
      <w:pPr>
        <w:pBdr>
          <w:bottom w:val="single" w:sz="4" w:space="1" w:color="AAAAAA"/>
        </w:pBdr>
        <w:spacing w:before="6" w:after="6"/>
      </w:pPr>
    </w:p>
    <w:p>
      <w:pPr>
        <w:pStyle w:val="Heading2"/>
      </w:pPr>
      <w:r>
        <w:rPr>
          <w:sz w:val="22"/>
        </w:rPr>
        <w:t>What the Descriptions Are</w:t>
      </w:r>
    </w:p>
    <w:p>
      <w:pPr>
        <w:spacing w:before="0" w:after="6"/>
      </w:pPr>
      <w:r>
        <w:rPr>
          <w:sz w:val="22"/>
        </w:rPr>
        <w:t xml:space="preserve">When you click </w:t>
      </w:r>
      <w:r>
        <w:rPr>
          <w:b/>
          <w:sz w:val="22"/>
        </w:rPr>
        <w:t>Describe</w:t>
      </w:r>
      <w:r>
        <w:rPr>
          <w:sz w:val="22"/>
        </w:rPr>
        <w:t xml:space="preserve"> on a probe result, the system sends a prompt to a large language model (Claude) asking it to name what might exist at the probe midpoint. The description is a </w:t>
      </w:r>
      <w:r>
        <w:rPr>
          <w:b/>
          <w:sz w:val="22"/>
        </w:rPr>
        <w:t>language model's inference</w:t>
      </w:r>
      <w:r>
        <w:rPr>
          <w:sz w:val="22"/>
        </w:rPr>
        <w:t xml:space="preserve"> about what concept might bridge two terms, given their semantic neighbourhood.</w:t>
      </w:r>
    </w:p>
    <w:p>
      <w:pPr>
        <w:spacing w:before="0" w:after="6"/>
      </w:pPr>
      <w:r>
        <w:rPr>
          <w:sz w:val="22"/>
        </w:rPr>
        <w:t>This is not a readout of the embedding space. The LLM does not have access to the geometric coordinates; it receives the term names, their Roget categories, their nearest named concepts, and the desert score. It generates a plausible name.</w:t>
      </w:r>
    </w:p>
    <w:p>
      <w:pPr>
        <w:spacing w:before="0" w:after="6"/>
      </w:pPr>
      <w:r>
        <w:rPr>
          <w:sz w:val="22"/>
        </w:rPr>
        <w:t xml:space="preserve">LLM descriptions are useful as a starting point for human interpretation. They are not ground truth. A generated description that says "this probe touches on themes of </w:t>
      </w:r>
      <w:r>
        <w:rPr>
          <w:b/>
          <w:sz w:val="22"/>
        </w:rPr>
        <w:t>institutional authority</w:t>
      </w:r>
      <w:r>
        <w:rPr>
          <w:sz w:val="22"/>
        </w:rPr>
        <w:t>" is a hypothesis, not a measurement.</w:t>
      </w:r>
    </w:p>
    <w:p>
      <w:pPr>
        <w:spacing w:before="0" w:after="6"/>
      </w:pPr>
      <w:r>
        <w:rPr>
          <w:sz w:val="22"/>
        </w:rPr>
        <w:t>Some descriptions will be apt. Some will be confabulatory. The field journal is designed for you to add notes, correct, and revise. The description is the beginning of an interpretive process, not its conclusion.</w:t>
      </w:r>
    </w:p>
    <w:p>
      <w:pPr>
        <w:pBdr>
          <w:bottom w:val="single" w:sz="4" w:space="1" w:color="AAAAAA"/>
        </w:pBdr>
        <w:spacing w:before="6" w:after="6"/>
      </w:pPr>
    </w:p>
    <w:p>
      <w:pPr>
        <w:pStyle w:val="Heading2"/>
      </w:pPr>
      <w:r>
        <w:rPr>
          <w:sz w:val="22"/>
        </w:rPr>
        <w:t>What the Terrain Is Not</w:t>
      </w:r>
    </w:p>
    <w:p>
      <w:pPr>
        <w:spacing w:before="0" w:after="6"/>
      </w:pPr>
      <w:r>
        <w:rPr>
          <w:sz w:val="22"/>
        </w:rPr>
        <w:t>The 3D terrain is a visualization of a 2D UMAP projection of 384-dimensional embedding vectors. Several things it is not:</w:t>
      </w:r>
    </w:p>
    <w:p>
      <w:pPr>
        <w:spacing w:before="0" w:after="6"/>
      </w:pPr>
      <w:r>
        <w:rPr>
          <w:b/>
          <w:sz w:val="22"/>
        </w:rPr>
        <w:t>It is not a map of concepts.</w:t>
      </w:r>
      <w:r>
        <w:rPr>
          <w:sz w:val="22"/>
        </w:rPr>
        <w:t xml:space="preserve"> It is a map of the positions of named terms in a dimensionality-reduced space. The arrangement reflects UMAP's locally-preserving projection algorithm, not any theory of conceptual organization.</w:t>
      </w:r>
    </w:p>
    <w:p>
      <w:pPr>
        <w:spacing w:before="0" w:after="6"/>
      </w:pPr>
      <w:r>
        <w:rPr>
          <w:b/>
          <w:sz w:val="22"/>
        </w:rPr>
        <w:t>It is not a map of meaning.</w:t>
      </w:r>
      <w:r>
        <w:rPr>
          <w:sz w:val="22"/>
        </w:rPr>
        <w:t xml:space="preserve"> UMAP preserves local neighbourhoods at the expense of global distances. Two peaks that appear far apart on the terrain may be much closer in the full 384-dimensional space. Two terms that appear near each other may be far apart in high-dimensional space.</w:t>
      </w:r>
    </w:p>
    <w:p>
      <w:pPr>
        <w:spacing w:before="0" w:after="6"/>
      </w:pPr>
      <w:r>
        <w:rPr>
          <w:b/>
          <w:sz w:val="22"/>
        </w:rPr>
        <w:t>Height is not a third semantic dimension.</w:t>
      </w:r>
      <w:r>
        <w:rPr>
          <w:sz w:val="22"/>
        </w:rPr>
        <w:t xml:space="preserve"> Terrain height is KDE density — a count of how many named concepts are nearby in 2D UMAP space. A tall peak means a dense cluster of named terms. A desert valley means sparse named terms. Neither height nor depth tells you anything about semantic importance, cognitive salience, or conceptual depth.</w:t>
      </w:r>
    </w:p>
    <w:p>
      <w:pPr>
        <w:spacing w:before="0" w:after="6"/>
      </w:pPr>
      <w:r>
        <w:rPr>
          <w:b/>
          <w:sz w:val="22"/>
        </w:rPr>
        <w:t>UMAP is stochastic and seed-dependent.</w:t>
      </w:r>
      <w:r>
        <w:rPr>
          <w:sz w:val="22"/>
        </w:rPr>
        <w:t xml:space="preserve"> The projection uses seed 42 (documented, fixed). A different seed produces a different terrain. The terrain is one projection, not the projection.</w:t>
      </w:r>
    </w:p>
    <w:p>
      <w:pPr>
        <w:pBdr>
          <w:bottom w:val="single" w:sz="4" w:space="1" w:color="AAAAAA"/>
        </w:pBdr>
        <w:spacing w:before="6" w:after="6"/>
      </w:pPr>
    </w:p>
    <w:p>
      <w:pPr>
        <w:pStyle w:val="Heading2"/>
      </w:pPr>
      <w:r>
        <w:rPr>
          <w:sz w:val="22"/>
        </w:rPr>
        <w:t>The Polysemy Problem</w:t>
      </w:r>
    </w:p>
    <w:p>
      <w:pPr>
        <w:spacing w:before="0" w:after="6"/>
      </w:pPr>
      <w:r>
        <w:rPr>
          <w:sz w:val="22"/>
        </w:rPr>
        <w:t>41% of Roget terms appear in multiple categories. The vocabulary was built from a taxonomy in which many words genuinely belong to multiple conceptual territories. The embedding model does not resolve polysemy — a single vector represents all senses of a term, weighted by their corpus frequency.</w:t>
      </w:r>
    </w:p>
    <w:p>
      <w:pPr>
        <w:spacing w:before="0" w:after="6"/>
      </w:pPr>
      <w:r>
        <w:rPr>
          <w:sz w:val="22"/>
        </w:rPr>
        <w:t>When a probe endpoint is a polysemous term, the probe begins in a blended region that may not correspond clearly to any single conceptual territory. The nearest named concepts at the probe midpoint may reflect any of the endpoint's senses.</w:t>
      </w:r>
    </w:p>
    <w:p>
      <w:pPr>
        <w:spacing w:before="0" w:after="6"/>
      </w:pPr>
      <w:r>
        <w:rPr>
          <w:sz w:val="22"/>
        </w:rPr>
        <w:t>The pair selection filters reduce this problem but do not eliminate it. The shared neighbourhood filter (≥1 common neighbour in top-20) confirms that the two endpoints have at least one concept their neighbourhoods share — but that shared neighbour may arise from a minor sense of either term.</w:t>
      </w:r>
    </w:p>
    <w:p>
      <w:pPr>
        <w:pBdr>
          <w:bottom w:val="single" w:sz="4" w:space="1" w:color="AAAAAA"/>
        </w:pBdr>
        <w:spacing w:before="6" w:after="6"/>
      </w:pPr>
    </w:p>
    <w:p>
      <w:pPr>
        <w:pStyle w:val="Heading2"/>
      </w:pPr>
      <w:r>
        <w:rPr>
          <w:sz w:val="22"/>
        </w:rPr>
        <w:t>The Vocabulary Bias Problem</w:t>
      </w:r>
    </w:p>
    <w:p>
      <w:pPr>
        <w:spacing w:before="0" w:after="6"/>
      </w:pPr>
      <w:r>
        <w:rPr>
          <w:sz w:val="22"/>
        </w:rPr>
        <w:t>The base vocabulary is Roget's 1911 — a Victorian-era English thesaurus. Its biases include:</w:t>
      </w:r>
    </w:p>
    <w:p>
      <w:pPr>
        <w:pStyle w:val="ListBullet"/>
        <w:spacing w:before="0" w:after="2"/>
      </w:pPr>
      <w:r>
        <w:rPr>
          <w:b/>
          <w:sz w:val="22"/>
        </w:rPr>
        <w:t>Register</w:t>
      </w:r>
      <w:r>
        <w:rPr>
          <w:sz w:val="22"/>
        </w:rPr>
        <w:t>: Formal and literary English, not everyday speech.</w:t>
      </w:r>
    </w:p>
    <w:p>
      <w:pPr>
        <w:pStyle w:val="ListBullet"/>
        <w:spacing w:before="0" w:after="2"/>
      </w:pPr>
      <w:r>
        <w:rPr>
          <w:b/>
          <w:sz w:val="22"/>
        </w:rPr>
        <w:t>Domain</w:t>
      </w:r>
      <w:r>
        <w:rPr>
          <w:sz w:val="22"/>
        </w:rPr>
        <w:t>: Strong coverage of moral, social, and natural categories as understood in 1911 England. Thin coverage of modern technical, scientific, and non-Western domains.</w:t>
      </w:r>
    </w:p>
    <w:p>
      <w:pPr>
        <w:pStyle w:val="ListBullet"/>
        <w:spacing w:before="0" w:after="2"/>
      </w:pPr>
      <w:r>
        <w:rPr>
          <w:b/>
          <w:sz w:val="22"/>
        </w:rPr>
        <w:t>Language</w:t>
      </w:r>
      <w:r>
        <w:rPr>
          <w:sz w:val="22"/>
        </w:rPr>
        <w:t>: English-only. The embedding model was trained on multilingual text but the vocabulary is monolingual.</w:t>
      </w:r>
    </w:p>
    <w:p>
      <w:pPr>
        <w:pStyle w:val="ListBullet"/>
        <w:spacing w:before="0" w:after="2"/>
      </w:pPr>
      <w:r>
        <w:rPr>
          <w:b/>
          <w:sz w:val="22"/>
        </w:rPr>
        <w:t>Era</w:t>
      </w:r>
      <w:r>
        <w:rPr>
          <w:sz w:val="22"/>
        </w:rPr>
        <w:t>: The Zipf filter (wordfreq ≥ 3.0) excludes Victorian-era terms that no longer appear in the Common Crawl corpus. This reduces archaic vocabulary but cannot correct for conceptual categories that are themselves historically specific.</w:t>
      </w:r>
    </w:p>
    <w:p>
      <w:pPr>
        <w:spacing w:before="0" w:after="6"/>
      </w:pPr>
      <w:r>
        <w:rPr>
          <w:sz w:val="22"/>
        </w:rPr>
        <w:t>The modern domain supplements (AI/ML, Computing, Molecular Biology, Cognitive Science) partially address domain thinness but represent the curators' choices about which modern concepts matter.</w:t>
      </w:r>
    </w:p>
    <w:p>
      <w:pPr>
        <w:spacing w:before="0" w:after="6"/>
      </w:pPr>
      <w:r>
        <w:rPr>
          <w:sz w:val="22"/>
        </w:rPr>
        <w:t>Deserts found in the terrain reflect this vocabulary's gaps, not universal gaps in human conceptual space.</w:t>
      </w:r>
    </w:p>
    <w:p>
      <w:pPr>
        <w:pBdr>
          <w:bottom w:val="single" w:sz="4" w:space="1" w:color="AAAAAA"/>
        </w:pBdr>
        <w:spacing w:before="6" w:after="6"/>
      </w:pPr>
    </w:p>
    <w:p>
      <w:pPr>
        <w:pStyle w:val="Heading2"/>
      </w:pPr>
      <w:r>
        <w:rPr>
          <w:sz w:val="22"/>
        </w:rPr>
        <w:t>The Fabrication Question</w:t>
      </w:r>
    </w:p>
    <w:p>
      <w:pPr>
        <w:spacing w:before="0" w:after="6"/>
      </w:pPr>
      <w:r>
        <w:rPr>
          <w:sz w:val="22"/>
        </w:rPr>
        <w:t>This tool produces fabrication artifacts: topography exports, STL meshes, instruction sheets. The fabricated objects are physical representations of geometric measurements in an embedding space.</w:t>
      </w:r>
    </w:p>
    <w:p>
      <w:pPr>
        <w:spacing w:before="0" w:after="6"/>
      </w:pPr>
      <w:r>
        <w:rPr>
          <w:sz w:val="22"/>
        </w:rPr>
        <w:t xml:space="preserve">What do they represent? The honest answer is: </w:t>
      </w:r>
      <w:r>
        <w:rPr>
          <w:b/>
          <w:sz w:val="22"/>
        </w:rPr>
        <w:t>a specific vocabulary's coverage of a specific model's geometry, visualized as a landscape and rendered as an object.</w:t>
      </w:r>
    </w:p>
    <w:p>
      <w:pPr>
        <w:spacing w:before="0" w:after="6"/>
      </w:pPr>
      <w:r>
        <w:rPr>
          <w:sz w:val="22"/>
        </w:rPr>
        <w:t>This is both less and more interesting than "a map of the space of concepts." It is less, because it makes no claim to universality. It is more, because it is grounded: the measurements are real, the gaps are real, the geometry is real. The interpretation is the human's work.</w:t>
      </w:r>
    </w:p>
    <w:p>
      <w:pPr>
        <w:spacing w:before="0" w:after="6"/>
      </w:pPr>
      <w:r>
        <w:rPr>
          <w:sz w:val="22"/>
        </w:rPr>
        <w:t>The fabrication practice takes seriously the idea that these measurements are worth making physical — that giving them material existence helps us think about them differently than text on a screen. That is an aesthetic and epistemic claim, not a scientific one.</w:t>
      </w:r>
    </w:p>
    <w:p>
      <w:pPr>
        <w:pBdr>
          <w:bottom w:val="single" w:sz="4" w:space="1" w:color="AAAAAA"/>
        </w:pBdr>
        <w:spacing w:before="6" w:after="6"/>
      </w:pPr>
    </w:p>
    <w:p>
      <w:pPr>
        <w:pStyle w:val="Heading2"/>
      </w:pPr>
      <w:r>
        <w:rPr>
          <w:sz w:val="22"/>
        </w:rPr>
        <w:t>Responsible Use</w:t>
      </w:r>
    </w:p>
    <w:p>
      <w:pPr>
        <w:spacing w:before="0" w:after="6"/>
      </w:pPr>
      <w:r>
        <w:rPr>
          <w:sz w:val="22"/>
        </w:rPr>
        <w:t>This tool is designed for:</w:t>
      </w:r>
    </w:p>
    <w:p>
      <w:pPr>
        <w:pStyle w:val="ListBullet"/>
        <w:spacing w:before="0" w:after="2"/>
      </w:pPr>
      <w:r>
        <w:rPr>
          <w:sz w:val="22"/>
        </w:rPr>
        <w:t>Exploring the geometry of a specific vocabulary in a specific embedding model</w:t>
      </w:r>
    </w:p>
    <w:p>
      <w:pPr>
        <w:pStyle w:val="ListBullet"/>
        <w:spacing w:before="0" w:after="2"/>
      </w:pPr>
      <w:r>
        <w:rPr>
          <w:sz w:val="22"/>
        </w:rPr>
        <w:t>Finding vocabulary gaps as prompts for creative, philosophical, or poetic inquiry</w:t>
      </w:r>
    </w:p>
    <w:p>
      <w:pPr>
        <w:pStyle w:val="ListBullet"/>
        <w:spacing w:before="0" w:after="2"/>
      </w:pPr>
      <w:r>
        <w:rPr>
          <w:sz w:val="22"/>
        </w:rPr>
        <w:t>Generating fabrication artifacts from those measurements</w:t>
      </w:r>
    </w:p>
    <w:p>
      <w:pPr>
        <w:pStyle w:val="ListBullet"/>
        <w:spacing w:before="0" w:after="2"/>
      </w:pPr>
      <w:r>
        <w:rPr>
          <w:sz w:val="22"/>
        </w:rPr>
        <w:t>Documenting discoveries in a persistent field journal for iterative refinement</w:t>
      </w:r>
    </w:p>
    <w:p>
      <w:pPr>
        <w:spacing w:before="0" w:after="6"/>
      </w:pPr>
      <w:r>
        <w:rPr>
          <w:sz w:val="22"/>
        </w:rPr>
        <w:t>It is not designed for:</w:t>
      </w:r>
    </w:p>
    <w:p>
      <w:pPr>
        <w:pStyle w:val="ListBullet"/>
        <w:spacing w:before="0" w:after="2"/>
      </w:pPr>
      <w:r>
        <w:rPr>
          <w:sz w:val="22"/>
        </w:rPr>
        <w:t>Making claims about universal conceptual structure</w:t>
      </w:r>
    </w:p>
    <w:p>
      <w:pPr>
        <w:pStyle w:val="ListBullet"/>
        <w:spacing w:before="0" w:after="2"/>
      </w:pPr>
      <w:r>
        <w:rPr>
          <w:sz w:val="22"/>
        </w:rPr>
        <w:t>Generating ground-truth descriptions of unnamed concepts</w:t>
      </w:r>
    </w:p>
    <w:p>
      <w:pPr>
        <w:pStyle w:val="ListBullet"/>
        <w:spacing w:before="0" w:after="2"/>
      </w:pPr>
      <w:r>
        <w:rPr>
          <w:sz w:val="22"/>
        </w:rPr>
        <w:t>Producing publishable linguistic or cognitive science data without significant additional methodological work</w:t>
      </w:r>
    </w:p>
    <w:p>
      <w:pPr>
        <w:pStyle w:val="ListBullet"/>
        <w:spacing w:before="0" w:after="2"/>
      </w:pPr>
      <w:r>
        <w:rPr>
          <w:sz w:val="22"/>
        </w:rPr>
        <w:t>Replacing human interpretation of ambiguous or polysemous regions</w:t>
      </w:r>
    </w:p>
    <w:p>
      <w:pPr>
        <w:spacing w:before="0" w:after="6"/>
      </w:pPr>
      <w:r>
        <w:rPr>
          <w:sz w:val="22"/>
        </w:rPr>
        <w:t xml:space="preserve">The field journal's </w:t>
      </w:r>
      <w:r>
        <w:rPr>
          <w:b/>
          <w:sz w:val="22"/>
        </w:rPr>
        <w:t>notes</w:t>
      </w:r>
      <w:r>
        <w:rPr>
          <w:sz w:val="22"/>
        </w:rPr>
        <w:t xml:space="preserve"> field exists precisely because automated descriptions are not the end of interpretation. Use it.</w:t>
      </w:r>
    </w:p>
    <w:p>
      <w:pPr>
        <w:pBdr>
          <w:bottom w:val="single" w:sz="4" w:space="1" w:color="AAAAAA"/>
        </w:pBdr>
        <w:spacing w:before="6" w:after="6"/>
      </w:pPr>
    </w:p>
    <w:p>
      <w:pPr>
        <w:pStyle w:val="Heading2"/>
      </w:pPr>
      <w:r>
        <w:rPr>
          <w:sz w:val="22"/>
        </w:rPr>
        <w:t>On the Word "Discovery"</w:t>
      </w:r>
    </w:p>
    <w:p>
      <w:pPr>
        <w:spacing w:before="0" w:after="6"/>
      </w:pPr>
      <w:r>
        <w:rPr>
          <w:sz w:val="22"/>
        </w:rPr>
        <w:t>The tool uses the word "discovery" throughout. This is a deliberate choice, and a contested one.</w:t>
      </w:r>
    </w:p>
    <w:p>
      <w:pPr>
        <w:spacing w:before="0" w:after="6"/>
      </w:pPr>
      <w:r>
        <w:rPr>
          <w:sz w:val="22"/>
        </w:rPr>
        <w:t>In one sense, nothing is discovered: the vocabulary gaps were always there, the geometry was always there, the embedding model was always going to produce these distances. Running the probe reveals a pre-existing measurement.</w:t>
      </w:r>
    </w:p>
    <w:p>
      <w:pPr>
        <w:spacing w:before="0" w:after="6"/>
      </w:pPr>
      <w:r>
        <w:rPr>
          <w:sz w:val="22"/>
        </w:rPr>
        <w:t>In another sense, discovery is the right word. Before the probe, no one knew that the region between *chairperson* and *composure* was 0.9329 L2 units from the nearest named concept. The measurement is new. The attempt to name it is new. The fabricated object that will represent it is new.</w:t>
      </w:r>
    </w:p>
    <w:p>
      <w:pPr>
        <w:spacing w:before="0" w:after="6"/>
      </w:pPr>
      <w:r>
        <w:rPr>
          <w:sz w:val="22"/>
        </w:rPr>
        <w:t>The word "discovery" should be held lightly. It points to a real activity — systematic exploration of a defined space, measurement, documentation, attempted naming — without claiming that what is found is a fundamental truth about language or mind.</w:t>
      </w:r>
    </w:p>
    <w:p>
      <w:pPr>
        <w:pBdr>
          <w:bottom w:val="single" w:sz="4" w:space="1" w:color="AAAAAA"/>
        </w:pBdr>
        <w:spacing w:before="6" w:after="6"/>
      </w:pPr>
    </w:p>
    <w:p>
      <w:pPr>
        <w:pStyle w:val="Heading2"/>
      </w:pPr>
      <w:r>
        <w:rPr>
          <w:sz w:val="22"/>
        </w:rPr>
        <w:t>Limitations Summary</w:t>
      </w:r>
    </w:p>
    <w:tbl>
      <w:tblPr>
        <w:tblStyle w:val="TableGrid"/>
        <w:tblW w:type="auto" w:w="0"/>
        <w:tblLook w:firstColumn="1" w:firstRow="1" w:lastColumn="0" w:lastRow="0" w:noHBand="0" w:noVBand="1" w:val="04A0"/>
      </w:tblPr>
      <w:tblGrid>
        <w:gridCol w:w="4533"/>
        <w:gridCol w:w="4533"/>
      </w:tblGrid>
      <w:tr>
        <w:tc>
          <w:tcPr>
            <w:tcW w:type="dxa" w:w="4533"/>
            <w:shd w:val="clear" w:color="auto" w:fill="DDEEFF"/>
          </w:tcPr>
          <w:p>
            <w:r>
              <w:rPr>
                <w:b/>
              </w:rPr>
            </w:r>
            <w:r>
              <w:rPr>
                <w:b/>
                <w:sz w:val="22"/>
              </w:rPr>
              <w:t>Limitation</w:t>
            </w:r>
          </w:p>
        </w:tc>
        <w:tc>
          <w:tcPr>
            <w:tcW w:type="dxa" w:w="4533"/>
            <w:shd w:val="clear" w:color="auto" w:fill="DDEEFF"/>
          </w:tcPr>
          <w:p>
            <w:r>
              <w:rPr>
                <w:b/>
              </w:rPr>
            </w:r>
            <w:r>
              <w:rPr>
                <w:b/>
                <w:sz w:val="22"/>
              </w:rPr>
              <w:t>What It Means</w:t>
            </w:r>
          </w:p>
        </w:tc>
      </w:tr>
      <w:tr>
        <w:tc>
          <w:tcPr>
            <w:tcW w:type="dxa" w:w="4533"/>
          </w:tcPr>
          <w:p>
            <w:r/>
            <w:r>
              <w:rPr>
                <w:sz w:val="22"/>
              </w:rPr>
              <w:t>Embedding model bias</w:t>
            </w:r>
          </w:p>
        </w:tc>
        <w:tc>
          <w:tcPr>
            <w:tcW w:type="dxa" w:w="4533"/>
          </w:tcPr>
          <w:p>
            <w:r/>
            <w:r>
              <w:rPr>
                <w:sz w:val="22"/>
              </w:rPr>
              <w:t>Distances reflect corpus statistics, not semantic ground truth</w:t>
            </w:r>
          </w:p>
        </w:tc>
      </w:tr>
      <w:tr>
        <w:tc>
          <w:tcPr>
            <w:tcW w:type="dxa" w:w="4533"/>
          </w:tcPr>
          <w:p>
            <w:r/>
            <w:r>
              <w:rPr>
                <w:sz w:val="22"/>
              </w:rPr>
              <w:t>UMAP distortion</w:t>
            </w:r>
          </w:p>
        </w:tc>
        <w:tc>
          <w:tcPr>
            <w:tcW w:type="dxa" w:w="4533"/>
          </w:tcPr>
          <w:p>
            <w:r/>
            <w:r>
              <w:rPr>
                <w:sz w:val="22"/>
              </w:rPr>
              <w:t>2D terrain positions do not preserve global high-dimensional distances</w:t>
            </w:r>
          </w:p>
        </w:tc>
      </w:tr>
      <w:tr>
        <w:tc>
          <w:tcPr>
            <w:tcW w:type="dxa" w:w="4533"/>
          </w:tcPr>
          <w:p>
            <w:r/>
            <w:r>
              <w:rPr>
                <w:sz w:val="22"/>
              </w:rPr>
              <w:t>Vocabulary specificity</w:t>
            </w:r>
          </w:p>
        </w:tc>
        <w:tc>
          <w:tcPr>
            <w:tcW w:type="dxa" w:w="4533"/>
          </w:tcPr>
          <w:p>
            <w:r/>
            <w:r>
              <w:rPr>
                <w:sz w:val="22"/>
              </w:rPr>
              <w:t>Roget 1911 + supplements: historically and culturally specific</w:t>
            </w:r>
          </w:p>
        </w:tc>
      </w:tr>
      <w:tr>
        <w:tc>
          <w:tcPr>
            <w:tcW w:type="dxa" w:w="4533"/>
          </w:tcPr>
          <w:p>
            <w:r/>
            <w:r>
              <w:rPr>
                <w:sz w:val="22"/>
              </w:rPr>
              <w:t>LLM description quality</w:t>
            </w:r>
          </w:p>
        </w:tc>
        <w:tc>
          <w:tcPr>
            <w:tcW w:type="dxa" w:w="4533"/>
          </w:tcPr>
          <w:p>
            <w:r/>
            <w:r>
              <w:rPr>
                <w:sz w:val="22"/>
              </w:rPr>
              <w:t>Generated names are hypotheses, not readouts of embedding geometry</w:t>
            </w:r>
          </w:p>
        </w:tc>
      </w:tr>
      <w:tr>
        <w:tc>
          <w:tcPr>
            <w:tcW w:type="dxa" w:w="4533"/>
          </w:tcPr>
          <w:p>
            <w:r/>
            <w:r>
              <w:rPr>
                <w:sz w:val="22"/>
              </w:rPr>
              <w:t>Polysemy blur</w:t>
            </w:r>
          </w:p>
        </w:tc>
        <w:tc>
          <w:tcPr>
            <w:tcW w:type="dxa" w:w="4533"/>
          </w:tcPr>
          <w:p>
            <w:r/>
            <w:r>
              <w:rPr>
                <w:sz w:val="22"/>
              </w:rPr>
              <w:t>Endpoint vectors blend multiple senses; probe path is through blended space</w:t>
            </w:r>
          </w:p>
        </w:tc>
      </w:tr>
      <w:tr>
        <w:tc>
          <w:tcPr>
            <w:tcW w:type="dxa" w:w="4533"/>
          </w:tcPr>
          <w:p>
            <w:r/>
            <w:r>
              <w:rPr>
                <w:sz w:val="22"/>
              </w:rPr>
              <w:t>English-only vocabulary</w:t>
            </w:r>
          </w:p>
        </w:tc>
        <w:tc>
          <w:tcPr>
            <w:tcW w:type="dxa" w:w="4533"/>
          </w:tcPr>
          <w:p>
            <w:r/>
            <w:r>
              <w:rPr>
                <w:sz w:val="22"/>
              </w:rPr>
              <w:t>Non-English conceptual territories are absent from the named landscape</w:t>
            </w:r>
          </w:p>
        </w:tc>
      </w:tr>
      <w:tr>
        <w:tc>
          <w:tcPr>
            <w:tcW w:type="dxa" w:w="4533"/>
          </w:tcPr>
          <w:p>
            <w:r/>
            <w:r>
              <w:rPr>
                <w:sz w:val="22"/>
              </w:rPr>
              <w:t>Zipf filter</w:t>
            </w:r>
          </w:p>
        </w:tc>
        <w:tc>
          <w:tcPr>
            <w:tcW w:type="dxa" w:w="4533"/>
          </w:tcPr>
          <w:p>
            <w:r/>
            <w:r>
              <w:rPr>
                <w:sz w:val="22"/>
              </w:rPr>
              <w:t>Modern but low-frequency technical terms may be excluded from probes</w:t>
            </w:r>
          </w:p>
        </w:tc>
      </w:tr>
    </w:tbl>
    <w:p/>
    <w:p>
      <w:pPr>
        <w:pBdr>
          <w:bottom w:val="single" w:sz="4" w:space="1" w:color="AAAAAA"/>
        </w:pBdr>
        <w:spacing w:before="6" w:after="6"/>
      </w:pPr>
    </w:p>
    <w:p>
      <w:pPr>
        <w:spacing w:before="4" w:after="4"/>
      </w:pPr>
      <w:r>
        <w:rPr>
          <w:i/>
          <w:color w:val="606060"/>
          <w:sz w:val="20"/>
        </w:rPr>
        <w:t>datasculptures.com</w:t>
      </w:r>
    </w:p>
    <w:sectPr w:rsidR="00FC693F" w:rsidRPr="0006063C" w:rsidSect="00034616">
      <w:headerReference w:type="default" r:id="rId9"/>
      <w:footerReference w:type="default" r:id="rId10"/>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datasculptures.com   ·   Page </w:t>
      <w:fldChar w:fldCharType="begin"/>
      <w:instrText>PAGE</w:instrText>
      <w:fldChar w:fldCharType="end"/>
    </w:r>
    <w:r>
      <w:rPr>
        <w:sz w:val="18"/>
      </w:rPr>
      <w:t xml:space="preserve"> of </w:t>
    </w:r>
    <w:r>
      <w:rPr>
        <w:sz w:val="18"/>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8"/>
      </w:rPr>
      <w:t>Sean Patrick Morris · Claude (Anthropic)   ·   Critical Framework — V2   ·   March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