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Script Reference</w:t>
      </w:r>
    </w:p>
    <w:p>
      <w:pPr>
        <w:pStyle w:val="Heading2"/>
      </w:pPr>
      <w:r>
        <w:rPr>
          <w:sz w:val="22"/>
        </w:rPr>
        <w:t>Latent Language Explorer V2</w:t>
      </w:r>
    </w:p>
    <w:p>
      <w:pPr>
        <w:spacing w:before="4" w:after="4"/>
      </w:pPr>
      <w:r>
        <w:rPr>
          <w:i/>
          <w:color w:val="606060"/>
          <w:sz w:val="20"/>
        </w:rPr>
        <w:t>Sean Patrick Morris · Claude (Anthropic) · datasculptures.com · March 2026</w:t>
      </w:r>
    </w:p>
    <w:p>
      <w:pPr>
        <w:spacing w:before="0" w:after="6"/>
      </w:pPr>
      <w:r>
        <w:rPr>
          <w:sz w:val="22"/>
        </w:rPr>
        <w:t xml:space="preserve">All scripts are in the </w:t>
      </w:r>
      <w:r>
        <w:rPr>
          <w:rFonts w:ascii="Courier New" w:hAnsi="Courier New"/>
          <w:color w:val="206080"/>
          <w:sz w:val="20"/>
        </w:rPr>
        <w:t>scripts/</w:t>
      </w:r>
      <w:r>
        <w:rPr>
          <w:sz w:val="22"/>
        </w:rPr>
        <w:t xml:space="preserve"> directory and are run from the project root with </w:t>
      </w:r>
      <w:r>
        <w:rPr>
          <w:rFonts w:ascii="Courier New" w:hAnsi="Courier New"/>
          <w:color w:val="206080"/>
          <w:sz w:val="20"/>
        </w:rPr>
        <w:t>py scripts/&lt;name&gt;.py</w:t>
      </w:r>
      <w:r>
        <w:rPr>
          <w:sz w:val="22"/>
        </w:rPr>
        <w:t xml:space="preserve"> (Windows) or </w:t>
      </w:r>
      <w:r>
        <w:rPr>
          <w:rFonts w:ascii="Courier New" w:hAnsi="Courier New"/>
          <w:color w:val="206080"/>
          <w:sz w:val="20"/>
        </w:rPr>
        <w:t>python3 scripts/&lt;name&gt;.py</w:t>
      </w:r>
      <w:r>
        <w:rPr>
          <w:sz w:val="22"/>
        </w:rPr>
        <w:t xml:space="preserve"> (Mac/Linux).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2"/>
      </w:pPr>
      <w:r>
        <w:rPr>
          <w:sz w:val="22"/>
        </w:rPr>
        <w:t>Constants Reference: terrain_config.py</w:t>
      </w:r>
    </w:p>
    <w:p>
      <w:pPr>
        <w:spacing w:before="0" w:after="6"/>
      </w:pPr>
      <w:r>
        <w:rPr>
          <w:sz w:val="22"/>
        </w:rPr>
        <w:t>Single source of truth for all pipeline and configuration constants. Import from here; never hardcode values in scripts.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DEEFF"/>
          </w:tcPr>
          <w:p>
            <w:r>
              <w:rPr>
                <w:b/>
              </w:rPr>
            </w:r>
            <w:r>
              <w:rPr>
                <w:b/>
                <w:sz w:val="22"/>
              </w:rPr>
              <w:t>Constant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</w:rPr>
            </w:r>
            <w:r>
              <w:rPr>
                <w:b/>
                <w:sz w:val="22"/>
              </w:rPr>
              <w:t>Value</w:t>
            </w:r>
          </w:p>
        </w:tc>
        <w:tc>
          <w:tcPr>
            <w:tcW w:type="dxa" w:w="3022"/>
            <w:shd w:val="clear" w:color="auto" w:fill="DDEEFF"/>
          </w:tcPr>
          <w:p>
            <w:r>
              <w:rPr>
                <w:b/>
              </w:rPr>
            </w:r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PROJECT_VERSION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"2.0.0"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Project version string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SCHEMA_VERSION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Journal schema version; increment when schema changes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UMAP_RANDOM_SEED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42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 xml:space="preserve">UMAP random seed — </w:t>
            </w:r>
            <w:r>
              <w:rPr>
                <w:b/>
                <w:sz w:val="22"/>
              </w:rPr>
              <w:t>never change after first embedding run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UMAP_N_COMPONENTS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2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UMAP output dimensions (2D layout)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UMAP_N_NEIGHBORS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15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UMAP n_neighbors parameter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UMAP_MIN_DIST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0.1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UMAP min_dist parameter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PCA_N_COMPONENTS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256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PCA pre-reduction target dimensions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DESERT_FIELD_RESOLUTION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128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2D KDE desert grid resolution (cells per axis)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DESERT_FIELD_MAX_RESOLUTION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1024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allowed grid resolution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DESERT_GATE_THRESHOLD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0.02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2"/>
              </w:rPr>
              <w:t>2D terrain only:</w:t>
            </w:r>
            <w:r>
              <w:rPr>
                <w:sz w:val="22"/>
              </w:rPr>
              <w:t xml:space="preserve"> minimum KDE density to qualify as desert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DESERT_SHALLOW_THRESHOLD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0.05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2"/>
              </w:rPr>
              <w:t>2D terrain only:</w:t>
            </w:r>
            <w:r>
              <w:rPr>
                <w:sz w:val="22"/>
              </w:rPr>
              <w:t xml:space="preserve"> boundary between shallow and deep 2D desert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DESERT_DIG_SITE_THRESHOLD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0.65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Minimum desert value for a grid cell to qualify as a dig site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DESERT_DIG_SITE_MIN_CELLS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8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Minimum contiguous cells to form a dig site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PROBE_STEPS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30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Number of interpolation steps per probe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PROBE_PERCENTILE_LOW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40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Lower percentile for pair selection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PROBE_PERCENTILE_HIGH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75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Upper percentile for pair selection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SYNONYM_FILTER_COSINE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0.85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cosine similarity for probe pair inclusion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PROBE_INTERIOR_MIN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0.10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Minimum alpha for interior step scoring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PROBE_INTERIOR_MAX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0.90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alpha for interior step scoring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PROBE_MIN_DENSITY_THRESHOLD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0.70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 mean-5-NN distance for density filter (fallback when wordfreq unavailable)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PROBE_MIN_ZIPF_FREQUENCY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3.0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Minimum Zipf frequency for probe endpoint inclusion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PROBE_DESERT_GATE_THRESHOLD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0.50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2"/>
              </w:rPr>
              <w:t>Probe scoring:</w:t>
            </w:r>
            <w:r>
              <w:rPr>
                <w:sz w:val="22"/>
              </w:rPr>
              <w:t xml:space="preserve"> minimum L2 to qualify as a discovery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PROBE_DESERT_SHALLOW_THRESHOLD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0.70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2"/>
              </w:rPr>
              <w:t>Probe scoring:</w:t>
            </w:r>
            <w:r>
              <w:rPr>
                <w:sz w:val="22"/>
              </w:rPr>
              <w:t xml:space="preserve"> boundary between shallow and deep discovery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LLM_MODEL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"claude-haiku-4-5"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Anthropic model for generative decoding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LLM_MAX_TOKENS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150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tokens per LLM response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LLM_RATE_LIMIT_PER_HOUR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60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LLM calls per hour (backend enforced)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LLM_RATE_LIMIT_INTERVAL_SECONDS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3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Minimum seconds between LLM calls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VOCAB_MIN_TERM_LENGTH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4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Minimum character length for vocabulary terms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VOCAB_WORDNET_HOP_DEPTH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WordNet enrichment hop depth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VOCAB_MODERN_DOMAIN_CAP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4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number of modern domain supplements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VOCAB_MODERN_DOMAIN_TERM_CAP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100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terms per modern domain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EXPORT_DEFAULT_GRID_SIZE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48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Default fabrication export grid size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EXPORT_DEFAULT_BASE_INCHES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12.0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Default base dimension in inches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EXPORT_DEFAULT_MAX_HEIGHT_INCHES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6.0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terrain height in inches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EXPORT_CONTOUR_INTERVAL_INCHES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0.25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Contour line interval in inches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EXPORT_DPI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300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Export image DPI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EXPORT_MAX_GRID_DIMENSION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1024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export grid dimension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MAX_QUERY_LENGTH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500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length for user query strings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MAX_CONCEPT_LABEL_LENGTH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100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length for concept labels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MAX_USER_NOTE_LENGTH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2000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length for journal user notes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MAX_TAG_LENGTH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50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length for tags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MAX_TAGS_PER_ENTRY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20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tags per journal entry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MAX_JOURNAL_ENTRIES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50000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Maximum total journal entries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JOURNAL_FILENAME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"journal.json"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Journal JSON filename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JOURNAL_INDEX_FILENAME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"journal.db"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Journal SQLite index filename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DATA_BUNDLE_VERSION</w:t>
            </w:r>
          </w:p>
        </w:tc>
        <w:tc>
          <w:tcPr>
            <w:tcW w:type="dxa" w:w="3022"/>
          </w:tcPr>
          <w:p>
            <w:r/>
            <w:r>
              <w:rPr>
                <w:rFonts w:ascii="Courier New" w:hAnsi="Courier New"/>
                <w:color w:val="206080"/>
                <w:sz w:val="20"/>
              </w:rPr>
              <w:t>"2.0"</w:t>
            </w:r>
          </w:p>
        </w:tc>
        <w:tc>
          <w:tcPr>
            <w:tcW w:type="dxa" w:w="3022"/>
          </w:tcPr>
          <w:p>
            <w:r/>
            <w:r>
              <w:rPr>
                <w:sz w:val="22"/>
              </w:rPr>
              <w:t>Data bundle schema version</w:t>
            </w:r>
          </w:p>
        </w:tc>
      </w:tr>
    </w:tbl>
    <w:p/>
    <w:p>
      <w:pPr>
        <w:spacing w:before="0" w:after="6"/>
      </w:pPr>
      <w:r>
        <w:rPr>
          <w:b/>
          <w:sz w:val="22"/>
        </w:rPr>
        <w:t>Note: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DESERT_GATE_THRESHOLD</w:t>
      </w:r>
      <w:r>
        <w:rPr>
          <w:sz w:val="22"/>
        </w:rPr>
        <w:t xml:space="preserve"> and </w:t>
      </w:r>
      <w:r>
        <w:rPr>
          <w:rFonts w:ascii="Courier New" w:hAnsi="Courier New"/>
          <w:color w:val="206080"/>
          <w:sz w:val="20"/>
        </w:rPr>
        <w:t>DESERT_SHALLOW_THRESHOLD</w:t>
      </w:r>
      <w:r>
        <w:rPr>
          <w:sz w:val="22"/>
        </w:rPr>
        <w:t xml:space="preserve"> are for the 2D terrain grid (KDE density values, normalized 0–1). </w:t>
      </w:r>
      <w:r>
        <w:rPr>
          <w:rFonts w:ascii="Courier New" w:hAnsi="Courier New"/>
          <w:color w:val="206080"/>
          <w:sz w:val="20"/>
        </w:rPr>
        <w:t>PROBE_DESERT_GATE_THRESHOLD</w:t>
      </w:r>
      <w:r>
        <w:rPr>
          <w:sz w:val="22"/>
        </w:rPr>
        <w:t xml:space="preserve"> and </w:t>
      </w:r>
      <w:r>
        <w:rPr>
          <w:rFonts w:ascii="Courier New" w:hAnsi="Courier New"/>
          <w:color w:val="206080"/>
          <w:sz w:val="20"/>
        </w:rPr>
        <w:t>PROBE_DESERT_SHALLOW_THRESHOLD</w:t>
      </w:r>
      <w:r>
        <w:rPr>
          <w:sz w:val="22"/>
        </w:rPr>
        <w:t xml:space="preserve"> are for probe measurements (384d L2 distance on the unit sphere). These scales are incompatible and must not be mixed.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2"/>
      </w:pPr>
      <w:r>
        <w:rPr>
          <w:sz w:val="22"/>
        </w:rPr>
        <w:t>Vocabulary Pipeline</w:t>
      </w:r>
    </w:p>
    <w:p>
      <w:pPr>
        <w:pStyle w:val="Heading3"/>
      </w:pPr>
      <w:r>
        <w:rPr>
          <w:sz w:val="22"/>
        </w:rPr>
        <w:t>parse_roget.py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Parse the Roget 1911 source text into structured JSON.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data/roget/roget_1911.txt</w:t>
      </w:r>
      <w:r>
        <w:rPr>
          <w:sz w:val="22"/>
        </w:rPr>
        <w:t xml:space="preserve"> (source text)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data/roget/roget_parsed.json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Run once per project. The parsed output is the foundation of the taxonomy. Do not edit </w:t>
      </w:r>
      <w:r>
        <w:rPr>
          <w:rFonts w:ascii="Courier New" w:hAnsi="Courier New"/>
          <w:color w:val="206080"/>
          <w:sz w:val="20"/>
        </w:rPr>
        <w:t>roget_parsed.json</w:t>
      </w:r>
      <w:r>
        <w:rPr>
          <w:sz w:val="22"/>
        </w:rPr>
        <w:t xml:space="preserve"> by hand.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filter_vocab.py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Apply length and quality filters to the raw Roget vocabulary.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data/roget/roget_parsed.json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data/roget/vocab_filtered.json</w:t>
      </w:r>
    </w:p>
    <w:p>
      <w:pPr>
        <w:spacing w:before="0" w:after="6"/>
      </w:pPr>
      <w:r>
        <w:rPr>
          <w:b/>
          <w:sz w:val="22"/>
        </w:rPr>
        <w:t>Key filters:</w:t>
      </w:r>
      <w:r>
        <w:rPr>
          <w:sz w:val="22"/>
        </w:rPr>
        <w:t xml:space="preserve"> Minimum term length (</w:t>
      </w:r>
      <w:r>
        <w:rPr>
          <w:rFonts w:ascii="Courier New" w:hAnsi="Courier New"/>
          <w:color w:val="206080"/>
          <w:sz w:val="20"/>
        </w:rPr>
        <w:t>VOCAB_MIN_TERM_LENGTH = 4</w:t>
      </w:r>
      <w:r>
        <w:rPr>
          <w:sz w:val="22"/>
        </w:rPr>
        <w:t>), removal of punctuation-only terms, deduplication within categories.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enrich_wordnet.py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Extend vocabulary by adding WordNet synonyms and hyponyms up to 1 hop from existing Roget terms.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data/roget/vocab_filtered.json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data/roget/vocab_wordnet.json</w:t>
      </w:r>
    </w:p>
    <w:p>
      <w:pPr>
        <w:spacing w:before="0" w:after="6"/>
      </w:pPr>
      <w:r>
        <w:rPr>
          <w:b/>
          <w:sz w:val="22"/>
        </w:rPr>
        <w:t>Key arguments: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--hop-depth</w:t>
      </w:r>
      <w:r>
        <w:rPr>
          <w:sz w:val="22"/>
        </w:rPr>
        <w:t xml:space="preserve"> — WordNet hop depth (default: </w:t>
      </w:r>
      <w:r>
        <w:rPr>
          <w:rFonts w:ascii="Courier New" w:hAnsi="Courier New"/>
          <w:color w:val="206080"/>
          <w:sz w:val="20"/>
        </w:rPr>
        <w:t>VOCAB_WORDNET_HOP_DEPTH = 1</w:t>
      </w:r>
      <w:r>
        <w:rPr>
          <w:sz w:val="22"/>
        </w:rPr>
        <w:t>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--cap</w:t>
      </w:r>
      <w:r>
        <w:rPr>
          <w:sz w:val="22"/>
        </w:rPr>
        <w:t xml:space="preserve"> — Maximum new terms per category (default: 30)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Requires NLTK with WordNet corpus installed.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add_modern_domains.py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Supplement the vocabulary with terms from four modern domains not covered by Roget 1911: AI/ML, Computing, Molecular Biology, Cognitive Science.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data/roget/vocab_wordnet.json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data/roget/modern_domains/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data/roget/roget_modern.json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Capped at </w:t>
      </w:r>
      <w:r>
        <w:rPr>
          <w:rFonts w:ascii="Courier New" w:hAnsi="Courier New"/>
          <w:color w:val="206080"/>
          <w:sz w:val="20"/>
        </w:rPr>
        <w:t>VOCAB_MODERN_DOMAIN_TERM_CAP = 100</w:t>
      </w:r>
      <w:r>
        <w:rPr>
          <w:sz w:val="22"/>
        </w:rPr>
        <w:t xml:space="preserve"> terms per domain. These additions are flagged as </w:t>
      </w:r>
      <w:r>
        <w:rPr>
          <w:rFonts w:ascii="Courier New" w:hAnsi="Courier New"/>
          <w:color w:val="206080"/>
          <w:sz w:val="20"/>
        </w:rPr>
        <w:t>is_modern_addition = True</w:t>
      </w:r>
      <w:r>
        <w:rPr>
          <w:sz w:val="22"/>
        </w:rPr>
        <w:t xml:space="preserve"> in the taxonomy.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build_vocab_index.py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Build per-term category membership index and flat vocabulary list from the modern-enriched taxonomy.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data/roget/roget_modern.json</w:t>
      </w:r>
    </w:p>
    <w:p>
      <w:pPr>
        <w:spacing w:before="0" w:after="6"/>
      </w:pPr>
      <w:r>
        <w:rPr>
          <w:b/>
          <w:sz w:val="22"/>
        </w:rPr>
        <w:t>Outputs: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data/roget/vocab_index.json</w:t>
      </w:r>
      <w:r>
        <w:rPr>
          <w:sz w:val="22"/>
        </w:rPr>
        <w:t xml:space="preserve"> — per-term category membership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data/roget/vocab_flat.json</w:t>
      </w:r>
      <w:r>
        <w:rPr>
          <w:sz w:val="22"/>
        </w:rPr>
        <w:t xml:space="preserve"> — flat list of all kept terms with metadata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data/roget/category_colours.json</w:t>
      </w:r>
      <w:r>
        <w:rPr>
          <w:sz w:val="22"/>
        </w:rPr>
        <w:t xml:space="preserve"> — colour assignment per Roget class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Terms appearing in multiple categories are flagged </w:t>
      </w:r>
      <w:r>
        <w:rPr>
          <w:rFonts w:ascii="Courier New" w:hAnsi="Courier New"/>
          <w:color w:val="206080"/>
          <w:sz w:val="20"/>
        </w:rPr>
        <w:t>is_polysemous = True</w:t>
      </w:r>
      <w:r>
        <w:rPr>
          <w:sz w:val="22"/>
        </w:rPr>
        <w:t xml:space="preserve">. The </w:t>
      </w:r>
      <w:r>
        <w:rPr>
          <w:rFonts w:ascii="Courier New" w:hAnsi="Courier New"/>
          <w:color w:val="206080"/>
          <w:sz w:val="20"/>
        </w:rPr>
        <w:t>is_obsolete</w:t>
      </w:r>
      <w:r>
        <w:rPr>
          <w:sz w:val="22"/>
        </w:rPr>
        <w:t xml:space="preserve"> flag is set if </w:t>
      </w:r>
      <w:r>
        <w:rPr>
          <w:b/>
          <w:sz w:val="22"/>
        </w:rPr>
        <w:t>any</w:t>
      </w:r>
      <w:r>
        <w:rPr>
          <w:sz w:val="22"/>
        </w:rPr>
        <w:t xml:space="preserve"> category membership marks the term obsolete.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validate_vocab.py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Run quality checks on the assembled vocabulary before proceeding to embeddings.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data/roget/vocab_flat.json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data/roget/vocab_index.json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data/roget/vocab_validated.json</w:t>
      </w:r>
    </w:p>
    <w:p>
      <w:pPr>
        <w:spacing w:before="0" w:after="6"/>
      </w:pPr>
      <w:r>
        <w:rPr>
          <w:b/>
          <w:sz w:val="22"/>
        </w:rPr>
        <w:t>Checks:</w:t>
      </w:r>
      <w:r>
        <w:rPr>
          <w:sz w:val="22"/>
        </w:rPr>
        <w:t xml:space="preserve"> Minimum term length, duplicate detection, class coverage, polysemy rate.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2"/>
      </w:pPr>
      <w:r>
        <w:rPr>
          <w:sz w:val="22"/>
        </w:rPr>
        <w:t>Embedding Pipeline</w:t>
      </w:r>
    </w:p>
    <w:p>
      <w:pPr>
        <w:pStyle w:val="Heading3"/>
      </w:pPr>
      <w:r>
        <w:rPr>
          <w:sz w:val="22"/>
        </w:rPr>
        <w:t>compute_base_embeddings.py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Compute one 384-dimensional embedding per term using the neutral context template.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data/roget/vocab_validated.json</w:t>
      </w:r>
    </w:p>
    <w:p>
      <w:pPr>
        <w:spacing w:before="0" w:after="6"/>
      </w:pPr>
      <w:r>
        <w:rPr>
          <w:b/>
          <w:sz w:val="22"/>
        </w:rPr>
        <w:t>Outputs: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data/embeddings/base_embeddings.npz</w:t>
      </w:r>
      <w:r>
        <w:rPr>
          <w:sz w:val="22"/>
        </w:rPr>
        <w:t xml:space="preserve"> — shape (N, 384), float32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data/embeddings/base_embeddings_meta.json</w:t>
      </w:r>
      <w:r>
        <w:rPr>
          <w:sz w:val="22"/>
        </w:rPr>
        <w:t xml:space="preserve"> — model, dimensions, term count, timestamp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Checkpoints every 5,000 terms. If interrupted, restart picks up from the checkpoint. Embeddings are L2-normalized (unit sphere). Model: </w:t>
      </w:r>
      <w:r>
        <w:rPr>
          <w:rFonts w:ascii="Courier New" w:hAnsi="Courier New"/>
          <w:color w:val="206080"/>
          <w:sz w:val="20"/>
        </w:rPr>
        <w:t>all-MiniLM-L6-v2</w:t>
      </w:r>
      <w:r>
        <w:rPr>
          <w:sz w:val="22"/>
        </w:rPr>
        <w:t>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compute_contextual_embeddings.py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Compute 7 context-specific embeddings per term (one per Roget class + neutral), using the </w:t>
      </w:r>
      <w:r>
        <w:rPr>
          <w:rFonts w:ascii="Courier New" w:hAnsi="Courier New"/>
          <w:color w:val="206080"/>
          <w:sz w:val="20"/>
        </w:rPr>
        <w:t>CONTEXT_TEMPLATES</w:t>
      </w:r>
      <w:r>
        <w:rPr>
          <w:sz w:val="22"/>
        </w:rPr>
        <w:t xml:space="preserve"> from terrain_config.py.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data/roget/vocab_validated.json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data/embeddings/contextual_embeddings.npz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Checkpoints to avoid losing progress. Used for polysemy scoring and context-sensitive analysis.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compute_umap.py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Project base embeddings from 384d → 256d (PCA) → 2D (UMAP).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data/embeddings/base_embeddings.npz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data/terrain/umap_coords.npz</w:t>
      </w:r>
      <w:r>
        <w:rPr>
          <w:sz w:val="22"/>
        </w:rPr>
        <w:t xml:space="preserve"> — shape (N, 2), float32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Uses </w:t>
      </w:r>
      <w:r>
        <w:rPr>
          <w:rFonts w:ascii="Courier New" w:hAnsi="Courier New"/>
          <w:color w:val="206080"/>
          <w:sz w:val="20"/>
        </w:rPr>
        <w:t>UMAP_RANDOM_SEED = 42</w:t>
      </w:r>
      <w:r>
        <w:rPr>
          <w:sz w:val="22"/>
        </w:rPr>
        <w:t xml:space="preserve">. </w:t>
      </w:r>
      <w:r>
        <w:rPr>
          <w:b/>
          <w:sz w:val="22"/>
        </w:rPr>
        <w:t>Never change this seed</w:t>
      </w:r>
      <w:r>
        <w:rPr>
          <w:sz w:val="22"/>
        </w:rPr>
        <w:t xml:space="preserve"> after the first run. Changing it invalidates all journal coordinates. PCA pre-reduction uses </w:t>
      </w:r>
      <w:r>
        <w:rPr>
          <w:rFonts w:ascii="Courier New" w:hAnsi="Courier New"/>
          <w:color w:val="206080"/>
          <w:sz w:val="20"/>
        </w:rPr>
        <w:t>PCA_N_COMPONENTS = 256</w:t>
      </w:r>
      <w:r>
        <w:rPr>
          <w:sz w:val="22"/>
        </w:rPr>
        <w:t>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compute_density.py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Compute KDE density field over the 2D UMAP layout.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data/terrain/umap_coords.npz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data/terrain/density_field.npz</w:t>
      </w:r>
      <w:r>
        <w:rPr>
          <w:sz w:val="22"/>
        </w:rPr>
        <w:t xml:space="preserve"> — shape (RESOLUTION, RESOLUTION), float32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Resolution defaults to </w:t>
      </w:r>
      <w:r>
        <w:rPr>
          <w:rFonts w:ascii="Courier New" w:hAnsi="Courier New"/>
          <w:color w:val="206080"/>
          <w:sz w:val="20"/>
        </w:rPr>
        <w:t>DESERT_FIELD_RESOLUTION = 128</w:t>
      </w:r>
      <w:r>
        <w:rPr>
          <w:sz w:val="22"/>
        </w:rPr>
        <w:t>. KDE bandwidth is set automatically. The density field determines terrain height in the renderer.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compute_gradients.py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Compute the gradient field from the density field.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data/terrain/density_field.npz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data/terrain/gradient_field.npz</w:t>
      </w:r>
      <w:r>
        <w:rPr>
          <w:sz w:val="22"/>
        </w:rPr>
        <w:t xml:space="preserve"> — shape (RESOLUTION, RESOLUTION, 2), float32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Gradient field is used for attractor computation and basin boundary visualization.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compute_attractors.py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Find local density maxima (attractors) by gradient ascent.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data/terrain/density_field.npz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data/terrain/umap_coords.npz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data/terrain/attractors.json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compute_basins.py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Assign each concept to a basin by following gradient ascent to its attractor.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data/terrain/attractors.json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data/terrain/umap_coords.npz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data/terrain/basins.json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compute_desert_field.py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Compute the 2D desert field — distance from each grid cell to the nearest concept in UMAP space.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data/terrain/umap_coords.npz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data/terrain/desert_field.npz</w:t>
      </w:r>
      <w:r>
        <w:rPr>
          <w:sz w:val="22"/>
        </w:rPr>
        <w:t xml:space="preserve"> — shape (RESOLUTION, RESOLUTION), float32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Values are 2D L2 distances (not 384d probe distances). Subject to UMAP distortion. Used for visualization and dig site enumeration only.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assemble_bundle.py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Assemble all data into the single </w:t>
      </w:r>
      <w:r>
        <w:rPr>
          <w:rFonts w:ascii="Courier New" w:hAnsi="Courier New"/>
          <w:color w:val="206080"/>
          <w:sz w:val="20"/>
        </w:rPr>
        <w:t>data_bundle.json</w:t>
      </w:r>
      <w:r>
        <w:rPr>
          <w:sz w:val="22"/>
        </w:rPr>
        <w:t xml:space="preserve"> served by the backend.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data/roget/vocab_flat.json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data/embeddings/base_embeddings_meta.json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backend/data/data_bundle.json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The bundle is the single source of truth for the frontend and backend. It includes all concept metadata, UMAP coordinates, terrain fields, attractor positions, and basin assignments.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2"/>
      </w:pPr>
      <w:r>
        <w:rPr>
          <w:sz w:val="22"/>
        </w:rPr>
        <w:t>Discovery Tools</w:t>
      </w:r>
    </w:p>
    <w:p>
      <w:pPr>
        <w:pStyle w:val="Heading3"/>
      </w:pPr>
      <w:r>
        <w:rPr>
          <w:sz w:val="22"/>
        </w:rPr>
        <w:t>select_probe_pairs.py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Select concept pairs for cross-category probing using hierarchy-aware selection.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backend/data/data_bundle.json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data/embeddings/base_embeddings.npz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data/discovery/probe_pairs_{level}.json</w:t>
      </w:r>
    </w:p>
    <w:p>
      <w:pPr>
        <w:spacing w:before="0" w:after="6"/>
      </w:pPr>
      <w:r>
        <w:rPr>
          <w:b/>
          <w:sz w:val="22"/>
        </w:rPr>
        <w:t>Key arguments: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--level</w:t>
      </w:r>
      <w:r>
        <w:rPr>
          <w:sz w:val="22"/>
        </w:rPr>
        <w:t xml:space="preserve"> — </w:t>
      </w:r>
      <w:r>
        <w:rPr>
          <w:rFonts w:ascii="Courier New" w:hAnsi="Courier New"/>
          <w:color w:val="206080"/>
          <w:sz w:val="20"/>
        </w:rPr>
        <w:t>cross_class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cross_section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adjacent_cat</w:t>
      </w:r>
      <w:r>
        <w:rPr>
          <w:sz w:val="22"/>
        </w:rPr>
        <w:t xml:space="preserve">, or </w:t>
      </w:r>
      <w:r>
        <w:rPr>
          <w:rFonts w:ascii="Courier New" w:hAnsi="Courier New"/>
          <w:color w:val="206080"/>
          <w:sz w:val="20"/>
        </w:rPr>
        <w:t>all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--pairs-per-category</w:t>
      </w:r>
      <w:r>
        <w:rPr>
          <w:sz w:val="22"/>
        </w:rPr>
        <w:t xml:space="preserve"> — pairs to select per category pair (default: 3)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--max-pairs</w:t>
      </w:r>
      <w:r>
        <w:rPr>
          <w:sz w:val="22"/>
        </w:rPr>
        <w:t xml:space="preserve"> — maximum total output pairs (default: 1000)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--output</w:t>
      </w:r>
      <w:r>
        <w:rPr>
          <w:sz w:val="22"/>
        </w:rPr>
        <w:t xml:space="preserve"> — output path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--verbose</w:t>
      </w:r>
      <w:r>
        <w:rPr>
          <w:sz w:val="22"/>
        </w:rPr>
        <w:t xml:space="preserve"> — print per-class-pair counts</w:t>
      </w:r>
    </w:p>
    <w:p>
      <w:pPr>
        <w:spacing w:before="0" w:after="6"/>
      </w:pPr>
      <w:r>
        <w:rPr>
          <w:b/>
          <w:sz w:val="22"/>
        </w:rPr>
        <w:t>Filters applied:</w:t>
      </w:r>
    </w:p>
    <w:p>
      <w:pPr>
        <w:pStyle w:val="ListNumber"/>
        <w:spacing w:before="0" w:after="2"/>
      </w:pPr>
      <w:r>
        <w:rPr>
          <w:sz w:val="22"/>
        </w:rPr>
        <w:t>Norm filter: exclude terms with L2 norm &lt; 0.5</w:t>
      </w:r>
    </w:p>
    <w:p>
      <w:pPr>
        <w:pStyle w:val="ListNumber"/>
        <w:spacing w:before="0" w:after="2"/>
      </w:pPr>
      <w:r>
        <w:rPr>
          <w:sz w:val="22"/>
        </w:rPr>
        <w:t>Hyphen filter: exclude hyphenated or underscore-containing terms</w:t>
      </w:r>
    </w:p>
    <w:p>
      <w:pPr>
        <w:pStyle w:val="ListNumber"/>
        <w:spacing w:before="0" w:after="2"/>
      </w:pPr>
      <w:r>
        <w:rPr>
          <w:sz w:val="22"/>
        </w:rPr>
        <w:t xml:space="preserve">Zipf frequency filter: exclude terms below </w:t>
      </w:r>
      <w:r>
        <w:rPr>
          <w:rFonts w:ascii="Courier New" w:hAnsi="Courier New"/>
          <w:color w:val="206080"/>
          <w:sz w:val="20"/>
        </w:rPr>
        <w:t>PROBE_MIN_ZIPF_FREQUENCY = 3.0</w:t>
      </w:r>
    </w:p>
    <w:p>
      <w:pPr>
        <w:pStyle w:val="ListNumber"/>
        <w:spacing w:before="0" w:after="2"/>
      </w:pPr>
      <w:r>
        <w:rPr>
          <w:sz w:val="22"/>
        </w:rPr>
        <w:t>Density filter (fallback): if wordfreq unavailable, apply mean-5-NN distance filter</w:t>
      </w:r>
    </w:p>
    <w:p>
      <w:pPr>
        <w:pStyle w:val="ListNumber"/>
        <w:spacing w:before="0" w:after="2"/>
      </w:pPr>
      <w:r>
        <w:rPr>
          <w:sz w:val="22"/>
        </w:rPr>
        <w:t>Shared neighbourhood: require ≥1 common neighbour in top-20</w:t>
      </w:r>
    </w:p>
    <w:p>
      <w:pPr>
        <w:pStyle w:val="ListNumber"/>
        <w:spacing w:before="0" w:after="2"/>
      </w:pPr>
      <w:r>
        <w:rPr>
          <w:sz w:val="22"/>
        </w:rPr>
        <w:t xml:space="preserve">Synonym filter: cosine similarity ≤ </w:t>
      </w:r>
      <w:r>
        <w:rPr>
          <w:rFonts w:ascii="Courier New" w:hAnsi="Courier New"/>
          <w:color w:val="206080"/>
          <w:sz w:val="20"/>
        </w:rPr>
        <w:t>SYNONYM_FILTER_COSINE = 0.85</w:t>
      </w:r>
    </w:p>
    <w:p>
      <w:pPr>
        <w:pStyle w:val="ListNumber"/>
        <w:spacing w:before="0" w:after="2"/>
      </w:pPr>
      <w:r>
        <w:rPr>
          <w:sz w:val="22"/>
        </w:rPr>
        <w:t>Morphological variants: exclude pairs where one is a prefix of the other</w:t>
      </w:r>
    </w:p>
    <w:p>
      <w:pPr>
        <w:spacing w:before="0" w:after="6"/>
      </w:pPr>
      <w:r>
        <w:rPr>
          <w:b/>
          <w:sz w:val="22"/>
        </w:rPr>
        <w:t>Ordering constraint:</w:t>
      </w:r>
      <w:r>
        <w:rPr>
          <w:sz w:val="22"/>
        </w:rPr>
        <w:t xml:space="preserve"> Must run after </w:t>
      </w:r>
      <w:r>
        <w:rPr>
          <w:rFonts w:ascii="Courier New" w:hAnsi="Courier New"/>
          <w:color w:val="206080"/>
          <w:sz w:val="20"/>
        </w:rPr>
        <w:t>assemble_bundle.py</w:t>
      </w:r>
      <w:r>
        <w:rPr>
          <w:sz w:val="22"/>
        </w:rPr>
        <w:t xml:space="preserve"> and </w:t>
      </w:r>
      <w:r>
        <w:rPr>
          <w:rFonts w:ascii="Courier New" w:hAnsi="Courier New"/>
          <w:color w:val="206080"/>
          <w:sz w:val="20"/>
        </w:rPr>
        <w:t>compute_base_embeddings.py</w:t>
      </w:r>
      <w:r>
        <w:rPr>
          <w:sz w:val="22"/>
        </w:rPr>
        <w:t>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probe_lib.py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Core probe computation library (no web framework dependencies). Used by both </w:t>
      </w:r>
      <w:r>
        <w:rPr>
          <w:rFonts w:ascii="Courier New" w:hAnsi="Courier New"/>
          <w:color w:val="206080"/>
          <w:sz w:val="20"/>
        </w:rPr>
        <w:t>batch_cross_discover.py</w:t>
      </w:r>
      <w:r>
        <w:rPr>
          <w:sz w:val="22"/>
        </w:rPr>
        <w:t xml:space="preserve"> (CLI) and the FastAPI backend.</w:t>
      </w:r>
    </w:p>
    <w:p>
      <w:pPr>
        <w:spacing w:before="0" w:after="6"/>
      </w:pPr>
      <w:r>
        <w:rPr>
          <w:b/>
          <w:sz w:val="22"/>
        </w:rPr>
        <w:t>Key classes: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EmbeddingIndex</w:t>
      </w:r>
      <w:r>
        <w:rPr>
          <w:sz w:val="22"/>
        </w:rPr>
        <w:t xml:space="preserve"> — loads base embeddings, builds KD-tree, provides </w:t>
      </w:r>
      <w:r>
        <w:rPr>
          <w:rFonts w:ascii="Courier New" w:hAnsi="Courier New"/>
          <w:color w:val="206080"/>
          <w:sz w:val="20"/>
        </w:rPr>
        <w:t>nearest_k()</w:t>
      </w:r>
      <w:r>
        <w:rPr>
          <w:sz w:val="22"/>
        </w:rPr>
        <w:t xml:space="preserve"> and </w:t>
      </w:r>
      <w:r>
        <w:rPr>
          <w:rFonts w:ascii="Courier New" w:hAnsi="Courier New"/>
          <w:color w:val="206080"/>
          <w:sz w:val="20"/>
        </w:rPr>
        <w:t>get_embedding()</w:t>
      </w:r>
      <w:r>
        <w:rPr>
          <w:sz w:val="22"/>
        </w:rPr>
        <w:t xml:space="preserve"> methods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ProbeStep</w:t>
      </w:r>
      <w:r>
        <w:rPr>
          <w:sz w:val="22"/>
        </w:rPr>
        <w:t xml:space="preserve"> — one step in a probe: position, nearest term, desert value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ProbeResult</w:t>
      </w:r>
      <w:r>
        <w:rPr>
          <w:sz w:val="22"/>
        </w:rPr>
        <w:t xml:space="preserve"> — full probe result: steps, deepest step, desert_max, desert_mean, is_deep, is_shallow</w:t>
      </w:r>
    </w:p>
    <w:p>
      <w:pPr>
        <w:spacing w:before="0" w:after="6"/>
      </w:pPr>
      <w:r>
        <w:rPr>
          <w:b/>
          <w:sz w:val="22"/>
        </w:rPr>
        <w:t>Key functions: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run_probe(index, term_a, term_b)</w:t>
      </w:r>
      <w:r>
        <w:rPr>
          <w:sz w:val="22"/>
        </w:rPr>
        <w:t xml:space="preserve"> — run a probe between two terms; returns </w:t>
      </w:r>
      <w:r>
        <w:rPr>
          <w:rFonts w:ascii="Courier New" w:hAnsi="Courier New"/>
          <w:color w:val="206080"/>
          <w:sz w:val="20"/>
        </w:rPr>
        <w:t>ProbeResult</w:t>
      </w:r>
      <w:r>
        <w:rPr>
          <w:sz w:val="22"/>
        </w:rPr>
        <w:t xml:space="preserve"> or </w:t>
      </w:r>
      <w:r>
        <w:rPr>
          <w:rFonts w:ascii="Courier New" w:hAnsi="Courier New"/>
          <w:color w:val="206080"/>
          <w:sz w:val="20"/>
        </w:rPr>
        <w:t>None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probe_result_to_dict(result)</w:t>
      </w:r>
      <w:r>
        <w:rPr>
          <w:sz w:val="22"/>
        </w:rPr>
        <w:t xml:space="preserve"> — serialize to JSON-safe dict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Desert values are L2 distances in 384d space. Only interior steps (alpha 0.10–0.90) are used for </w:t>
      </w:r>
      <w:r>
        <w:rPr>
          <w:rFonts w:ascii="Courier New" w:hAnsi="Courier New"/>
          <w:color w:val="206080"/>
          <w:sz w:val="20"/>
        </w:rPr>
        <w:t>desert_max</w:t>
      </w:r>
      <w:r>
        <w:rPr>
          <w:sz w:val="22"/>
        </w:rPr>
        <w:t xml:space="preserve"> and </w:t>
      </w:r>
      <w:r>
        <w:rPr>
          <w:rFonts w:ascii="Courier New" w:hAnsi="Courier New"/>
          <w:color w:val="206080"/>
          <w:sz w:val="20"/>
        </w:rPr>
        <w:t>desert_mean</w:t>
      </w:r>
      <w:r>
        <w:rPr>
          <w:sz w:val="22"/>
        </w:rPr>
        <w:t>. Midpoints are normalized to the unit sphere before KD-tree queries.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batch_cross_discover.py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Run probes on a set of pre-selected pairs and optionally record discoveries in the field journal.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A </w:t>
      </w:r>
      <w:r>
        <w:rPr>
          <w:rFonts w:ascii="Courier New" w:hAnsi="Courier New"/>
          <w:color w:val="206080"/>
          <w:sz w:val="20"/>
        </w:rPr>
        <w:t>probe_pairs_*.json</w:t>
      </w:r>
      <w:r>
        <w:rPr>
          <w:sz w:val="22"/>
        </w:rPr>
        <w:t xml:space="preserve"> file (output of </w:t>
      </w:r>
      <w:r>
        <w:rPr>
          <w:rFonts w:ascii="Courier New" w:hAnsi="Courier New"/>
          <w:color w:val="206080"/>
          <w:sz w:val="20"/>
        </w:rPr>
        <w:t>select_probe_pairs.py</w:t>
      </w:r>
      <w:r>
        <w:rPr>
          <w:sz w:val="22"/>
        </w:rPr>
        <w:t>)</w:t>
      </w:r>
    </w:p>
    <w:p>
      <w:pPr>
        <w:spacing w:before="0" w:after="6"/>
      </w:pPr>
      <w:r>
        <w:rPr>
          <w:b/>
          <w:sz w:val="22"/>
        </w:rPr>
        <w:t>Outputs: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data/discovery/discoveries_{timestamp}.json</w:t>
      </w:r>
    </w:p>
    <w:p>
      <w:pPr>
        <w:pStyle w:val="ListBullet"/>
        <w:spacing w:before="0" w:after="2"/>
      </w:pPr>
      <w:r>
        <w:rPr>
          <w:sz w:val="22"/>
        </w:rPr>
        <w:t>Optionally: journal entries via backend API</w:t>
      </w:r>
    </w:p>
    <w:p>
      <w:pPr>
        <w:spacing w:before="0" w:after="6"/>
      </w:pPr>
      <w:r>
        <w:rPr>
          <w:b/>
          <w:sz w:val="22"/>
        </w:rPr>
        <w:t>Key arguments: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--pairs</w:t>
      </w:r>
      <w:r>
        <w:rPr>
          <w:sz w:val="22"/>
        </w:rPr>
        <w:t xml:space="preserve"> — path to probe pairs JSON file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--journal</w:t>
      </w:r>
      <w:r>
        <w:rPr>
          <w:sz w:val="22"/>
        </w:rPr>
        <w:t xml:space="preserve"> — write discoveries to the field journal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--describe</w:t>
      </w:r>
      <w:r>
        <w:rPr>
          <w:sz w:val="22"/>
        </w:rPr>
        <w:t xml:space="preserve"> — request LLM descriptions for deep deserts (requires backend running with API key)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--min-desert</w:t>
      </w:r>
      <w:r>
        <w:rPr>
          <w:sz w:val="22"/>
        </w:rPr>
        <w:t xml:space="preserve"> — minimum desert_max to record (default: </w:t>
      </w:r>
      <w:r>
        <w:rPr>
          <w:rFonts w:ascii="Courier New" w:hAnsi="Courier New"/>
          <w:color w:val="206080"/>
          <w:sz w:val="20"/>
        </w:rPr>
        <w:t>PROBE_DESERT_GATE_THRESHOLD</w:t>
      </w:r>
      <w:r>
        <w:rPr>
          <w:sz w:val="22"/>
        </w:rPr>
        <w:t>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--top N</w:t>
      </w:r>
      <w:r>
        <w:rPr>
          <w:sz w:val="22"/>
        </w:rPr>
        <w:t xml:space="preserve"> — process only the top N pairs by highD distance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--dry-run</w:t>
      </w:r>
      <w:r>
        <w:rPr>
          <w:sz w:val="22"/>
        </w:rPr>
        <w:t xml:space="preserve"> — run probes and print results but do not write journal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--yes</w:t>
      </w:r>
      <w:r>
        <w:rPr>
          <w:sz w:val="22"/>
        </w:rPr>
        <w:t xml:space="preserve"> — skip cost confirmation prompt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--api-url</w:t>
      </w:r>
      <w:r>
        <w:rPr>
          <w:sz w:val="22"/>
        </w:rPr>
        <w:t xml:space="preserve"> — backend URL (default: http://localhost:8000)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--verbose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LLM calls are proxied through the backend; the API key never appears in CLI code.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discovery_report.py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Summarize all probe_discovery journal entries and generate a machine-readable report.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backend/data/journal/journal.json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data/discovery/discovery_report.json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Loads from the journal (canonical source) rather than individual discovery files. Prints a summary table and writes JSON with total_probed, deep_count, v2_max_desert, top5, and level breakdown.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find_dig_sites.py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Enumerate candidate dig sites — contiguous desert regions above the dig site threshold.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data/terrain/desert_field.npz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backend/data/data_bundle.json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data/discovery/dig_sites.json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A dig site requires ≥ </w:t>
      </w:r>
      <w:r>
        <w:rPr>
          <w:rFonts w:ascii="Courier New" w:hAnsi="Courier New"/>
          <w:color w:val="206080"/>
          <w:sz w:val="20"/>
        </w:rPr>
        <w:t>DESERT_DIG_SITE_MIN_CELLS = 8</w:t>
      </w:r>
      <w:r>
        <w:rPr>
          <w:sz w:val="22"/>
        </w:rPr>
        <w:t xml:space="preserve"> contiguous grid cells above </w:t>
      </w:r>
      <w:r>
        <w:rPr>
          <w:rFonts w:ascii="Courier New" w:hAnsi="Courier New"/>
          <w:color w:val="206080"/>
          <w:sz w:val="20"/>
        </w:rPr>
        <w:t>DESERT_DIG_SITE_THRESHOLD = 0.65</w:t>
      </w:r>
      <w:r>
        <w:rPr>
          <w:sz w:val="22"/>
        </w:rPr>
        <w:t>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compute_voronoi.py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Compute Voronoi decomposition of concept positions for spatial analysis.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data/terrain/umap_coords.npz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backend/data/data_bundle.json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data/discovery/voronoi.json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2"/>
      </w:pPr>
      <w:r>
        <w:rPr>
          <w:sz w:val="22"/>
        </w:rPr>
        <w:t>Fabrication Tools</w:t>
      </w:r>
    </w:p>
    <w:p>
      <w:pPr>
        <w:pStyle w:val="Heading3"/>
      </w:pPr>
      <w:r>
        <w:rPr>
          <w:sz w:val="22"/>
        </w:rPr>
        <w:t>export_topo.py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Export a heightfield terrain patch as a fabrication-ready topography diagram.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data/terrain/density_field.npz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data/terrain/desert_field.npz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backend/data/journal/journal.json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backend/data/exports/topo_{title}_{timestamp}.png</w:t>
      </w:r>
    </w:p>
    <w:p>
      <w:pPr>
        <w:spacing w:before="0" w:after="6"/>
      </w:pPr>
      <w:r>
        <w:rPr>
          <w:b/>
          <w:sz w:val="22"/>
        </w:rPr>
        <w:t>Key arguments: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--title</w:t>
      </w:r>
      <w:r>
        <w:rPr>
          <w:sz w:val="22"/>
        </w:rPr>
        <w:t xml:space="preserve"> — entry title or search term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--grid-size</w:t>
      </w:r>
      <w:r>
        <w:rPr>
          <w:sz w:val="22"/>
        </w:rPr>
        <w:t xml:space="preserve"> — output grid size (default: </w:t>
      </w:r>
      <w:r>
        <w:rPr>
          <w:rFonts w:ascii="Courier New" w:hAnsi="Courier New"/>
          <w:color w:val="206080"/>
          <w:sz w:val="20"/>
        </w:rPr>
        <w:t>EXPORT_DEFAULT_GRID_SIZE = 48</w:t>
      </w:r>
      <w:r>
        <w:rPr>
          <w:sz w:val="22"/>
        </w:rPr>
        <w:t>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--base-inches</w:t>
      </w:r>
      <w:r>
        <w:rPr>
          <w:sz w:val="22"/>
        </w:rPr>
        <w:t xml:space="preserve"> — base dimension in inches (default: 12.0)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--max-height-inches</w:t>
      </w:r>
      <w:r>
        <w:rPr>
          <w:sz w:val="22"/>
        </w:rPr>
        <w:t xml:space="preserve"> — maximum terrain height (default: 6.0)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--overlay-desert</w:t>
      </w:r>
      <w:r>
        <w:rPr>
          <w:sz w:val="22"/>
        </w:rPr>
        <w:t xml:space="preserve"> — overlay desert field contours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--output-dir</w:t>
      </w:r>
      <w:r>
        <w:rPr>
          <w:sz w:val="22"/>
        </w:rPr>
        <w:t xml:space="preserve"> — output directory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Contour interval: </w:t>
      </w:r>
      <w:r>
        <w:rPr>
          <w:rFonts w:ascii="Courier New" w:hAnsi="Courier New"/>
          <w:color w:val="206080"/>
          <w:sz w:val="20"/>
        </w:rPr>
        <w:t>EXPORT_CONTOUR_INTERVAL_INCHES = 0.25</w:t>
      </w:r>
      <w:r>
        <w:rPr>
          <w:sz w:val="22"/>
        </w:rPr>
        <w:t>. Output DPI: 300.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export_stl.py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Export terrain patch as binary STL mesh for CNC/3D reference.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data/terrain/density_field.npz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backend/data/exports/terrain_{title}_{timestamp}.stl</w:t>
      </w:r>
    </w:p>
    <w:p>
      <w:pPr>
        <w:spacing w:before="0" w:after="6"/>
      </w:pPr>
      <w:r>
        <w:rPr>
          <w:b/>
          <w:sz w:val="22"/>
        </w:rPr>
        <w:t>Key arguments: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--title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--grid-size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--output-dir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Surface only (no base). Binary STL format. Use in CAD software for reference; not recommended for direct FDM printing without adding a base.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3"/>
      </w:pPr>
      <w:r>
        <w:rPr>
          <w:sz w:val="22"/>
        </w:rPr>
        <w:t>generate_instruction_sheet.py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Generate a one-page PDF fabrication instruction sheet for a journal entry.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backend/data/journal/journal.json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data/terrain/density_field.npz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backend/data/exports/sheet_{title}_{timestamp}.pdf</w:t>
      </w:r>
    </w:p>
    <w:p>
      <w:pPr>
        <w:spacing w:before="0" w:after="6"/>
      </w:pPr>
      <w:r>
        <w:rPr>
          <w:b/>
          <w:sz w:val="22"/>
        </w:rPr>
        <w:t>Key arguments: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--title</w:t>
      </w:r>
      <w:r>
        <w:rPr>
          <w:sz w:val="22"/>
        </w:rPr>
        <w:t xml:space="preserve">, </w:t>
      </w:r>
      <w:r>
        <w:rPr>
          <w:rFonts w:ascii="Courier New" w:hAnsi="Courier New"/>
          <w:color w:val="206080"/>
          <w:sz w:val="20"/>
        </w:rPr>
        <w:t>--output-dir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Material strategy is determined by keyword matching in concept labels — deterministic, no LLM call. Falls back to depth-based strategy for deep deserts (≥0.07 grid desert scale).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2"/>
      </w:pPr>
      <w:r>
        <w:rPr>
          <w:sz w:val="22"/>
        </w:rPr>
        <w:t>Utilities</w:t>
      </w:r>
    </w:p>
    <w:p>
      <w:pPr>
        <w:pStyle w:val="Heading3"/>
      </w:pPr>
      <w:r>
        <w:rPr>
          <w:sz w:val="22"/>
        </w:rPr>
        <w:t>migrate_v1_journal.py</w:t>
      </w:r>
    </w:p>
    <w:p>
      <w:pPr>
        <w:spacing w:before="0" w:after="6"/>
      </w:pPr>
      <w:r>
        <w:rPr>
          <w:b/>
          <w:sz w:val="22"/>
        </w:rPr>
        <w:t>Purpose:</w:t>
      </w:r>
      <w:r>
        <w:rPr>
          <w:sz w:val="22"/>
        </w:rPr>
        <w:t xml:space="preserve"> Migrate V1 field journal entries (localStorage format) to V2 JSON schema.</w:t>
      </w:r>
    </w:p>
    <w:p>
      <w:pPr>
        <w:spacing w:before="0" w:after="6"/>
      </w:pPr>
      <w:r>
        <w:rPr>
          <w:b/>
          <w:sz w:val="22"/>
        </w:rPr>
        <w:t>Inputs:</w:t>
      </w:r>
      <w:r>
        <w:rPr>
          <w:sz w:val="22"/>
        </w:rPr>
        <w:t xml:space="preserve"> </w:t>
      </w:r>
      <w:r>
        <w:rPr>
          <w:rFonts w:ascii="Courier New" w:hAnsi="Courier New"/>
          <w:color w:val="206080"/>
          <w:sz w:val="20"/>
        </w:rPr>
        <w:t>data/migration/v1_journal.json</w:t>
      </w:r>
      <w:r>
        <w:rPr>
          <w:sz w:val="22"/>
        </w:rPr>
        <w:t xml:space="preserve"> (exported from browser localStorage)</w:t>
      </w:r>
    </w:p>
    <w:p>
      <w:pPr>
        <w:spacing w:before="0" w:after="6"/>
      </w:pPr>
      <w:r>
        <w:rPr>
          <w:b/>
          <w:sz w:val="22"/>
        </w:rPr>
        <w:t>Outputs:</w:t>
      </w:r>
      <w:r>
        <w:rPr>
          <w:sz w:val="22"/>
        </w:rPr>
        <w:t xml:space="preserve"> Appended entries in </w:t>
      </w:r>
      <w:r>
        <w:rPr>
          <w:rFonts w:ascii="Courier New" w:hAnsi="Courier New"/>
          <w:color w:val="206080"/>
          <w:sz w:val="20"/>
        </w:rPr>
        <w:t>backend/data/journal/journal.json</w:t>
      </w:r>
    </w:p>
    <w:p>
      <w:pPr>
        <w:spacing w:before="0" w:after="6"/>
      </w:pPr>
      <w:r>
        <w:rPr>
          <w:b/>
          <w:sz w:val="22"/>
        </w:rPr>
        <w:t>Notes:</w:t>
      </w:r>
      <w:r>
        <w:rPr>
          <w:sz w:val="22"/>
        </w:rPr>
        <w:t xml:space="preserve"> V1 journal coordinates are in V1 UMAP space and are not directly transferable to V2. Migrated entries have </w:t>
      </w:r>
      <w:r>
        <w:rPr>
          <w:rFonts w:ascii="Courier New" w:hAnsi="Courier New"/>
          <w:color w:val="206080"/>
          <w:sz w:val="20"/>
        </w:rPr>
        <w:t>v1_source = True</w:t>
      </w:r>
      <w:r>
        <w:rPr>
          <w:sz w:val="22"/>
        </w:rPr>
        <w:t xml:space="preserve"> and approximate coordinates.</w:t>
      </w:r>
    </w:p>
    <w:p>
      <w:pPr>
        <w:pBdr>
          <w:bottom w:val="single" w:sz="4" w:space="1" w:color="AAAAAA"/>
        </w:pBdr>
        <w:spacing w:before="6" w:after="6"/>
      </w:pPr>
    </w:p>
    <w:p>
      <w:pPr>
        <w:pStyle w:val="Heading2"/>
      </w:pPr>
      <w:r>
        <w:rPr>
          <w:sz w:val="22"/>
        </w:rPr>
        <w:t>Pipeline Automation</w:t>
      </w:r>
    </w:p>
    <w:p>
      <w:pPr>
        <w:pStyle w:val="Heading3"/>
      </w:pPr>
      <w:r>
        <w:rPr>
          <w:sz w:val="22"/>
        </w:rPr>
        <w:t>run_pipeline.ps1 (Windows)</w:t>
      </w:r>
    </w:p>
    <w:p>
      <w:pPr>
        <w:spacing w:before="0" w:after="6"/>
      </w:pPr>
      <w:r>
        <w:rPr>
          <w:sz w:val="22"/>
        </w:rPr>
        <w:t xml:space="preserve">Full pipeline automation with optional </w:t>
      </w:r>
      <w:r>
        <w:rPr>
          <w:rFonts w:ascii="Courier New" w:hAnsi="Courier New"/>
          <w:color w:val="206080"/>
          <w:sz w:val="20"/>
        </w:rPr>
        <w:t>-Downstream</w:t>
      </w:r>
      <w:r>
        <w:rPr>
          <w:sz w:val="22"/>
        </w:rPr>
        <w:t xml:space="preserve"> flag to skip vocabulary rebuild.</w:t>
      </w:r>
    </w:p>
    <w:p>
      <w:pPr>
        <w:spacing w:before="4" w:after="4"/>
      </w:pPr>
      <w:r>
        <w:rPr>
          <w:rFonts w:ascii="Courier New" w:hAnsi="Courier New"/>
          <w:color w:val="205020"/>
          <w:sz w:val="18"/>
        </w:rPr>
        <w:t>.\run_pipeline.ps1             # Full pipeline</w:t>
        <w:br/>
        <w:t>.\run_pipeline.ps1 -Downstream # Embeddings and downstream only</w:t>
      </w:r>
    </w:p>
    <w:p>
      <w:pPr>
        <w:pStyle w:val="Heading3"/>
      </w:pPr>
      <w:r>
        <w:rPr>
          <w:sz w:val="22"/>
        </w:rPr>
        <w:t>run_pipeline.sh (Mac/Linux)</w:t>
      </w:r>
    </w:p>
    <w:p>
      <w:pPr>
        <w:spacing w:before="4" w:after="4"/>
      </w:pPr>
      <w:r>
        <w:rPr>
          <w:rFonts w:ascii="Courier New" w:hAnsi="Courier New"/>
          <w:color w:val="205020"/>
          <w:sz w:val="18"/>
        </w:rPr>
        <w:t>./run_pipeline.sh</w:t>
        <w:br/>
        <w:t>./run_pipeline.sh --downstream</w:t>
      </w:r>
    </w:p>
    <w:p>
      <w:pPr>
        <w:spacing w:before="0" w:after="6"/>
      </w:pPr>
      <w:r>
        <w:rPr>
          <w:b/>
          <w:sz w:val="22"/>
        </w:rPr>
        <w:t>Pipeline stages:</w:t>
      </w:r>
    </w:p>
    <w:p>
      <w:pPr>
        <w:pStyle w:val="ListNumber"/>
        <w:spacing w:before="0" w:after="2"/>
      </w:pPr>
      <w:r>
        <w:rPr>
          <w:b/>
          <w:sz w:val="22"/>
        </w:rPr>
        <w:t>Vocabulary:</w:t>
      </w:r>
      <w:r>
        <w:rPr>
          <w:sz w:val="22"/>
        </w:rPr>
        <w:t xml:space="preserve"> parse_roget → filter_vocab → enrich_wordnet → add_modern_domains → build_vocab_index → validate_vocab</w:t>
      </w:r>
    </w:p>
    <w:p>
      <w:pPr>
        <w:pStyle w:val="ListNumber"/>
        <w:spacing w:before="0" w:after="2"/>
      </w:pPr>
      <w:r>
        <w:rPr>
          <w:b/>
          <w:sz w:val="22"/>
        </w:rPr>
        <w:t>Embeddings:</w:t>
      </w:r>
      <w:r>
        <w:rPr>
          <w:sz w:val="22"/>
        </w:rPr>
        <w:t xml:space="preserve"> compute_base_embeddings → compute_contextual_embeddings → compute_umap → compute_density → compute_gradients → compute_attractors → compute_basins → compute_desert_field → assemble_bundle</w:t>
      </w:r>
    </w:p>
    <w:p>
      <w:pPr>
        <w:pStyle w:val="ListNumber"/>
        <w:spacing w:before="0" w:after="2"/>
      </w:pPr>
      <w:r>
        <w:rPr>
          <w:b/>
          <w:sz w:val="22"/>
        </w:rPr>
        <w:t>Discovery:</w:t>
      </w:r>
      <w:r>
        <w:rPr>
          <w:sz w:val="22"/>
        </w:rPr>
        <w:t xml:space="preserve"> find_dig_sites → compute_voronoi</w:t>
      </w:r>
    </w:p>
    <w:p>
      <w:pPr>
        <w:spacing w:before="0" w:after="6"/>
      </w:pPr>
      <w:r>
        <w:rPr>
          <w:b/>
          <w:sz w:val="22"/>
        </w:rPr>
        <w:t>Ordering constraints:</w:t>
      </w:r>
    </w:p>
    <w:p>
      <w:pPr>
        <w:pStyle w:val="ListBullet"/>
        <w:spacing w:before="0" w:after="2"/>
      </w:pPr>
      <w:r>
        <w:rPr>
          <w:sz w:val="22"/>
        </w:rPr>
        <w:t>Vocabulary pipeline must complete before any embedding script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compute_umap.py</w:t>
      </w:r>
      <w:r>
        <w:rPr>
          <w:sz w:val="22"/>
        </w:rPr>
        <w:t xml:space="preserve"> must run before </w:t>
      </w:r>
      <w:r>
        <w:rPr>
          <w:rFonts w:ascii="Courier New" w:hAnsi="Courier New"/>
          <w:color w:val="206080"/>
          <w:sz w:val="20"/>
        </w:rPr>
        <w:t>compute_density.py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compute_density.py</w:t>
      </w:r>
      <w:r>
        <w:rPr>
          <w:sz w:val="22"/>
        </w:rPr>
        <w:t xml:space="preserve"> must run before </w:t>
      </w:r>
      <w:r>
        <w:rPr>
          <w:rFonts w:ascii="Courier New" w:hAnsi="Courier New"/>
          <w:color w:val="206080"/>
          <w:sz w:val="20"/>
        </w:rPr>
        <w:t>compute_gradients.py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compute_attractors.py</w:t>
      </w:r>
      <w:r>
        <w:rPr>
          <w:sz w:val="22"/>
        </w:rPr>
        <w:t xml:space="preserve"> must run before </w:t>
      </w:r>
      <w:r>
        <w:rPr>
          <w:rFonts w:ascii="Courier New" w:hAnsi="Courier New"/>
          <w:color w:val="206080"/>
          <w:sz w:val="20"/>
        </w:rPr>
        <w:t>compute_basins.py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assemble_bundle.py</w:t>
      </w:r>
      <w:r>
        <w:rPr>
          <w:sz w:val="22"/>
        </w:rPr>
        <w:t xml:space="preserve"> must run last in the embedding stage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select_probe_pairs.py</w:t>
      </w:r>
      <w:r>
        <w:rPr>
          <w:sz w:val="22"/>
        </w:rPr>
        <w:t xml:space="preserve"> requires a complete data bundle</w:t>
      </w:r>
    </w:p>
    <w:p>
      <w:pPr>
        <w:pStyle w:val="ListBullet"/>
        <w:spacing w:before="0" w:after="2"/>
      </w:pPr>
      <w:r>
        <w:rPr>
          <w:rFonts w:ascii="Courier New" w:hAnsi="Courier New"/>
          <w:color w:val="206080"/>
          <w:sz w:val="20"/>
        </w:rPr>
        <w:t>batch_cross_discover.py</w:t>
      </w:r>
      <w:r>
        <w:rPr>
          <w:sz w:val="22"/>
        </w:rPr>
        <w:t xml:space="preserve"> requires the backend server to be running (for journal writes)</w:t>
      </w:r>
    </w:p>
    <w:p>
      <w:pPr>
        <w:pBdr>
          <w:bottom w:val="single" w:sz="4" w:space="1" w:color="AAAAAA"/>
        </w:pBdr>
        <w:spacing w:before="6" w:after="6"/>
      </w:pPr>
    </w:p>
    <w:p>
      <w:pPr>
        <w:spacing w:before="4" w:after="4"/>
      </w:pPr>
      <w:r>
        <w:rPr>
          <w:i/>
          <w:color w:val="606060"/>
          <w:sz w:val="20"/>
        </w:rPr>
        <w:t>datasculptures.com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datasculptures.com   ·   Page </w:t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Sean Patrick Morris · Claude (Anthropic)   ·   Script Reference   ·   March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