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Decision Log</w:t>
      </w:r>
    </w:p>
    <w:p>
      <w:pPr>
        <w:pStyle w:val="Heading1"/>
      </w:pPr>
      <w:r>
        <w:t>Decision log</w:t>
      </w:r>
    </w:p>
    <w:p>
      <w:r>
        <w:t>Non-obvious calls made while building this, and why. Roughly chronological.</w:t>
      </w:r>
    </w:p>
    <w:p>
      <w:pPr>
        <w:pStyle w:val="ListNumber"/>
      </w:pPr>
      <w:r>
        <w:rPr>
          <w:b/>
        </w:rPr>
        <w:t>Dataset source: HF parquet mirror instead of the Kaggle API.</w:t>
      </w:r>
      <w:r>
        <w:t xml:space="preserve"> No </w:t>
      </w:r>
      <w:r>
        <w:rPr>
          <w:rFonts w:ascii="Consolas" w:hAnsi="Consolas"/>
          <w:sz w:val="20"/>
        </w:rPr>
        <w:t>kaggle.json</w:t>
      </w:r>
      <w:r>
        <w:t xml:space="preserve"> in this environment. Found </w:t>
      </w:r>
      <w:r>
        <w:rPr>
          <w:rFonts w:ascii="Consolas" w:hAnsi="Consolas"/>
          <w:sz w:val="20"/>
        </w:rPr>
        <w:t>SunidhiSriram/twcs</w:t>
      </w:r>
      <w:r>
        <w:t xml:space="preserve"> on the HF Hub with the identical schema (</w:t>
      </w:r>
      <w:r>
        <w:rPr>
          <w:rFonts w:ascii="Consolas" w:hAnsi="Consolas"/>
          <w:sz w:val="20"/>
        </w:rPr>
        <w:t>tweet_id, author_id, inbound, created_at, text, response_tweet_id, in_response_to_tweet_id</w:t>
      </w:r>
      <w:r>
        <w:t xml:space="preserve">) and row count (2.81M) as </w:t>
      </w:r>
      <w:r>
        <w:rPr>
          <w:rFonts w:ascii="Consolas" w:hAnsi="Consolas"/>
          <w:sz w:val="20"/>
        </w:rPr>
        <w:t>thoughtvector/customer-support-on-twitter</w:t>
      </w:r>
      <w:r>
        <w:t xml:space="preserve"> - same data, no login needed. Cited in the README.</w:t>
      </w:r>
    </w:p>
    <w:p>
      <w:pPr>
        <w:pStyle w:val="ListNumber"/>
      </w:pPr>
      <w:r>
        <w:rPr>
          <w:b/>
        </w:rPr>
        <w:t>Brand picked by measured profiling, not intuition.</w:t>
      </w:r>
      <w:r>
        <w:t xml:space="preserve"> Scored the assignment's suggested candidates (AmazonHelp, AppleSupport, Uber_Support, SpotifyCares, etc.) on thread depth, volume, and a crude resolution-rate proxy (</w:t>
      </w:r>
      <w:r>
        <w:rPr>
          <w:rFonts w:ascii="Consolas" w:hAnsi="Consolas"/>
          <w:sz w:val="20"/>
        </w:rPr>
        <w:t>scripts/profile_brands.py</w:t>
      </w:r>
      <w:r>
        <w:t xml:space="preserve">). AmazonHelp won on depth </w:t>
      </w:r>
      <w:r>
        <w:rPr>
          <w:i/>
        </w:rPr>
        <w:t>and</w:t>
      </w:r>
      <w:r>
        <w:t xml:space="preserve"> volume decisively (avg 3.4 turns/thread, 38% reach 4+ turns, 16k+ threads in a 500k-row sample) - see </w:t>
      </w:r>
      <w:r>
        <w:rPr>
          <w:rFonts w:ascii="Consolas" w:hAnsi="Consolas"/>
          <w:sz w:val="20"/>
        </w:rPr>
        <w:t>outputs/brand_profile.csv</w:t>
      </w:r>
      <w:r>
        <w:t>.</w:t>
      </w:r>
    </w:p>
    <w:p>
      <w:pPr>
        <w:pStyle w:val="ListNumber"/>
      </w:pPr>
      <w:r>
        <w:rPr>
          <w:b/>
        </w:rPr>
        <w:t>Restricted to English-language tweets.</w:t>
      </w:r>
      <w:r>
        <w:t xml:space="preserve"> First clustering pass (on unfiltered data) split almost entirely along </w:t>
      </w:r>
      <w:r>
        <w:rPr>
          <w:i/>
        </w:rPr>
        <w:t>language</w:t>
      </w:r>
      <w:r>
        <w:t xml:space="preserve">, not intent - AmazonHelp is multilingual and short-tweet embeddings pick up language before topic. Filtered with </w:t>
      </w:r>
      <w:r>
        <w:rPr>
          <w:rFonts w:ascii="Consolas" w:hAnsi="Consolas"/>
          <w:sz w:val="20"/>
        </w:rPr>
        <w:t>langdetect</w:t>
      </w:r>
      <w:r>
        <w:t xml:space="preserve"> on each thread's first customer turn. This is a scope cut, not a data artifact - logged under "what I chose not to build" in the report.</w:t>
      </w:r>
    </w:p>
    <w:p>
      <w:pPr>
        <w:pStyle w:val="ListNumber"/>
      </w:pPr>
      <w:r>
        <w:rPr>
          <w:b/>
        </w:rPr>
        <w:t>Local LLM (Ollama) instead of a cloud API.</w:t>
      </w:r>
      <w:r>
        <w:t xml:space="preserve"> No </w:t>
      </w:r>
      <w:r>
        <w:rPr>
          <w:rFonts w:ascii="Consolas" w:hAnsi="Consolas"/>
          <w:sz w:val="20"/>
        </w:rPr>
        <w:t>ANTHROPIC_API_KEY</w:t>
      </w:r>
      <w:r>
        <w:t xml:space="preserve"> / </w:t>
      </w:r>
      <w:r>
        <w:rPr>
          <w:rFonts w:ascii="Consolas" w:hAnsi="Consolas"/>
          <w:sz w:val="20"/>
        </w:rPr>
        <w:t>OPENAI_API_KEY</w:t>
      </w:r>
      <w:r>
        <w:t xml:space="preserve"> in this environment; Ollama was already running with </w:t>
      </w:r>
      <w:r>
        <w:rPr>
          <w:rFonts w:ascii="Consolas" w:hAnsi="Consolas"/>
          <w:sz w:val="20"/>
        </w:rPr>
        <w:t>qwen2.5:7b-instruct</w:t>
      </w:r>
      <w:r>
        <w:t xml:space="preserve">, </w:t>
      </w:r>
      <w:r>
        <w:rPr>
          <w:rFonts w:ascii="Consolas" w:hAnsi="Consolas"/>
          <w:sz w:val="20"/>
        </w:rPr>
        <w:t>qwen2.5:14b-instruct</w:t>
      </w:r>
      <w:r>
        <w:t xml:space="preserve"> pulled. Used those plus </w:t>
      </w:r>
      <w:r>
        <w:rPr>
          <w:rFonts w:ascii="Consolas" w:hAnsi="Consolas"/>
          <w:sz w:val="20"/>
        </w:rPr>
        <w:t>nomic-embed-text</w:t>
      </w:r>
      <w:r>
        <w:t xml:space="preserve"> for embeddings. This is itself a "misleading headline number" candidate - see report section 6.</w:t>
      </w:r>
    </w:p>
    <w:p>
      <w:pPr>
        <w:pStyle w:val="ListNumber"/>
      </w:pPr>
      <w:r>
        <w:rPr>
          <w:b/>
        </w:rPr>
        <w:t>Switched to Ollama's batched `/api/embed`, not `/api/embeddings`.</w:t>
      </w:r>
      <w:r>
        <w:t xml:space="preserve"> Single-item embedding calls cost ~2s each (per-request overhead, plus swapping the loaded model between chat and embed). Batched calls cost ~70ms/item - a ~28x speedup that's the only reason clustering and the retrieval index fit in the time budget at all.</w:t>
      </w:r>
    </w:p>
    <w:p>
      <w:pPr>
        <w:pStyle w:val="ListNumber"/>
      </w:pPr>
      <w:r>
        <w:rPr>
          <w:b/>
        </w:rPr>
        <w:t>Merged 4 of 11 raw KMeans clusters into one `delivery_problem` intent.</w:t>
      </w:r>
      <w:r>
        <w:t xml:space="preserve"> Clusters for "missing package," "tracking says delivered/attempted, customer disputes it," "hasn't shipped yet," and "guaranteed date broken" were lexically close enough that a downstream classifier couldn't reliably separate them - and more importantly, the right first response is identical for all four (apologize, check status, offer to investigate/refund). Kept </w:t>
      </w:r>
      <w:r>
        <w:rPr>
          <w:rFonts w:ascii="Consolas" w:hAnsi="Consolas"/>
          <w:sz w:val="20"/>
        </w:rPr>
        <w:t>prime_membership_value</w:t>
      </w:r>
      <w:r>
        <w:t xml:space="preserve"> distinct even though it's also delivery-related, because those customers explicitly frame it as a membership-value/churn question - a different escalation signal than a one-off late package. This merge is a human call layered on the clustering, not something the algorithm decided - see </w:t>
      </w:r>
      <w:r>
        <w:rPr>
          <w:rFonts w:ascii="Consolas" w:hAnsi="Consolas"/>
          <w:sz w:val="20"/>
        </w:rPr>
        <w:t>pipeline/intents.py</w:t>
      </w:r>
      <w:r>
        <w:t>.</w:t>
      </w:r>
    </w:p>
    <w:p>
      <w:pPr>
        <w:pStyle w:val="ListNumber"/>
      </w:pPr>
      <w:r>
        <w:rPr>
          <w:b/>
        </w:rPr>
        <w:t>Cluster assignment doubles as the baseline classifier's training label.</w:t>
      </w:r>
      <w:r>
        <w:t xml:space="preserve"> No separate hand-labeling pass to get TF-IDF+LogReg training data - the KMeans cluster IS the label, and it's free (no LLM calls, no extra annotation round).</w:t>
      </w:r>
    </w:p>
    <w:p>
      <w:pPr>
        <w:pStyle w:val="ListNumber"/>
      </w:pPr>
      <w:r>
        <w:rPr>
          <w:b/>
        </w:rPr>
        <w:t>Golden-set sampling stratifies on the baseline classifier's predicted intent *and* its confidence</w:t>
      </w:r>
      <w:r>
        <w:t xml:space="preserve"> (</w:t>
      </w:r>
      <w:r>
        <w:rPr>
          <w:rFonts w:ascii="Consolas" w:hAnsi="Consolas"/>
          <w:sz w:val="20"/>
        </w:rPr>
        <w:t>scripts/build_golden_set.py</w:t>
      </w:r>
      <w:r>
        <w:t xml:space="preserve">), not a flat random sample - guarantees every intent (including the smallest) and both an "easy" and "ambiguous" tier are represented. A random sample would have been dominated by </w:t>
      </w:r>
      <w:r>
        <w:rPr>
          <w:rFonts w:ascii="Consolas" w:hAnsi="Consolas"/>
          <w:sz w:val="20"/>
        </w:rPr>
        <w:t>delivery_problem</w:t>
      </w:r>
      <w:r>
        <w:t>. The near-duplicate dedup pass on top (cosine &gt; 0.92) removed zero examples at this sample size - worth saying plainly rather than claiming credit for a step that didn't end up doing anything; the per-intent quota already produced enough diversity.</w:t>
      </w:r>
    </w:p>
    <w:p>
      <w:pPr>
        <w:pStyle w:val="ListNumber"/>
      </w:pPr>
      <w:r>
        <w:rPr>
          <w:b/>
        </w:rPr>
        <w:t>Retrieval corpus and clustering sample both capped at 1200 items</w:t>
      </w:r>
      <w:r>
        <w:t xml:space="preserve"> (out of 4572 resolved threads / 28k English threads available). Embedding throughput (~14 items/sec even batched) makes this the practical ceiling for a 15-minute reproduce budget; diminishing returns past this size anyway for a k=3 retrieval lookup.</w:t>
      </w:r>
    </w:p>
    <w:p>
      <w:pPr>
        <w:pStyle w:val="ListNumber"/>
      </w:pPr>
      <w:r>
        <w:rPr>
          <w:b/>
        </w:rPr>
        <w:t>Escalation cost matrix is explicit, not accuracy-driven</w:t>
      </w:r>
      <w:r>
        <w:t>: missing a safety-relevant message costs 10, missing an ordinary escalation-worthy one costs 3, an unnecessary escalation costs 1 (</w:t>
      </w:r>
      <w:r>
        <w:rPr>
          <w:rFonts w:ascii="Consolas" w:hAnsi="Consolas"/>
          <w:sz w:val="20"/>
        </w:rPr>
        <w:t>eval/metrics.py:COST_*</w:t>
      </w:r>
      <w:r>
        <w:t>). A single accuracy or F1 number would treat all three the same, which is exactly backwards for this problem.</w:t>
      </w:r>
    </w:p>
    <w:p>
      <w:pPr>
        <w:pStyle w:val="ListNumber"/>
      </w:pPr>
      <w:r>
        <w:rPr>
          <w:b/>
        </w:rPr>
        <w:t>Escalation policy is first-match-wins over a priority list</w:t>
      </w:r>
      <w:r>
        <w:t>, not a weighted score - safety beats everything else regardless of what else is true about the message. Every decision carries one named reason string, not a confidence float, per the brief's own ask for something explainable.</w:t>
      </w:r>
    </w:p>
    <w:p>
      <w:pPr>
        <w:pStyle w:val="ListNumber"/>
      </w:pPr>
      <w:r>
        <w:rPr>
          <w:b/>
        </w:rPr>
        <w:t>Split "build once" artifacts from the timed "reproduce" path.</w:t>
      </w:r>
      <w:r>
        <w:t xml:space="preserve"> Reconstructing threads for the full brand + langdetect filtering over ~38k threads takes ~4 minutes on its own - too much of a 15-minute budget to spend before any evaluation happens. The retrieval index, baseline classifier, and golden set are committed as artifacts; the README's timed reproduce path only re-runs classification/retrieval/ drafting/judging over the golden set, not the raw-data pipeline.</w:t>
      </w:r>
    </w:p>
    <w:p>
      <w:pPr>
        <w:pStyle w:val="ListNumber"/>
      </w:pPr>
      <w:r>
        <w:rPr>
          <w:b/>
        </w:rPr>
        <w:t>No fine-tuned neural classifier.</w:t>
      </w:r>
      <w:r>
        <w:t xml:space="preserve"> No labeled-training budget or GPU time justified it for a take-home. Compared TF-IDF+LogReg against a well-prompted LLM classifier instead, per the brief's own suggested alternative ("fine-tune ... or use a well-prompted LLM ... try both, compare").</w:t>
      </w:r>
    </w:p>
    <w:p>
      <w:pPr>
        <w:pStyle w:val="ListNumber"/>
      </w:pPr>
      <w:r>
        <w:rPr>
          <w:b/>
        </w:rPr>
        <w:t>Judge defaults to the same model family as the drafter</w:t>
      </w:r>
      <w:r>
        <w:t xml:space="preserve"> (</w:t>
      </w:r>
      <w:r>
        <w:rPr>
          <w:rFonts w:ascii="Consolas" w:hAnsi="Consolas"/>
          <w:sz w:val="20"/>
        </w:rPr>
        <w:t>qwen2.5:7b-instruct</w:t>
      </w:r>
      <w:r>
        <w:t xml:space="preserve">) - a real, acknowledged limitation (correlated errors, possible leniency toward its own family's phrasing), not something papered over. Addressed by hand-scoring a subset and reporting the human/judge agreement (Cohen's kappa) rather than trusting the judge blindly - see </w:t>
      </w:r>
      <w:r>
        <w:rPr>
          <w:rFonts w:ascii="Consolas" w:hAnsi="Consolas"/>
          <w:sz w:val="20"/>
        </w:rPr>
        <w:t>golden_set/human_judge_agreement.csv</w:t>
      </w:r>
      <w:r>
        <w:t>.</w:t>
      </w:r>
    </w:p>
    <w:p>
      <w:pPr>
        <w:pStyle w:val="ListNumber"/>
      </w:pPr>
      <w:r>
        <w:rPr>
          <w:b/>
        </w:rPr>
        <w:t>Escalation keyword regexes were left narrow on purpose.</w:t>
      </w:r>
      <w:r>
        <w:t xml:space="preserve"> Hand-labeling the golden set surfaced real misses - "$15k" isn't matched by the </w:t>
      </w:r>
      <w:r>
        <w:rPr>
          <w:rFonts w:ascii="Consolas" w:hAnsi="Consolas"/>
          <w:sz w:val="20"/>
        </w:rPr>
        <w:t>\$\d+</w:t>
      </w:r>
      <w:r>
        <w:t xml:space="preserve"> amount pattern, "illegal" alone doesn't match the legal/PR regex (which looks for phrases like "legal action"), "50 times in the past year" doesn't match the "in a row" repeated-contact pattern. Left as-is rather than hand-tuned to catch these specific examples - expanding regexes to fit the eval set would be overfitting to the golden set instead of building a genuinely more robust policy. These misses show up honestly as false negatives in the escalation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