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776" w:rsidRPr="00FF54A9" w:rsidRDefault="007D4776" w:rsidP="007D4776">
      <w:pPr>
        <w:pStyle w:val="Heading3"/>
        <w:spacing w:after="0" w:afterAutospacing="0" w:line="360" w:lineRule="auto"/>
        <w:jc w:val="center"/>
        <w:rPr>
          <w:rFonts w:ascii="Courier New" w:hAnsi="Courier New" w:cs="Courier New"/>
          <w:color w:val="4472C4" w:themeColor="accent5"/>
          <w:sz w:val="32"/>
          <w:szCs w:val="28"/>
          <w:u w:val="single"/>
        </w:rPr>
      </w:pPr>
      <w:r w:rsidRPr="00FF54A9">
        <w:rPr>
          <w:rFonts w:ascii="Courier New" w:hAnsi="Courier New" w:cs="Courier New"/>
          <w:color w:val="4472C4" w:themeColor="accent5"/>
          <w:sz w:val="32"/>
          <w:szCs w:val="28"/>
          <w:u w:val="single"/>
        </w:rPr>
        <w:t>Executive Revenue &amp; Profit Intelligence Project</w:t>
      </w:r>
    </w:p>
    <w:p w:rsidR="007D4776" w:rsidRPr="007D4776" w:rsidRDefault="007D4776" w:rsidP="007D4776">
      <w:pPr>
        <w:pStyle w:val="NormalWeb"/>
        <w:spacing w:after="0" w:afterAutospacing="0" w:line="360" w:lineRule="auto"/>
        <w:rPr>
          <w:rFonts w:ascii="Courier New" w:hAnsi="Courier New" w:cs="Courier New"/>
          <w:sz w:val="28"/>
          <w:szCs w:val="28"/>
        </w:rPr>
      </w:pPr>
      <w:r w:rsidRPr="007D4776">
        <w:rPr>
          <w:rStyle w:val="Strong"/>
          <w:rFonts w:ascii="Courier New" w:hAnsi="Courier New" w:cs="Courier New"/>
          <w:sz w:val="28"/>
          <w:szCs w:val="28"/>
        </w:rPr>
        <w:t>Client:</w:t>
      </w:r>
      <w:r w:rsidRPr="007D4776">
        <w:rPr>
          <w:rFonts w:ascii="Courier New" w:hAnsi="Courier New" w:cs="Courier New"/>
          <w:sz w:val="28"/>
          <w:szCs w:val="28"/>
        </w:rPr>
        <w:t xml:space="preserve"> Confidential Enterprise Corporation</w:t>
      </w:r>
      <w:r w:rsidRPr="007D4776">
        <w:rPr>
          <w:rFonts w:ascii="Courier New" w:hAnsi="Courier New" w:cs="Courier New"/>
          <w:sz w:val="28"/>
          <w:szCs w:val="28"/>
        </w:rPr>
        <w:br/>
      </w:r>
      <w:r w:rsidRPr="007D4776">
        <w:rPr>
          <w:rStyle w:val="Strong"/>
          <w:rFonts w:ascii="Courier New" w:hAnsi="Courier New" w:cs="Courier New"/>
          <w:sz w:val="28"/>
          <w:szCs w:val="28"/>
        </w:rPr>
        <w:t>Consultant:</w:t>
      </w:r>
      <w:r w:rsidRPr="007D4776">
        <w:rPr>
          <w:rFonts w:ascii="Courier New" w:hAnsi="Courier New" w:cs="Courier New"/>
          <w:sz w:val="28"/>
          <w:szCs w:val="28"/>
        </w:rPr>
        <w:t xml:space="preserve"> DataV</w:t>
      </w:r>
      <w:r w:rsidRPr="007D4776">
        <w:rPr>
          <w:rFonts w:ascii="Courier New" w:hAnsi="Courier New" w:cs="Courier New"/>
          <w:sz w:val="28"/>
          <w:szCs w:val="28"/>
        </w:rPr>
        <w:t>ibe World Analytics &amp; Consultancy Agency</w:t>
      </w:r>
    </w:p>
    <w:p w:rsidR="007D4776" w:rsidRPr="007D4776" w:rsidRDefault="007D4776" w:rsidP="007D4776">
      <w:pPr>
        <w:pStyle w:val="NormalWeb"/>
        <w:spacing w:after="0" w:afterAutospacing="0" w:line="360" w:lineRule="auto"/>
        <w:rPr>
          <w:rFonts w:ascii="Courier New" w:hAnsi="Courier New" w:cs="Courier New"/>
          <w:sz w:val="28"/>
          <w:szCs w:val="28"/>
        </w:rPr>
      </w:pPr>
      <w:r w:rsidRPr="007D4776">
        <w:rPr>
          <w:rStyle w:val="Strong"/>
          <w:rFonts w:ascii="Courier New" w:hAnsi="Courier New" w:cs="Courier New"/>
          <w:sz w:val="28"/>
          <w:szCs w:val="28"/>
        </w:rPr>
        <w:t>Technology Stack:</w:t>
      </w:r>
    </w:p>
    <w:p w:rsidR="007D4776" w:rsidRPr="007D4776" w:rsidRDefault="007D4776" w:rsidP="007D4776">
      <w:pPr>
        <w:pStyle w:val="NormalWeb"/>
        <w:numPr>
          <w:ilvl w:val="0"/>
          <w:numId w:val="23"/>
        </w:numPr>
        <w:spacing w:after="0" w:afterAutospacing="0" w:line="360" w:lineRule="auto"/>
        <w:rPr>
          <w:rFonts w:ascii="Courier New" w:hAnsi="Courier New" w:cs="Courier New"/>
          <w:sz w:val="28"/>
          <w:szCs w:val="28"/>
        </w:rPr>
      </w:pPr>
      <w:r w:rsidRPr="007D4776">
        <w:rPr>
          <w:rStyle w:val="Strong"/>
          <w:rFonts w:ascii="Courier New" w:hAnsi="Courier New" w:cs="Courier New"/>
          <w:sz w:val="28"/>
          <w:szCs w:val="28"/>
        </w:rPr>
        <w:t>Microsoft Excel</w:t>
      </w:r>
      <w:r w:rsidRPr="007D4776">
        <w:rPr>
          <w:rFonts w:ascii="Courier New" w:hAnsi="Courier New" w:cs="Courier New"/>
          <w:sz w:val="28"/>
          <w:szCs w:val="28"/>
        </w:rPr>
        <w:t xml:space="preserve"> – Data Cleaning &amp; Validation</w:t>
      </w:r>
    </w:p>
    <w:p w:rsidR="007D4776" w:rsidRPr="007D4776" w:rsidRDefault="007D4776" w:rsidP="007D4776">
      <w:pPr>
        <w:pStyle w:val="NormalWeb"/>
        <w:numPr>
          <w:ilvl w:val="0"/>
          <w:numId w:val="23"/>
        </w:numPr>
        <w:spacing w:after="0" w:afterAutospacing="0" w:line="360" w:lineRule="auto"/>
        <w:rPr>
          <w:rFonts w:ascii="Courier New" w:hAnsi="Courier New" w:cs="Courier New"/>
          <w:sz w:val="28"/>
          <w:szCs w:val="28"/>
        </w:rPr>
      </w:pPr>
      <w:r w:rsidRPr="007D4776">
        <w:rPr>
          <w:rStyle w:val="Strong"/>
          <w:rFonts w:ascii="Courier New" w:hAnsi="Courier New" w:cs="Courier New"/>
          <w:sz w:val="28"/>
          <w:szCs w:val="28"/>
        </w:rPr>
        <w:t>Tableau</w:t>
      </w:r>
      <w:r w:rsidRPr="007D4776">
        <w:rPr>
          <w:rFonts w:ascii="Courier New" w:hAnsi="Courier New" w:cs="Courier New"/>
          <w:sz w:val="28"/>
          <w:szCs w:val="28"/>
        </w:rPr>
        <w:t xml:space="preserve"> – Executive Dashboard Development &amp; Visualization</w:t>
      </w:r>
    </w:p>
    <w:p w:rsidR="007D4776" w:rsidRPr="007D4776" w:rsidRDefault="007D4776" w:rsidP="007D4776">
      <w:pPr>
        <w:pStyle w:val="NormalWeb"/>
        <w:numPr>
          <w:ilvl w:val="0"/>
          <w:numId w:val="23"/>
        </w:numPr>
        <w:spacing w:after="0" w:afterAutospacing="0" w:line="360" w:lineRule="auto"/>
        <w:rPr>
          <w:rFonts w:ascii="Courier New" w:hAnsi="Courier New" w:cs="Courier New"/>
          <w:sz w:val="28"/>
          <w:szCs w:val="28"/>
        </w:rPr>
      </w:pPr>
      <w:r w:rsidRPr="007D4776">
        <w:rPr>
          <w:rStyle w:val="Strong"/>
          <w:rFonts w:ascii="Courier New" w:hAnsi="Courier New" w:cs="Courier New"/>
          <w:sz w:val="28"/>
          <w:szCs w:val="28"/>
        </w:rPr>
        <w:t>AI-Driven Analytics Modeling</w:t>
      </w:r>
      <w:r w:rsidRPr="007D4776">
        <w:rPr>
          <w:rFonts w:ascii="Courier New" w:hAnsi="Courier New" w:cs="Courier New"/>
          <w:sz w:val="28"/>
          <w:szCs w:val="28"/>
        </w:rPr>
        <w:t xml:space="preserve"> – Predictive Insight Generation, Pattern Detection &amp; Strategic Recommendation Support</w:t>
      </w:r>
    </w:p>
    <w:p w:rsidR="007D4776" w:rsidRPr="007D4776" w:rsidRDefault="007D4776" w:rsidP="007D4776">
      <w:pPr>
        <w:spacing w:before="100" w:beforeAutospacing="1" w:after="0" w:line="360" w:lineRule="auto"/>
        <w:jc w:val="center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>Executive Summary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A mid-to-large enter</w:t>
      </w:r>
      <w:r w:rsidR="00406B87">
        <w:rPr>
          <w:rFonts w:ascii="Courier New" w:eastAsia="Times New Roman" w:hAnsi="Courier New" w:cs="Courier New"/>
          <w:sz w:val="28"/>
          <w:szCs w:val="28"/>
        </w:rPr>
        <w:t>prise organization engaged DataV</w:t>
      </w:r>
      <w:r w:rsidRPr="007D4776">
        <w:rPr>
          <w:rFonts w:ascii="Courier New" w:eastAsia="Times New Roman" w:hAnsi="Courier New" w:cs="Courier New"/>
          <w:sz w:val="28"/>
          <w:szCs w:val="28"/>
        </w:rPr>
        <w:t>ibe World Analytics to transform raw transactional data into a centralized executive-level Business Intelligence dashboard.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The objective was to:</w:t>
      </w:r>
    </w:p>
    <w:p w:rsidR="007D4776" w:rsidRPr="007D4776" w:rsidRDefault="007D4776" w:rsidP="007D4776">
      <w:pPr>
        <w:numPr>
          <w:ilvl w:val="0"/>
          <w:numId w:val="1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Evaluate revenue performance</w:t>
      </w:r>
    </w:p>
    <w:p w:rsidR="007D4776" w:rsidRPr="007D4776" w:rsidRDefault="007D4776" w:rsidP="007D4776">
      <w:pPr>
        <w:numPr>
          <w:ilvl w:val="0"/>
          <w:numId w:val="1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Analyze profitability structure</w:t>
      </w:r>
    </w:p>
    <w:p w:rsidR="007D4776" w:rsidRPr="007D4776" w:rsidRDefault="007D4776" w:rsidP="007D4776">
      <w:pPr>
        <w:numPr>
          <w:ilvl w:val="0"/>
          <w:numId w:val="1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Identify regional and category performance trends</w:t>
      </w:r>
    </w:p>
    <w:p w:rsidR="007D4776" w:rsidRPr="007D4776" w:rsidRDefault="007D4776" w:rsidP="007D4776">
      <w:pPr>
        <w:numPr>
          <w:ilvl w:val="0"/>
          <w:numId w:val="1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Detect concentration risks</w:t>
      </w:r>
    </w:p>
    <w:p w:rsidR="007D4776" w:rsidRPr="007D4776" w:rsidRDefault="007D4776" w:rsidP="007D4776">
      <w:pPr>
        <w:numPr>
          <w:ilvl w:val="0"/>
          <w:numId w:val="1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Support data-driven executive decision-making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lastRenderedPageBreak/>
        <w:t>The result was a fully interactive Tableau Executive Dashboard delivering strategic revenue, profit, and risk intelligence.</w:t>
      </w:r>
    </w:p>
    <w:p w:rsidR="007D4776" w:rsidRPr="007D4776" w:rsidRDefault="007D4776" w:rsidP="007D4776">
      <w:pPr>
        <w:spacing w:before="100" w:beforeAutospacing="1" w:after="0" w:line="360" w:lineRule="auto"/>
        <w:jc w:val="center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>Business Problem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Despite strong revenue generation, the organization lacked:</w:t>
      </w:r>
    </w:p>
    <w:p w:rsidR="007D4776" w:rsidRPr="007D4776" w:rsidRDefault="007D4776" w:rsidP="007D4776">
      <w:pPr>
        <w:numPr>
          <w:ilvl w:val="0"/>
          <w:numId w:val="2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Centralized KPI monitoring</w:t>
      </w:r>
    </w:p>
    <w:p w:rsidR="007D4776" w:rsidRPr="007D4776" w:rsidRDefault="007D4776" w:rsidP="007D4776">
      <w:pPr>
        <w:numPr>
          <w:ilvl w:val="0"/>
          <w:numId w:val="2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Clear visibility into profitability drivers</w:t>
      </w:r>
    </w:p>
    <w:p w:rsidR="007D4776" w:rsidRPr="007D4776" w:rsidRDefault="007D4776" w:rsidP="007D4776">
      <w:pPr>
        <w:numPr>
          <w:ilvl w:val="0"/>
          <w:numId w:val="2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Insight into regional performance distribution</w:t>
      </w:r>
    </w:p>
    <w:p w:rsidR="007D4776" w:rsidRPr="007D4776" w:rsidRDefault="007D4776" w:rsidP="007D4776">
      <w:pPr>
        <w:numPr>
          <w:ilvl w:val="0"/>
          <w:numId w:val="2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Understanding of customer concentration risk</w:t>
      </w:r>
    </w:p>
    <w:p w:rsidR="007D4776" w:rsidRPr="007D4776" w:rsidRDefault="007D4776" w:rsidP="007D4776">
      <w:pPr>
        <w:numPr>
          <w:ilvl w:val="0"/>
          <w:numId w:val="2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Structured decision-support analytics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Reporting was fragmented and reactive rather than strategic.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The leadership team required a boardroom-ready BI solution.</w:t>
      </w:r>
    </w:p>
    <w:p w:rsidR="007D4776" w:rsidRPr="007D4776" w:rsidRDefault="007D4776" w:rsidP="007D4776">
      <w:pPr>
        <w:spacing w:before="100" w:beforeAutospacing="1" w:after="0" w:line="360" w:lineRule="auto"/>
        <w:jc w:val="center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>Data &amp; Methodology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The dataset included:</w:t>
      </w:r>
    </w:p>
    <w:p w:rsidR="007D4776" w:rsidRPr="007D4776" w:rsidRDefault="007D4776" w:rsidP="007D4776">
      <w:pPr>
        <w:numPr>
          <w:ilvl w:val="0"/>
          <w:numId w:val="3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Order-level transactions</w:t>
      </w:r>
    </w:p>
    <w:p w:rsidR="007D4776" w:rsidRPr="007D4776" w:rsidRDefault="007D4776" w:rsidP="007D4776">
      <w:pPr>
        <w:numPr>
          <w:ilvl w:val="0"/>
          <w:numId w:val="3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Revenue</w:t>
      </w:r>
    </w:p>
    <w:p w:rsidR="007D4776" w:rsidRPr="007D4776" w:rsidRDefault="007D4776" w:rsidP="007D4776">
      <w:pPr>
        <w:numPr>
          <w:ilvl w:val="0"/>
          <w:numId w:val="3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Profit</w:t>
      </w:r>
    </w:p>
    <w:p w:rsidR="007D4776" w:rsidRPr="007D4776" w:rsidRDefault="007D4776" w:rsidP="007D4776">
      <w:pPr>
        <w:numPr>
          <w:ilvl w:val="0"/>
          <w:numId w:val="3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Product category</w:t>
      </w:r>
    </w:p>
    <w:p w:rsidR="007D4776" w:rsidRPr="007D4776" w:rsidRDefault="007D4776" w:rsidP="007D4776">
      <w:pPr>
        <w:numPr>
          <w:ilvl w:val="0"/>
          <w:numId w:val="3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Customer segment</w:t>
      </w:r>
    </w:p>
    <w:p w:rsidR="007D4776" w:rsidRPr="007D4776" w:rsidRDefault="007D4776" w:rsidP="007D4776">
      <w:pPr>
        <w:numPr>
          <w:ilvl w:val="0"/>
          <w:numId w:val="3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lastRenderedPageBreak/>
        <w:t>Region</w:t>
      </w:r>
    </w:p>
    <w:p w:rsidR="007D4776" w:rsidRPr="007D4776" w:rsidRDefault="007D4776" w:rsidP="007D4776">
      <w:pPr>
        <w:numPr>
          <w:ilvl w:val="0"/>
          <w:numId w:val="3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Payment method</w:t>
      </w:r>
    </w:p>
    <w:p w:rsidR="007D4776" w:rsidRPr="007D4776" w:rsidRDefault="007D4776" w:rsidP="007D4776">
      <w:pPr>
        <w:numPr>
          <w:ilvl w:val="0"/>
          <w:numId w:val="3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Quantity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Methodology Applied: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1️ Data cleaning &amp; validation (Excel</w:t>
      </w:r>
      <w:proofErr w:type="gramStart"/>
      <w:r w:rsidRPr="007D4776">
        <w:rPr>
          <w:rFonts w:ascii="Courier New" w:eastAsia="Times New Roman" w:hAnsi="Courier New" w:cs="Courier New"/>
          <w:sz w:val="28"/>
          <w:szCs w:val="28"/>
        </w:rPr>
        <w:t>)</w:t>
      </w:r>
      <w:proofErr w:type="gramEnd"/>
      <w:r w:rsidRPr="007D4776">
        <w:rPr>
          <w:rFonts w:ascii="Courier New" w:eastAsia="Times New Roman" w:hAnsi="Courier New" w:cs="Courier New"/>
          <w:sz w:val="28"/>
          <w:szCs w:val="28"/>
        </w:rPr>
        <w:br/>
        <w:t>2️ KPI calculation &amp; margin validation</w:t>
      </w:r>
      <w:r w:rsidRPr="007D4776">
        <w:rPr>
          <w:rFonts w:ascii="Courier New" w:eastAsia="Times New Roman" w:hAnsi="Courier New" w:cs="Courier New"/>
          <w:sz w:val="28"/>
          <w:szCs w:val="28"/>
        </w:rPr>
        <w:br/>
        <w:t>3️ Revenue and profit modeling</w:t>
      </w:r>
      <w:r w:rsidRPr="007D4776">
        <w:rPr>
          <w:rFonts w:ascii="Courier New" w:eastAsia="Times New Roman" w:hAnsi="Courier New" w:cs="Courier New"/>
          <w:sz w:val="28"/>
          <w:szCs w:val="28"/>
        </w:rPr>
        <w:br/>
        <w:t>4️ Pareto (80/20) analysis</w:t>
      </w:r>
      <w:r w:rsidRPr="007D4776">
        <w:rPr>
          <w:rFonts w:ascii="Courier New" w:eastAsia="Times New Roman" w:hAnsi="Courier New" w:cs="Courier New"/>
          <w:sz w:val="28"/>
          <w:szCs w:val="28"/>
        </w:rPr>
        <w:br/>
        <w:t>5️ Concentration risk assessment</w:t>
      </w:r>
      <w:r w:rsidRPr="007D4776">
        <w:rPr>
          <w:rFonts w:ascii="Courier New" w:eastAsia="Times New Roman" w:hAnsi="Courier New" w:cs="Courier New"/>
          <w:sz w:val="28"/>
          <w:szCs w:val="28"/>
        </w:rPr>
        <w:br/>
        <w:t>6️ Tableau dashboard deployment</w:t>
      </w:r>
    </w:p>
    <w:p w:rsidR="007D4776" w:rsidRPr="007D4776" w:rsidRDefault="007D4776" w:rsidP="007D4776">
      <w:pPr>
        <w:spacing w:before="100" w:beforeAutospacing="1" w:after="0" w:line="360" w:lineRule="auto"/>
        <w:jc w:val="center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>Executive KPI Overview</w:t>
      </w:r>
    </w:p>
    <w:p w:rsidR="007D4776" w:rsidRPr="007D4776" w:rsidRDefault="007D4776" w:rsidP="007D4776">
      <w:pPr>
        <w:spacing w:before="100" w:beforeAutospacing="1" w:after="0" w:line="360" w:lineRule="auto"/>
        <w:outlineLvl w:val="1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Overall Business Performance</w:t>
      </w:r>
    </w:p>
    <w:p w:rsidR="007D4776" w:rsidRPr="007D4776" w:rsidRDefault="007D4776" w:rsidP="007D4776">
      <w:pPr>
        <w:numPr>
          <w:ilvl w:val="0"/>
          <w:numId w:val="4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Total Revenue: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14.08M</w:t>
      </w:r>
    </w:p>
    <w:p w:rsidR="007D4776" w:rsidRPr="007D4776" w:rsidRDefault="007D4776" w:rsidP="007D4776">
      <w:pPr>
        <w:numPr>
          <w:ilvl w:val="0"/>
          <w:numId w:val="4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Total Profit: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4.19M</w:t>
      </w:r>
    </w:p>
    <w:p w:rsidR="007D4776" w:rsidRPr="007D4776" w:rsidRDefault="007D4776" w:rsidP="007D4776">
      <w:pPr>
        <w:numPr>
          <w:ilvl w:val="0"/>
          <w:numId w:val="4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Profit Margin: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29.76%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Strategic Interpretation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The company operates at a healthy ~30% profit margin.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This indicates:</w:t>
      </w:r>
    </w:p>
    <w:p w:rsidR="007D4776" w:rsidRPr="007D4776" w:rsidRDefault="007D4776" w:rsidP="007D4776">
      <w:pPr>
        <w:numPr>
          <w:ilvl w:val="0"/>
          <w:numId w:val="5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Strong cost control</w:t>
      </w:r>
    </w:p>
    <w:p w:rsidR="007D4776" w:rsidRPr="007D4776" w:rsidRDefault="007D4776" w:rsidP="007D4776">
      <w:pPr>
        <w:numPr>
          <w:ilvl w:val="0"/>
          <w:numId w:val="5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Efficient pricing strategy</w:t>
      </w:r>
    </w:p>
    <w:p w:rsidR="007D4776" w:rsidRPr="007D4776" w:rsidRDefault="007D4776" w:rsidP="007D4776">
      <w:pPr>
        <w:numPr>
          <w:ilvl w:val="0"/>
          <w:numId w:val="5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Sustainable profitability</w:t>
      </w:r>
    </w:p>
    <w:p w:rsidR="007D4776" w:rsidRPr="007D4776" w:rsidRDefault="007D4776" w:rsidP="007D4776">
      <w:pPr>
        <w:numPr>
          <w:ilvl w:val="0"/>
          <w:numId w:val="5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Operational discipline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lastRenderedPageBreak/>
        <w:t>The business demonstrates financial stability and mature operational performance.</w:t>
      </w:r>
    </w:p>
    <w:p w:rsidR="007D4776" w:rsidRPr="007D4776" w:rsidRDefault="007D4776" w:rsidP="007D4776">
      <w:pPr>
        <w:spacing w:before="100" w:beforeAutospacing="1" w:after="0" w:line="36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 xml:space="preserve"> Monthly Revenue Intelligence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Revenue remains stable throughout the year.</w:t>
      </w:r>
    </w:p>
    <w:p w:rsidR="007D4776" w:rsidRPr="007D4776" w:rsidRDefault="007D4776" w:rsidP="007D4776">
      <w:pPr>
        <w:numPr>
          <w:ilvl w:val="0"/>
          <w:numId w:val="6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Minor dips occur mid-year</w:t>
      </w:r>
    </w:p>
    <w:p w:rsidR="007D4776" w:rsidRPr="007D4776" w:rsidRDefault="007D4776" w:rsidP="007D4776">
      <w:pPr>
        <w:numPr>
          <w:ilvl w:val="0"/>
          <w:numId w:val="6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Recovery observed toward year-end</w:t>
      </w:r>
    </w:p>
    <w:p w:rsidR="007D4776" w:rsidRPr="007D4776" w:rsidRDefault="007D4776" w:rsidP="007D4776">
      <w:pPr>
        <w:numPr>
          <w:ilvl w:val="0"/>
          <w:numId w:val="6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No extreme volatility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Strategic Insight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Predictable sales cycle</w:t>
      </w:r>
      <w:r w:rsidRPr="007D4776">
        <w:rPr>
          <w:rFonts w:ascii="Courier New" w:eastAsia="Times New Roman" w:hAnsi="Courier New" w:cs="Courier New"/>
          <w:sz w:val="28"/>
          <w:szCs w:val="28"/>
        </w:rPr>
        <w:br/>
      </w:r>
      <w:r w:rsidRPr="007D4776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Stable customer demand</w:t>
      </w:r>
      <w:r w:rsidRPr="007D4776">
        <w:rPr>
          <w:rFonts w:ascii="Courier New" w:eastAsia="Times New Roman" w:hAnsi="Courier New" w:cs="Courier New"/>
          <w:sz w:val="28"/>
          <w:szCs w:val="28"/>
        </w:rPr>
        <w:br/>
      </w:r>
      <w:r w:rsidRPr="007D4776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Low revenue fluctuation risk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This allows leadership to forecast revenue with high confidence.</w:t>
      </w:r>
    </w:p>
    <w:p w:rsidR="007D4776" w:rsidRPr="007D4776" w:rsidRDefault="007D4776" w:rsidP="007D4776">
      <w:pPr>
        <w:spacing w:before="100" w:beforeAutospacing="1" w:after="0" w:line="36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 xml:space="preserve"> Regional Performance Analysis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All four regions - East, North, South, West - generate very similar revenue levels.</w:t>
      </w:r>
    </w:p>
    <w:p w:rsidR="007D4776" w:rsidRPr="007D4776" w:rsidRDefault="007D4776" w:rsidP="007D4776">
      <w:pPr>
        <w:numPr>
          <w:ilvl w:val="0"/>
          <w:numId w:val="7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No region is drastically underperforming.</w:t>
      </w:r>
    </w:p>
    <w:p w:rsidR="007D4776" w:rsidRPr="007D4776" w:rsidRDefault="007D4776" w:rsidP="007D4776">
      <w:pPr>
        <w:numPr>
          <w:ilvl w:val="0"/>
          <w:numId w:val="7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East and North show slightly stronger monthly peaks.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Strategic Insight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Segoe UI Symbol" w:eastAsia="Times New Roman" w:hAnsi="Segoe UI Symbol" w:cs="Segoe UI Symbol"/>
          <w:sz w:val="28"/>
          <w:szCs w:val="28"/>
        </w:rPr>
        <w:lastRenderedPageBreak/>
        <w:t>✔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Revenue diversification reduces geographic dependency risk</w:t>
      </w:r>
      <w:r w:rsidRPr="007D4776">
        <w:rPr>
          <w:rFonts w:ascii="Courier New" w:eastAsia="Times New Roman" w:hAnsi="Courier New" w:cs="Courier New"/>
          <w:sz w:val="28"/>
          <w:szCs w:val="28"/>
        </w:rPr>
        <w:br/>
      </w:r>
      <w:r w:rsidRPr="007D4776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No single-region overexposure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Opportunity</w:t>
      </w:r>
      <w:proofErr w:type="gramStart"/>
      <w:r w:rsidRPr="007D4776">
        <w:rPr>
          <w:rFonts w:ascii="Courier New" w:eastAsia="Times New Roman" w:hAnsi="Courier New" w:cs="Courier New"/>
          <w:sz w:val="28"/>
          <w:szCs w:val="28"/>
        </w:rPr>
        <w:t>:</w:t>
      </w:r>
      <w:proofErr w:type="gramEnd"/>
      <w:r w:rsidRPr="007D4776">
        <w:rPr>
          <w:rFonts w:ascii="Courier New" w:eastAsia="Times New Roman" w:hAnsi="Courier New" w:cs="Courier New"/>
          <w:sz w:val="28"/>
          <w:szCs w:val="28"/>
        </w:rPr>
        <w:br/>
        <w:t>Replicate peak-performing strategies from East and North across all regions to accelerate growth.</w:t>
      </w:r>
    </w:p>
    <w:p w:rsidR="007D4776" w:rsidRPr="007D4776" w:rsidRDefault="007D4776" w:rsidP="007D4776">
      <w:pPr>
        <w:spacing w:before="100" w:beforeAutospacing="1" w:after="0" w:line="36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 xml:space="preserve"> Product Category Profitability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Most Profitable Categories</w:t>
      </w:r>
    </w:p>
    <w:p w:rsidR="007D4776" w:rsidRPr="007D4776" w:rsidRDefault="007D4776" w:rsidP="007D4776">
      <w:pPr>
        <w:numPr>
          <w:ilvl w:val="0"/>
          <w:numId w:val="8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Electronics</w:t>
      </w:r>
    </w:p>
    <w:p w:rsidR="007D4776" w:rsidRPr="007D4776" w:rsidRDefault="007D4776" w:rsidP="007D4776">
      <w:pPr>
        <w:numPr>
          <w:ilvl w:val="0"/>
          <w:numId w:val="8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Beauty</w:t>
      </w:r>
    </w:p>
    <w:p w:rsidR="007D4776" w:rsidRPr="007D4776" w:rsidRDefault="007D4776" w:rsidP="007D4776">
      <w:pPr>
        <w:numPr>
          <w:ilvl w:val="0"/>
          <w:numId w:val="8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Home &amp; Kitchen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Slightly Lower Profitability</w:t>
      </w:r>
    </w:p>
    <w:p w:rsidR="007D4776" w:rsidRPr="007D4776" w:rsidRDefault="007D4776" w:rsidP="007D4776">
      <w:pPr>
        <w:numPr>
          <w:ilvl w:val="0"/>
          <w:numId w:val="9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Clothing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Strategic Insight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Electronics and Beauty drive stronger margins.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These categories represent:</w:t>
      </w:r>
    </w:p>
    <w:p w:rsidR="007D4776" w:rsidRPr="007D4776" w:rsidRDefault="007D4776" w:rsidP="007D4776">
      <w:pPr>
        <w:numPr>
          <w:ilvl w:val="0"/>
          <w:numId w:val="10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High-value SKUs</w:t>
      </w:r>
    </w:p>
    <w:p w:rsidR="007D4776" w:rsidRPr="007D4776" w:rsidRDefault="007D4776" w:rsidP="007D4776">
      <w:pPr>
        <w:numPr>
          <w:ilvl w:val="0"/>
          <w:numId w:val="10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Strong customer demand</w:t>
      </w:r>
    </w:p>
    <w:p w:rsidR="007D4776" w:rsidRPr="007D4776" w:rsidRDefault="007D4776" w:rsidP="007D4776">
      <w:pPr>
        <w:numPr>
          <w:ilvl w:val="0"/>
          <w:numId w:val="10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Higher pricing power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lastRenderedPageBreak/>
        <w:t>Clothing, while contributing revenue, underperforms in profitability.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Strategic action:</w:t>
      </w:r>
    </w:p>
    <w:p w:rsidR="007D4776" w:rsidRPr="007D4776" w:rsidRDefault="007D4776" w:rsidP="007D4776">
      <w:pPr>
        <w:numPr>
          <w:ilvl w:val="0"/>
          <w:numId w:val="11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Review pricing strategy</w:t>
      </w:r>
    </w:p>
    <w:p w:rsidR="007D4776" w:rsidRPr="007D4776" w:rsidRDefault="007D4776" w:rsidP="007D4776">
      <w:pPr>
        <w:numPr>
          <w:ilvl w:val="0"/>
          <w:numId w:val="11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Optimize supplier costs</w:t>
      </w:r>
    </w:p>
    <w:p w:rsidR="007D4776" w:rsidRPr="007D4776" w:rsidRDefault="007D4776" w:rsidP="007D4776">
      <w:pPr>
        <w:numPr>
          <w:ilvl w:val="0"/>
          <w:numId w:val="11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Improve marketing campaigns</w:t>
      </w:r>
    </w:p>
    <w:p w:rsidR="007D4776" w:rsidRPr="007D4776" w:rsidRDefault="007D4776" w:rsidP="007D4776">
      <w:pPr>
        <w:spacing w:before="100" w:beforeAutospacing="1" w:after="0" w:line="36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 xml:space="preserve"> Revenue by Product Category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Revenue distribution is balanced across categories.</w:t>
      </w:r>
    </w:p>
    <w:p w:rsidR="007D4776" w:rsidRPr="007D4776" w:rsidRDefault="007D4776" w:rsidP="007D4776">
      <w:pPr>
        <w:numPr>
          <w:ilvl w:val="0"/>
          <w:numId w:val="12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Beauty and Electronics slightly outperform.</w:t>
      </w:r>
    </w:p>
    <w:p w:rsidR="007D4776" w:rsidRPr="007D4776" w:rsidRDefault="007D4776" w:rsidP="007D4776">
      <w:pPr>
        <w:numPr>
          <w:ilvl w:val="0"/>
          <w:numId w:val="12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Clothing contributes the least.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Strategic Interpretation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Diversified product portfolio</w:t>
      </w:r>
      <w:r w:rsidRPr="007D4776">
        <w:rPr>
          <w:rFonts w:ascii="Courier New" w:eastAsia="Times New Roman" w:hAnsi="Courier New" w:cs="Courier New"/>
          <w:sz w:val="28"/>
          <w:szCs w:val="28"/>
        </w:rPr>
        <w:br/>
      </w:r>
      <w:r w:rsidRPr="007D4776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Reduced product concentration risk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However, Clothing presents optimization potential.</w:t>
      </w:r>
    </w:p>
    <w:p w:rsidR="007D4776" w:rsidRPr="007D4776" w:rsidRDefault="007D4776" w:rsidP="007D4776">
      <w:pPr>
        <w:spacing w:before="100" w:beforeAutospacing="1" w:after="0" w:line="36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 xml:space="preserve"> Customer Segment Analysis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Revenue is evenly distributed among:</w:t>
      </w:r>
    </w:p>
    <w:p w:rsidR="007D4776" w:rsidRPr="007D4776" w:rsidRDefault="007D4776" w:rsidP="007D4776">
      <w:pPr>
        <w:numPr>
          <w:ilvl w:val="0"/>
          <w:numId w:val="13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Consumer</w:t>
      </w:r>
    </w:p>
    <w:p w:rsidR="007D4776" w:rsidRPr="007D4776" w:rsidRDefault="007D4776" w:rsidP="007D4776">
      <w:pPr>
        <w:numPr>
          <w:ilvl w:val="0"/>
          <w:numId w:val="13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Corporate</w:t>
      </w:r>
    </w:p>
    <w:p w:rsidR="007D4776" w:rsidRPr="007D4776" w:rsidRDefault="007D4776" w:rsidP="007D4776">
      <w:pPr>
        <w:numPr>
          <w:ilvl w:val="0"/>
          <w:numId w:val="13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Home Office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Strategic Insight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Segoe UI Symbol" w:eastAsia="Times New Roman" w:hAnsi="Segoe UI Symbol" w:cs="Segoe UI Symbol"/>
          <w:sz w:val="28"/>
          <w:szCs w:val="28"/>
        </w:rPr>
        <w:lastRenderedPageBreak/>
        <w:t>✔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No overdependence on a single customer segment</w:t>
      </w:r>
      <w:r w:rsidRPr="007D4776">
        <w:rPr>
          <w:rFonts w:ascii="Courier New" w:eastAsia="Times New Roman" w:hAnsi="Courier New" w:cs="Courier New"/>
          <w:sz w:val="28"/>
          <w:szCs w:val="28"/>
        </w:rPr>
        <w:br/>
      </w:r>
      <w:r w:rsidRPr="007D4776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Balanced revenue structure</w:t>
      </w:r>
      <w:r w:rsidRPr="007D4776">
        <w:rPr>
          <w:rFonts w:ascii="Courier New" w:eastAsia="Times New Roman" w:hAnsi="Courier New" w:cs="Courier New"/>
          <w:sz w:val="28"/>
          <w:szCs w:val="28"/>
        </w:rPr>
        <w:br/>
      </w:r>
      <w:r w:rsidRPr="007D4776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Lower business concentration risk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This strengthens long-term revenue sustainability.</w:t>
      </w:r>
    </w:p>
    <w:p w:rsidR="007D4776" w:rsidRPr="007D4776" w:rsidRDefault="007D4776" w:rsidP="007D4776">
      <w:pPr>
        <w:spacing w:before="100" w:beforeAutospacing="1" w:after="0" w:line="36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>Payment Method Intelligence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All payment methods generate similar revenue contributions.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One payment channel performs slightly better but not significantly.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Strategic Insight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Customers are flexible across payment channels</w:t>
      </w:r>
      <w:r w:rsidRPr="007D4776">
        <w:rPr>
          <w:rFonts w:ascii="Courier New" w:eastAsia="Times New Roman" w:hAnsi="Courier New" w:cs="Courier New"/>
          <w:sz w:val="28"/>
          <w:szCs w:val="28"/>
        </w:rPr>
        <w:br/>
      </w:r>
      <w:r w:rsidRPr="007D4776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No overreliance on one financial channel</w:t>
      </w:r>
      <w:r w:rsidRPr="007D4776">
        <w:rPr>
          <w:rFonts w:ascii="Courier New" w:eastAsia="Times New Roman" w:hAnsi="Courier New" w:cs="Courier New"/>
          <w:sz w:val="28"/>
          <w:szCs w:val="28"/>
        </w:rPr>
        <w:br/>
      </w:r>
      <w:r w:rsidRPr="007D4776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Healthy payment ecosystem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No aggressive rebalancing required.</w:t>
      </w:r>
    </w:p>
    <w:p w:rsidR="007D4776" w:rsidRPr="007D4776" w:rsidRDefault="007D4776" w:rsidP="007D4776">
      <w:pPr>
        <w:spacing w:before="100" w:beforeAutospacing="1" w:after="0" w:line="36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 xml:space="preserve"> Pareto Analysis - Top 20% Contribution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The top 20% of segments contribute approximately 80% of cumulative revenue trend.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Strategic Interpretation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This confirms the Pareto principle:</w:t>
      </w:r>
    </w:p>
    <w:p w:rsidR="007D4776" w:rsidRPr="007D4776" w:rsidRDefault="007D4776" w:rsidP="007D4776">
      <w:pPr>
        <w:numPr>
          <w:ilvl w:val="0"/>
          <w:numId w:val="14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lastRenderedPageBreak/>
        <w:t>A small group of high-value customers drives majority revenue.</w:t>
      </w:r>
    </w:p>
    <w:p w:rsidR="007D4776" w:rsidRPr="007D4776" w:rsidRDefault="007D4776" w:rsidP="007D4776">
      <w:pPr>
        <w:numPr>
          <w:ilvl w:val="0"/>
          <w:numId w:val="14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Revenue concentration exists at customer-value level.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Strategic focus:</w:t>
      </w:r>
    </w:p>
    <w:p w:rsidR="007D4776" w:rsidRPr="007D4776" w:rsidRDefault="007D4776" w:rsidP="007D4776">
      <w:pPr>
        <w:numPr>
          <w:ilvl w:val="0"/>
          <w:numId w:val="15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Strengthen loyalty programs</w:t>
      </w:r>
    </w:p>
    <w:p w:rsidR="007D4776" w:rsidRPr="007D4776" w:rsidRDefault="007D4776" w:rsidP="007D4776">
      <w:pPr>
        <w:numPr>
          <w:ilvl w:val="0"/>
          <w:numId w:val="15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Implement retention strategies</w:t>
      </w:r>
    </w:p>
    <w:p w:rsidR="007D4776" w:rsidRPr="007D4776" w:rsidRDefault="007D4776" w:rsidP="007D4776">
      <w:pPr>
        <w:numPr>
          <w:ilvl w:val="0"/>
          <w:numId w:val="15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Introduce premium offerings</w:t>
      </w:r>
    </w:p>
    <w:p w:rsidR="007D4776" w:rsidRPr="007D4776" w:rsidRDefault="007D4776" w:rsidP="007D4776">
      <w:pPr>
        <w:numPr>
          <w:ilvl w:val="0"/>
          <w:numId w:val="15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Build VIP client engagement models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Protecting top-value customers directly protects revenue stability.</w:t>
      </w:r>
    </w:p>
    <w:p w:rsidR="007D4776" w:rsidRPr="007D4776" w:rsidRDefault="007D4776" w:rsidP="007D4776">
      <w:pPr>
        <w:spacing w:before="100" w:beforeAutospacing="1" w:after="0" w:line="36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 xml:space="preserve"> Risk &amp; Concentration Assessment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Regional Risk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Low - revenue is well distributed.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Category Risk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Moderate - Electronics and Beauty lead performance.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Segment Risk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Low - revenue evenly distributed.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>Customer Value Risk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Moderate - high reliance on top 20% customers.</w:t>
      </w:r>
      <w:bookmarkStart w:id="0" w:name="_GoBack"/>
      <w:bookmarkEnd w:id="0"/>
    </w:p>
    <w:p w:rsidR="007D4776" w:rsidRPr="007D4776" w:rsidRDefault="007D4776" w:rsidP="007D4776">
      <w:pPr>
        <w:spacing w:before="100" w:beforeAutospacing="1" w:after="0" w:line="360" w:lineRule="auto"/>
        <w:jc w:val="center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lastRenderedPageBreak/>
        <w:t>Strategic Executive Recommendations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Scale High-Margin Categories</w:t>
      </w:r>
    </w:p>
    <w:p w:rsidR="007D4776" w:rsidRPr="007D4776" w:rsidRDefault="007D4776" w:rsidP="007D4776">
      <w:pPr>
        <w:numPr>
          <w:ilvl w:val="0"/>
          <w:numId w:val="16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Increase investment in Electronics and Beauty</w:t>
      </w:r>
    </w:p>
    <w:p w:rsidR="007D4776" w:rsidRPr="007D4776" w:rsidRDefault="007D4776" w:rsidP="007D4776">
      <w:pPr>
        <w:numPr>
          <w:ilvl w:val="0"/>
          <w:numId w:val="16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Expand product depth in profitable SKUs</w:t>
      </w:r>
    </w:p>
    <w:p w:rsidR="007D4776" w:rsidRPr="007D4776" w:rsidRDefault="007D4776" w:rsidP="007D4776">
      <w:pPr>
        <w:numPr>
          <w:ilvl w:val="0"/>
          <w:numId w:val="16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Introduce premium bundles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Optimize Clothing Category</w:t>
      </w:r>
    </w:p>
    <w:p w:rsidR="007D4776" w:rsidRPr="007D4776" w:rsidRDefault="007D4776" w:rsidP="007D4776">
      <w:pPr>
        <w:numPr>
          <w:ilvl w:val="0"/>
          <w:numId w:val="17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Reevaluate pricing</w:t>
      </w:r>
    </w:p>
    <w:p w:rsidR="007D4776" w:rsidRPr="007D4776" w:rsidRDefault="007D4776" w:rsidP="007D4776">
      <w:pPr>
        <w:numPr>
          <w:ilvl w:val="0"/>
          <w:numId w:val="17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Improve margin structure</w:t>
      </w:r>
    </w:p>
    <w:p w:rsidR="007D4776" w:rsidRPr="007D4776" w:rsidRDefault="007D4776" w:rsidP="007D4776">
      <w:pPr>
        <w:numPr>
          <w:ilvl w:val="0"/>
          <w:numId w:val="17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Test targeted promotions</w:t>
      </w:r>
    </w:p>
    <w:p w:rsidR="007D4776" w:rsidRPr="007D4776" w:rsidRDefault="007D4776" w:rsidP="007D4776">
      <w:pPr>
        <w:numPr>
          <w:ilvl w:val="0"/>
          <w:numId w:val="17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Analyze cost inefficiencies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Strengthen Top 20% Customer Retention</w:t>
      </w:r>
    </w:p>
    <w:p w:rsidR="007D4776" w:rsidRPr="007D4776" w:rsidRDefault="007D4776" w:rsidP="007D4776">
      <w:pPr>
        <w:numPr>
          <w:ilvl w:val="0"/>
          <w:numId w:val="18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VIP loyalty programs</w:t>
      </w:r>
    </w:p>
    <w:p w:rsidR="007D4776" w:rsidRPr="007D4776" w:rsidRDefault="007D4776" w:rsidP="007D4776">
      <w:pPr>
        <w:numPr>
          <w:ilvl w:val="0"/>
          <w:numId w:val="18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Exclusive offers</w:t>
      </w:r>
    </w:p>
    <w:p w:rsidR="007D4776" w:rsidRPr="007D4776" w:rsidRDefault="007D4776" w:rsidP="007D4776">
      <w:pPr>
        <w:numPr>
          <w:ilvl w:val="0"/>
          <w:numId w:val="18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Corporate engagement incentives</w:t>
      </w:r>
    </w:p>
    <w:p w:rsidR="007D4776" w:rsidRPr="007D4776" w:rsidRDefault="007D4776" w:rsidP="007D4776">
      <w:pPr>
        <w:numPr>
          <w:ilvl w:val="0"/>
          <w:numId w:val="18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Subscription-based benefits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Replicate High-Performing Regional Strategies</w:t>
      </w:r>
    </w:p>
    <w:p w:rsidR="007D4776" w:rsidRPr="007D4776" w:rsidRDefault="007D4776" w:rsidP="007D4776">
      <w:pPr>
        <w:numPr>
          <w:ilvl w:val="0"/>
          <w:numId w:val="19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Identify marketing tactics used in East/North peaks</w:t>
      </w:r>
    </w:p>
    <w:p w:rsidR="007D4776" w:rsidRPr="007D4776" w:rsidRDefault="007D4776" w:rsidP="007D4776">
      <w:pPr>
        <w:numPr>
          <w:ilvl w:val="0"/>
          <w:numId w:val="19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Standardize across regions</w:t>
      </w:r>
    </w:p>
    <w:p w:rsidR="007D4776" w:rsidRPr="007D4776" w:rsidRDefault="007D4776" w:rsidP="007D4776">
      <w:pPr>
        <w:numPr>
          <w:ilvl w:val="0"/>
          <w:numId w:val="19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Implement best-practice playbooks</w:t>
      </w:r>
    </w:p>
    <w:p w:rsidR="007D4776" w:rsidRPr="007D4776" w:rsidRDefault="007D4776" w:rsidP="007D4776">
      <w:pPr>
        <w:spacing w:before="100" w:beforeAutospacing="1" w:after="0" w:line="36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Maintain Balanced Regional Investment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Avoid over-concentration in any one geographic area.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lastRenderedPageBreak/>
        <w:t>Diversification is currently a competitive strength.</w:t>
      </w:r>
    </w:p>
    <w:p w:rsidR="007D4776" w:rsidRPr="007D4776" w:rsidRDefault="007D4776" w:rsidP="007D4776">
      <w:pPr>
        <w:spacing w:before="100" w:beforeAutospacing="1" w:after="0" w:line="36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 xml:space="preserve"> Project Impact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Following the BI transformation: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Executive decision-making became data-driven</w:t>
      </w:r>
      <w:r w:rsidRPr="007D4776">
        <w:rPr>
          <w:rFonts w:ascii="Courier New" w:eastAsia="Times New Roman" w:hAnsi="Courier New" w:cs="Courier New"/>
          <w:sz w:val="28"/>
          <w:szCs w:val="28"/>
        </w:rPr>
        <w:br/>
      </w:r>
      <w:r w:rsidRPr="007D4776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Revenue and profit visibility improved</w:t>
      </w:r>
      <w:r w:rsidRPr="007D4776">
        <w:rPr>
          <w:rFonts w:ascii="Courier New" w:eastAsia="Times New Roman" w:hAnsi="Courier New" w:cs="Courier New"/>
          <w:sz w:val="28"/>
          <w:szCs w:val="28"/>
        </w:rPr>
        <w:br/>
      </w:r>
      <w:r w:rsidRPr="007D4776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Concentration risks were identified</w:t>
      </w:r>
      <w:r w:rsidRPr="007D4776">
        <w:rPr>
          <w:rFonts w:ascii="Courier New" w:eastAsia="Times New Roman" w:hAnsi="Courier New" w:cs="Courier New"/>
          <w:sz w:val="28"/>
          <w:szCs w:val="28"/>
        </w:rPr>
        <w:br/>
      </w:r>
      <w:r w:rsidRPr="007D4776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Category optimization opportunities uncovered</w:t>
      </w:r>
      <w:r w:rsidRPr="007D4776">
        <w:rPr>
          <w:rFonts w:ascii="Courier New" w:eastAsia="Times New Roman" w:hAnsi="Courier New" w:cs="Courier New"/>
          <w:sz w:val="28"/>
          <w:szCs w:val="28"/>
        </w:rPr>
        <w:br/>
      </w:r>
      <w:r w:rsidRPr="007D4776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7D4776">
        <w:rPr>
          <w:rFonts w:ascii="Courier New" w:eastAsia="Times New Roman" w:hAnsi="Courier New" w:cs="Courier New"/>
          <w:sz w:val="28"/>
          <w:szCs w:val="28"/>
        </w:rPr>
        <w:t xml:space="preserve"> Strategic growth direction clarified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The enterprise now operates with structured performance intelligence instead of fragmented reporting.</w:t>
      </w:r>
    </w:p>
    <w:p w:rsidR="007D4776" w:rsidRPr="007D4776" w:rsidRDefault="007D4776" w:rsidP="007D4776">
      <w:pPr>
        <w:spacing w:before="100" w:beforeAutospacing="1" w:after="0" w:line="36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</w:pPr>
      <w:r w:rsidRPr="007D4776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 xml:space="preserve"> Final Conclusion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This Business Intelligence transformation confirms that the enterprise is:</w:t>
      </w:r>
    </w:p>
    <w:p w:rsidR="007D4776" w:rsidRPr="007D4776" w:rsidRDefault="007D4776" w:rsidP="007D4776">
      <w:pPr>
        <w:numPr>
          <w:ilvl w:val="0"/>
          <w:numId w:val="20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Financially healthy</w:t>
      </w:r>
    </w:p>
    <w:p w:rsidR="007D4776" w:rsidRPr="007D4776" w:rsidRDefault="007D4776" w:rsidP="007D4776">
      <w:pPr>
        <w:numPr>
          <w:ilvl w:val="0"/>
          <w:numId w:val="20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Operationally efficient</w:t>
      </w:r>
    </w:p>
    <w:p w:rsidR="007D4776" w:rsidRPr="007D4776" w:rsidRDefault="007D4776" w:rsidP="007D4776">
      <w:pPr>
        <w:numPr>
          <w:ilvl w:val="0"/>
          <w:numId w:val="20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Revenue-stable</w:t>
      </w:r>
    </w:p>
    <w:p w:rsidR="007D4776" w:rsidRPr="007D4776" w:rsidRDefault="007D4776" w:rsidP="007D4776">
      <w:pPr>
        <w:numPr>
          <w:ilvl w:val="0"/>
          <w:numId w:val="20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Diversified across regions and segments</w:t>
      </w:r>
    </w:p>
    <w:p w:rsidR="007D4776" w:rsidRPr="007D4776" w:rsidRDefault="007D4776" w:rsidP="007D4776">
      <w:pPr>
        <w:numPr>
          <w:ilvl w:val="0"/>
          <w:numId w:val="20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Strategically positioned for scalable growth</w:t>
      </w:r>
    </w:p>
    <w:p w:rsidR="007D4776" w:rsidRPr="007D4776" w:rsidRDefault="007D4776" w:rsidP="007D4776">
      <w:p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However, future expansion requires:</w:t>
      </w:r>
    </w:p>
    <w:p w:rsidR="007D4776" w:rsidRPr="007D4776" w:rsidRDefault="007D4776" w:rsidP="007D4776">
      <w:pPr>
        <w:numPr>
          <w:ilvl w:val="0"/>
          <w:numId w:val="21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Margin optimization in weaker categories</w:t>
      </w:r>
    </w:p>
    <w:p w:rsidR="007D4776" w:rsidRPr="007D4776" w:rsidRDefault="007D4776" w:rsidP="007D4776">
      <w:pPr>
        <w:numPr>
          <w:ilvl w:val="0"/>
          <w:numId w:val="21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t>Retention of high-value customers</w:t>
      </w:r>
    </w:p>
    <w:p w:rsidR="007D4776" w:rsidRPr="007D4776" w:rsidRDefault="007D4776" w:rsidP="007D4776">
      <w:pPr>
        <w:numPr>
          <w:ilvl w:val="0"/>
          <w:numId w:val="21"/>
        </w:numPr>
        <w:spacing w:before="100" w:beforeAutospacing="1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7D4776">
        <w:rPr>
          <w:rFonts w:ascii="Courier New" w:eastAsia="Times New Roman" w:hAnsi="Courier New" w:cs="Courier New"/>
          <w:sz w:val="28"/>
          <w:szCs w:val="28"/>
        </w:rPr>
        <w:lastRenderedPageBreak/>
        <w:t>Strategic scaling of top-performing categories</w:t>
      </w:r>
    </w:p>
    <w:p w:rsidR="0027773F" w:rsidRPr="007D4776" w:rsidRDefault="0027773F" w:rsidP="007D4776">
      <w:pPr>
        <w:spacing w:after="0" w:line="360" w:lineRule="auto"/>
        <w:rPr>
          <w:rFonts w:ascii="Courier New" w:hAnsi="Courier New" w:cs="Courier New"/>
          <w:sz w:val="28"/>
          <w:szCs w:val="28"/>
        </w:rPr>
      </w:pPr>
    </w:p>
    <w:sectPr w:rsidR="0027773F" w:rsidRPr="007D47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6A55" w:rsidRDefault="00186A55" w:rsidP="00406B87">
      <w:pPr>
        <w:spacing w:after="0" w:line="240" w:lineRule="auto"/>
      </w:pPr>
      <w:r>
        <w:separator/>
      </w:r>
    </w:p>
  </w:endnote>
  <w:endnote w:type="continuationSeparator" w:id="0">
    <w:p w:rsidR="00186A55" w:rsidRDefault="00186A55" w:rsidP="00406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B87" w:rsidRDefault="00406B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B87" w:rsidRDefault="00406B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B87" w:rsidRDefault="00406B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6A55" w:rsidRDefault="00186A55" w:rsidP="00406B87">
      <w:pPr>
        <w:spacing w:after="0" w:line="240" w:lineRule="auto"/>
      </w:pPr>
      <w:r>
        <w:separator/>
      </w:r>
    </w:p>
  </w:footnote>
  <w:footnote w:type="continuationSeparator" w:id="0">
    <w:p w:rsidR="00186A55" w:rsidRDefault="00186A55" w:rsidP="00406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B87" w:rsidRDefault="00406B8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9497251" o:spid="_x0000_s2050" type="#_x0000_t136" style="position:absolute;margin-left:0;margin-top:0;width:530.25pt;height:41.25pt;rotation:315;z-index:-251655168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" string="Trusted Analytics, Smarter Decision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B87" w:rsidRDefault="00406B8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9497252" o:spid="_x0000_s2051" type="#_x0000_t136" style="position:absolute;margin-left:0;margin-top:0;width:530.25pt;height:41.25pt;rotation:315;z-index:-251653120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" string="Trusted Analytics, Smarter Decision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B87" w:rsidRDefault="00406B8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9497250" o:spid="_x0000_s2049" type="#_x0000_t136" style="position:absolute;margin-left:0;margin-top:0;width:530.25pt;height:41.25pt;rotation:315;z-index:-251657216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" string="Trusted Analytics, Smarter Decision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A0981"/>
    <w:multiLevelType w:val="multilevel"/>
    <w:tmpl w:val="77EC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95ABC"/>
    <w:multiLevelType w:val="multilevel"/>
    <w:tmpl w:val="5B5C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5746E"/>
    <w:multiLevelType w:val="multilevel"/>
    <w:tmpl w:val="C05A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E3EF4"/>
    <w:multiLevelType w:val="multilevel"/>
    <w:tmpl w:val="B7C0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22E15"/>
    <w:multiLevelType w:val="multilevel"/>
    <w:tmpl w:val="20D0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21245"/>
    <w:multiLevelType w:val="multilevel"/>
    <w:tmpl w:val="0C86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773A0"/>
    <w:multiLevelType w:val="multilevel"/>
    <w:tmpl w:val="49D6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F234E"/>
    <w:multiLevelType w:val="multilevel"/>
    <w:tmpl w:val="35D0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37876"/>
    <w:multiLevelType w:val="multilevel"/>
    <w:tmpl w:val="424C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A70CC"/>
    <w:multiLevelType w:val="multilevel"/>
    <w:tmpl w:val="127E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B4282"/>
    <w:multiLevelType w:val="multilevel"/>
    <w:tmpl w:val="79C8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952F2"/>
    <w:multiLevelType w:val="multilevel"/>
    <w:tmpl w:val="A472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D02AA"/>
    <w:multiLevelType w:val="multilevel"/>
    <w:tmpl w:val="D2FC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A64E1"/>
    <w:multiLevelType w:val="multilevel"/>
    <w:tmpl w:val="9DB6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A5CBA"/>
    <w:multiLevelType w:val="multilevel"/>
    <w:tmpl w:val="3E7A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2021F"/>
    <w:multiLevelType w:val="multilevel"/>
    <w:tmpl w:val="0E7A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C22B3"/>
    <w:multiLevelType w:val="multilevel"/>
    <w:tmpl w:val="B69C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837D9"/>
    <w:multiLevelType w:val="multilevel"/>
    <w:tmpl w:val="6ED6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7C52CB"/>
    <w:multiLevelType w:val="multilevel"/>
    <w:tmpl w:val="F738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B1BBE"/>
    <w:multiLevelType w:val="multilevel"/>
    <w:tmpl w:val="FCC0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A515BB"/>
    <w:multiLevelType w:val="multilevel"/>
    <w:tmpl w:val="9FB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D58FD"/>
    <w:multiLevelType w:val="multilevel"/>
    <w:tmpl w:val="3B6E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43E39"/>
    <w:multiLevelType w:val="multilevel"/>
    <w:tmpl w:val="9554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0"/>
  </w:num>
  <w:num w:numId="3">
    <w:abstractNumId w:val="17"/>
  </w:num>
  <w:num w:numId="4">
    <w:abstractNumId w:val="4"/>
  </w:num>
  <w:num w:numId="5">
    <w:abstractNumId w:val="12"/>
  </w:num>
  <w:num w:numId="6">
    <w:abstractNumId w:val="11"/>
  </w:num>
  <w:num w:numId="7">
    <w:abstractNumId w:val="14"/>
  </w:num>
  <w:num w:numId="8">
    <w:abstractNumId w:val="9"/>
  </w:num>
  <w:num w:numId="9">
    <w:abstractNumId w:val="13"/>
  </w:num>
  <w:num w:numId="10">
    <w:abstractNumId w:val="18"/>
  </w:num>
  <w:num w:numId="11">
    <w:abstractNumId w:val="21"/>
  </w:num>
  <w:num w:numId="12">
    <w:abstractNumId w:val="3"/>
  </w:num>
  <w:num w:numId="13">
    <w:abstractNumId w:val="7"/>
  </w:num>
  <w:num w:numId="14">
    <w:abstractNumId w:val="5"/>
  </w:num>
  <w:num w:numId="15">
    <w:abstractNumId w:val="8"/>
  </w:num>
  <w:num w:numId="16">
    <w:abstractNumId w:val="15"/>
  </w:num>
  <w:num w:numId="17">
    <w:abstractNumId w:val="22"/>
  </w:num>
  <w:num w:numId="18">
    <w:abstractNumId w:val="1"/>
  </w:num>
  <w:num w:numId="19">
    <w:abstractNumId w:val="0"/>
  </w:num>
  <w:num w:numId="20">
    <w:abstractNumId w:val="6"/>
  </w:num>
  <w:num w:numId="21">
    <w:abstractNumId w:val="2"/>
  </w:num>
  <w:num w:numId="22">
    <w:abstractNumId w:val="10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776"/>
    <w:rsid w:val="00186A55"/>
    <w:rsid w:val="0027773F"/>
    <w:rsid w:val="00406B87"/>
    <w:rsid w:val="007D4776"/>
    <w:rsid w:val="009471D2"/>
    <w:rsid w:val="00E44BAD"/>
    <w:rsid w:val="00FF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42143A8"/>
  <w15:chartTrackingRefBased/>
  <w15:docId w15:val="{307F8275-8F71-416C-B8D5-FA64E46C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4BAD"/>
  </w:style>
  <w:style w:type="paragraph" w:styleId="Heading1">
    <w:name w:val="heading 1"/>
    <w:basedOn w:val="Normal"/>
    <w:link w:val="Heading1Char"/>
    <w:uiPriority w:val="9"/>
    <w:qFormat/>
    <w:rsid w:val="007D47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47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4B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4BA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4BAD"/>
    <w:rPr>
      <w:b/>
      <w:bCs/>
    </w:rPr>
  </w:style>
  <w:style w:type="character" w:styleId="Emphasis">
    <w:name w:val="Emphasis"/>
    <w:basedOn w:val="DefaultParagraphFont"/>
    <w:uiPriority w:val="20"/>
    <w:qFormat/>
    <w:rsid w:val="00E44BA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D47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477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D4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06B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B87"/>
  </w:style>
  <w:style w:type="paragraph" w:styleId="Footer">
    <w:name w:val="footer"/>
    <w:basedOn w:val="Normal"/>
    <w:link w:val="FooterChar"/>
    <w:uiPriority w:val="99"/>
    <w:unhideWhenUsed/>
    <w:rsid w:val="00406B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0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y fon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962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DataVibe</dc:creator>
  <cp:keywords/>
  <dc:description/>
  <cp:lastModifiedBy>DEl</cp:lastModifiedBy>
  <cp:revision>3</cp:revision>
  <dcterms:created xsi:type="dcterms:W3CDTF">2026-02-19T06:21:00Z</dcterms:created>
  <dcterms:modified xsi:type="dcterms:W3CDTF">2026-02-19T06:32:00Z</dcterms:modified>
</cp:coreProperties>
</file>