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MHEDAS - MI - LAB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2025-11-19 -&gt; Practica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Está muy guiada.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Podemos leer el paper, nos guiará y ayudará a completar la practica (a nivel conceptual)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 buen aidea checkear que es nilearn (documentacion de la libreria)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0 -&gt; Downoading the dataset and showing the stimuli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exercise 1.1. : solo mirar y buscar para que puede ser usado (basarse en el paper)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exercise 1.2. : load the dataset with fetch_haxby()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Infromation (temporal, etc)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try to play a little with the 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  <w:color w:val="0b5394"/>
          <w:sz w:val="20"/>
          <w:szCs w:val="20"/>
          <w:u w:val="single"/>
        </w:rPr>
      </w:pPr>
      <w:bookmarkStart w:colFirst="0" w:colLast="0" w:name="_gzi9zfio55rg" w:id="0"/>
      <w:bookmarkEnd w:id="0"/>
      <w:r w:rsidDel="00000000" w:rsidR="00000000" w:rsidRPr="00000000">
        <w:rPr>
          <w:b w:val="1"/>
          <w:bCs w:val="1"/>
          <w:color w:val="0b5394"/>
          <w:sz w:val="20"/>
          <w:szCs w:val="20"/>
          <w:u w:val="single"/>
          <w:rtl w:val="0"/>
        </w:rPr>
        <w:t xml:space="preserve">PARA LA SEMANA QUE VIENE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Haremos: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define the GLM model and run the analysis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understand what does with the image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Ir revisando un poco que es lo qu deimos en teoria para entenderlo bien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