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</w:rPr>
      </w:pPr>
      <w:r w:rsidDel="00000000" w:rsidR="00000000" w:rsidRPr="00000000">
        <w:rPr>
          <w:rtl w:val="0"/>
        </w:rPr>
        <w:t xml:space="preserve">1) </w:t>
      </w:r>
      <w:r w:rsidDel="00000000" w:rsidR="00000000" w:rsidRPr="00000000">
        <w:rPr>
          <w:b w:val="1"/>
          <w:bCs w:val="1"/>
          <w:rtl w:val="0"/>
        </w:rPr>
        <w:t xml:space="preserve">Neuroimaging biomarkers define neurophysiological subtypes with distinct trajectories in schizophrenia</w:t>
      </w:r>
    </w:p>
    <w:p w:rsidR="00000000" w:rsidDel="00000000" w:rsidP="00000000" w:rsidRDefault="00000000" w:rsidRPr="00000000" w14:paraId="00000002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i w:val="1"/>
          <w:iCs w:val="1"/>
          <w:rtl w:val="0"/>
        </w:rPr>
        <w:t xml:space="preserve">disease-progression</w:t>
      </w:r>
      <w:r w:rsidDel="00000000" w:rsidR="00000000" w:rsidRPr="00000000">
        <w:rPr>
          <w:rtl w:val="0"/>
        </w:rPr>
        <w:t xml:space="preserve"> y subtipado neuroanatómico </w:t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(machine-learning para subtipos) + (modelado de progresión y clustering) sobre grandes cohortes de imágenes estructurales (MRI) para identificar subtipos neurofisiológicos en esquizofrenia con trayectorias de atrofia regional distintas (p. ej. inicio cortical vs. inicio subcortical/hipocampal). 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Proponen que esos biotipos muestran patrones, cronologías y posiblemente respuestas terapéuticas diferentes.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RESULTADO: Identificación de al menos dos biotipos con trayectorias distintas de pérdida de materia gris y diferencias en perfiles clínicos/sintomáticos.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Style w:val="Heading1"/>
        <w:keepNext w:val="0"/>
        <w:keepLines w:val="0"/>
        <w:spacing w:before="480" w:lineRule="auto"/>
        <w:rPr>
          <w:b w:val="1"/>
          <w:bCs w:val="1"/>
          <w:sz w:val="22"/>
          <w:szCs w:val="22"/>
        </w:rPr>
      </w:pPr>
      <w:bookmarkStart w:colFirst="0" w:colLast="0" w:name="_dt8dz9nzpp3t" w:id="0"/>
      <w:bookmarkEnd w:id="0"/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2) A neuroimaging biomarker for striatal dysfunction in schizophrenia — Ang Li et al. (Nat Med, 2020)</w:t>
      </w:r>
    </w:p>
    <w:p w:rsidR="00000000" w:rsidDel="00000000" w:rsidP="00000000" w:rsidRDefault="00000000" w:rsidRPr="00000000" w14:paraId="00000008">
      <w:pPr>
        <w:spacing w:after="240" w:before="240" w:lineRule="auto"/>
        <w:rPr>
          <w:b w:val="1"/>
          <w:bCs w:val="1"/>
          <w:i w:val="1"/>
          <w:iCs w:val="1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Proponen y validan un biomarcador basado en imágenes funcionales que indexa la disfunción estriatal (FSA — functional striatal abnormalities). Usan datos de múltiples escáneres y cohortes (n ≈ 1.100) y muestran que el score FSA distingue pacientes de controles y se asocia con respuesta a antipsicóticos.</w:t>
      </w:r>
      <w:hyperlink r:id="rId6">
        <w:r w:rsidDel="00000000" w:rsidR="00000000" w:rsidRPr="00000000">
          <w:rPr>
            <w:rtl w:val="0"/>
          </w:rPr>
          <w:t xml:space="preserve"> </w:t>
        </w:r>
      </w:hyperlink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PubMed</w:t>
          <w:br w:type="textWrapping"/>
        </w:r>
      </w:hyperlink>
      <w:r w:rsidDel="00000000" w:rsidR="00000000" w:rsidRPr="00000000">
        <w:rPr>
          <w:rtl w:val="0"/>
        </w:rPr>
        <w:t xml:space="preserve"> Resultados: FSA discriminó esquizofrenia frente a controles con accuracy &gt; 80% (sensibilidad ~79.3%, especificidad ~81.5%) en validación entre sitios; además, 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el FSA predijo variaciones en respuesta al tratamiento antipsicótico y mostró un gradiente de severidad entre diferentes trastornos psiquiátricos.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pubmed.ncbi.nlm.nih.gov/32251404/" TargetMode="External"/><Relationship Id="rId7" Type="http://schemas.openxmlformats.org/officeDocument/2006/relationships/hyperlink" Target="https://pubmed.ncbi.nlm.nih.gov/32251404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