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236139" cy="564570"/>
            <wp:effectExtent b="0" l="0" r="0" t="0"/>
            <wp:docPr descr="22" id="2134313449" name="image1.jpg"/>
            <a:graphic>
              <a:graphicData uri="http://schemas.openxmlformats.org/drawingml/2006/picture">
                <pic:pic>
                  <pic:nvPicPr>
                    <pic:cNvPr descr="22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6139" cy="564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-13332</wp:posOffset>
                </wp:positionH>
                <wp:positionV relativeFrom="paragraph">
                  <wp:posOffset>508634</wp:posOffset>
                </wp:positionV>
                <wp:extent cx="5623560" cy="1427307"/>
                <wp:effectExtent b="0" l="0" r="0" t="0"/>
                <wp:wrapSquare wrapText="bothSides" distB="45720" distT="45720" distL="114300" distR="114300"/>
                <wp:docPr id="213431344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43745" y="3077690"/>
                          <a:ext cx="56045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INSTITUTO PROFESIONAL DUOC UC - INFORME TÉCNICO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ESCUELA DE INFORMÁTICA &amp; TELECOMUNICACIONES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CARRERA INGENIERÍA EN INFORMÁTICA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-13332</wp:posOffset>
                </wp:positionH>
                <wp:positionV relativeFrom="paragraph">
                  <wp:posOffset>508634</wp:posOffset>
                </wp:positionV>
                <wp:extent cx="5623560" cy="1427307"/>
                <wp:effectExtent b="0" l="0" r="0" t="0"/>
                <wp:wrapSquare wrapText="bothSides" distB="45720" distT="45720" distL="114300" distR="114300"/>
                <wp:docPr id="213431344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3560" cy="14273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INFORME TÉCNICO FINANZAS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375.0" w:type="dxa"/>
        <w:jc w:val="righ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15"/>
        <w:gridCol w:w="255"/>
        <w:gridCol w:w="3705"/>
        <w:tblGridChange w:id="0">
          <w:tblGrid>
            <w:gridCol w:w="2415"/>
            <w:gridCol w:w="255"/>
            <w:gridCol w:w="370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Finanzas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Django con Front-end SPA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6">
            <w:pPr>
              <w:spacing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Principal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Pagos y Reportes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9">
            <w:pPr>
              <w:spacing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Elaboración 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15/11/2025</w:t>
            </w:r>
          </w:p>
        </w:tc>
      </w:tr>
      <w:tr>
        <w:trPr>
          <w:cantSplit w:val="0"/>
          <w:trHeight w:val="349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heading=h.40itmkq2xpk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Tabla de contenidos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85748804"/>
        <w:tag w:val="goog_rdk_0"/>
      </w:sdtPr>
      <w:sdtContent>
        <w:tbl>
          <w:tblPr>
            <w:tblStyle w:val="Table2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838"/>
            <w:tblGridChange w:id="0">
              <w:tblGrid>
                <w:gridCol w:w="88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id w:val="-1277428880"/>
                  <w:docPartObj>
                    <w:docPartGallery w:val="Table of Contents"/>
                    <w:docPartUnique w:val="1"/>
                  </w:docPartObj>
                </w:sdtPr>
                <w:sdtContent>
                  <w:p w:rsidR="00000000" w:rsidDel="00000000" w:rsidP="00000000" w:rsidRDefault="00000000" w:rsidRPr="00000000" w14:paraId="00000026">
                    <w:pPr>
                      <w:widowControl w:val="0"/>
                      <w:tabs>
                        <w:tab w:val="right" w:leader="dot" w:pos="12000"/>
                      </w:tabs>
                      <w:spacing w:before="60" w:line="240" w:lineRule="auto"/>
                      <w:rPr>
                        <w:b w:val="1"/>
                        <w:bCs w:val="1"/>
                        <w:color w:val="000000"/>
                        <w:u w:val="none"/>
                      </w:rPr>
                    </w:pPr>
                    <w:r w:rsidDel="00000000" w:rsidR="00000000" w:rsidRPr="00000000">
                      <w:fldChar w:fldCharType="begin"/>
                      <w:instrText xml:space="preserve"> TOC \h \u \z \t "Heading 1,1,Heading 2,2,Heading 3,3,Heading 4,4,Heading 5,5,Heading 6,6,"</w:instrText>
                      <w:fldChar w:fldCharType="separate"/>
                    </w:r>
                    <w:hyperlink w:anchor="_heading=h.qwuq92f3fu9d"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  <w:rtl w:val="0"/>
                        </w:rPr>
                        <w:t xml:space="preserve">1. INTRODUCCIÓN Y ALCANCE</w:t>
                        <w:tab/>
                        <w:t xml:space="preserve">3</w:t>
                      </w:r>
                    </w:hyperlink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027">
                    <w:pPr>
                      <w:widowControl w:val="0"/>
                      <w:tabs>
                        <w:tab w:val="right" w:leader="dot" w:pos="12000"/>
                      </w:tabs>
                      <w:spacing w:before="60" w:line="240" w:lineRule="auto"/>
                      <w:rPr>
                        <w:b w:val="1"/>
                        <w:bCs w:val="1"/>
                        <w:color w:val="000000"/>
                        <w:u w:val="none"/>
                      </w:rPr>
                    </w:pPr>
                    <w:hyperlink w:anchor="_heading=h.d51lnoxsgaf7"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  <w:rtl w:val="0"/>
                        </w:rPr>
                        <w:t xml:space="preserve">2. ARQUITECTURA DE COMPONENTES Y TECNOLOGÍA</w:t>
                        <w:tab/>
                        <w:t xml:space="preserve">3</w:t>
                      </w:r>
                    </w:hyperlink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028">
                    <w:pPr>
                      <w:widowControl w:val="0"/>
                      <w:tabs>
                        <w:tab w:val="right" w:leader="dot" w:pos="12000"/>
                      </w:tabs>
                      <w:spacing w:before="60" w:line="240" w:lineRule="auto"/>
                      <w:ind w:left="360" w:firstLine="0"/>
                      <w:rPr>
                        <w:color w:val="000000"/>
                        <w:u w:val="none"/>
                      </w:rPr>
                    </w:pPr>
                    <w:hyperlink w:anchor="_heading=h.jdfd4lczltia">
                      <w:r w:rsidDel="00000000" w:rsidR="00000000" w:rsidRPr="00000000">
                        <w:rPr>
                          <w:rFonts w:ascii="Calibri" w:cs="Calibri" w:eastAsia="Calibri" w:hAnsi="Calibri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  <w:rtl w:val="0"/>
                        </w:rPr>
                        <w:t xml:space="preserve">2.1. Estructura del Directorio (Finanzas)</w:t>
                        <w:tab/>
                        <w:t xml:space="preserve">4</w:t>
                      </w:r>
                    </w:hyperlink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029">
                    <w:pPr>
                      <w:widowControl w:val="0"/>
                      <w:tabs>
                        <w:tab w:val="right" w:leader="dot" w:pos="12000"/>
                      </w:tabs>
                      <w:spacing w:before="60" w:line="240" w:lineRule="auto"/>
                      <w:rPr>
                        <w:b w:val="1"/>
                        <w:bCs w:val="1"/>
                        <w:color w:val="000000"/>
                        <w:u w:val="none"/>
                      </w:rPr>
                    </w:pPr>
                    <w:hyperlink w:anchor="_heading=h.245d77xjwmwj"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  <w:rtl w:val="0"/>
                        </w:rPr>
                        <w:t xml:space="preserve">3. LÓGICA DE NEGOCIO Y AUTORIZACIÓN</w:t>
                        <w:tab/>
                        <w:t xml:space="preserve">5</w:t>
                      </w:r>
                    </w:hyperlink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02A">
                    <w:pPr>
                      <w:widowControl w:val="0"/>
                      <w:tabs>
                        <w:tab w:val="right" w:leader="dot" w:pos="12000"/>
                      </w:tabs>
                      <w:spacing w:before="60" w:line="240" w:lineRule="auto"/>
                      <w:ind w:left="360" w:firstLine="0"/>
                      <w:rPr>
                        <w:color w:val="000000"/>
                        <w:u w:val="none"/>
                      </w:rPr>
                    </w:pPr>
                    <w:hyperlink w:anchor="_heading=h.jiiltcx372cy">
                      <w:r w:rsidDel="00000000" w:rsidR="00000000" w:rsidRPr="00000000">
                        <w:rPr>
                          <w:rFonts w:ascii="Calibri" w:cs="Calibri" w:eastAsia="Calibri" w:hAnsi="Calibri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  <w:rtl w:val="0"/>
                        </w:rPr>
                        <w:t xml:space="preserve">3.1. Política de Acceso y Autorización</w:t>
                        <w:tab/>
                        <w:t xml:space="preserve">5</w:t>
                      </w:r>
                    </w:hyperlink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02B">
                    <w:pPr>
                      <w:widowControl w:val="0"/>
                      <w:tabs>
                        <w:tab w:val="right" w:leader="dot" w:pos="12000"/>
                      </w:tabs>
                      <w:spacing w:before="60" w:line="240" w:lineRule="auto"/>
                      <w:ind w:left="360" w:firstLine="0"/>
                      <w:rPr>
                        <w:color w:val="000000"/>
                        <w:u w:val="none"/>
                      </w:rPr>
                    </w:pPr>
                    <w:hyperlink w:anchor="_heading=h.nwoqohvt93sc">
                      <w:r w:rsidDel="00000000" w:rsidR="00000000" w:rsidRPr="00000000">
                        <w:rPr>
                          <w:rFonts w:ascii="Calibri" w:cs="Calibri" w:eastAsia="Calibri" w:hAnsi="Calibri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  <w:rtl w:val="0"/>
                        </w:rPr>
                        <w:t xml:space="preserve">3.2. Endpoints de la API (Operaciones CRUD)</w:t>
                        <w:tab/>
                        <w:t xml:space="preserve">5</w:t>
                      </w:r>
                    </w:hyperlink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02C">
                    <w:pPr>
                      <w:widowControl w:val="0"/>
                      <w:tabs>
                        <w:tab w:val="right" w:leader="dot" w:pos="12000"/>
                      </w:tabs>
                      <w:spacing w:before="60" w:line="240" w:lineRule="auto"/>
                      <w:rPr>
                        <w:b w:val="1"/>
                        <w:bCs w:val="1"/>
                        <w:color w:val="000000"/>
                        <w:u w:val="none"/>
                      </w:rPr>
                    </w:pPr>
                    <w:hyperlink w:anchor="_heading=h.80btey68z67c"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  <w:rtl w:val="0"/>
                        </w:rPr>
                        <w:t xml:space="preserve">4. ARQUITECTURA DEL FRONT-END (SPA)</w:t>
                        <w:tab/>
                        <w:t xml:space="preserve">6</w:t>
                      </w:r>
                    </w:hyperlink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02D">
                    <w:pPr>
                      <w:widowControl w:val="0"/>
                      <w:tabs>
                        <w:tab w:val="right" w:leader="dot" w:pos="12000"/>
                      </w:tabs>
                      <w:spacing w:before="60" w:line="240" w:lineRule="auto"/>
                      <w:rPr>
                        <w:b w:val="1"/>
                        <w:bCs w:val="1"/>
                        <w:color w:val="000000"/>
                        <w:u w:val="none"/>
                      </w:rPr>
                    </w:pPr>
                    <w:hyperlink w:anchor="_heading=h.tbrrsm26koab"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  <w:rtl w:val="0"/>
                        </w:rPr>
                        <w:t xml:space="preserve">5. SEGURIDAD Y RIESGOS</w:t>
                        <w:tab/>
                        <w:t xml:space="preserve">7</w:t>
                      </w:r>
                    </w:hyperlink>
                    <w:r w:rsidDel="00000000" w:rsidR="00000000" w:rsidRPr="00000000">
                      <w:rPr>
                        <w:rtl w:val="0"/>
                      </w:rPr>
                    </w:r>
                    <w:r w:rsidDel="00000000" w:rsidR="00000000" w:rsidRPr="00000000">
                      <w:fldChar w:fldCharType="end"/>
                    </w:r>
                  </w:p>
                </w:sdtContent>
              </w:sdt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heading=h.qwuq92f3fu9d" w:id="1"/>
      <w:bookmarkEnd w:id="1"/>
      <w:r w:rsidDel="00000000" w:rsidR="00000000" w:rsidRPr="00000000">
        <w:rPr>
          <w:rtl w:val="0"/>
        </w:rPr>
        <w:t xml:space="preserve">1. INTRODUCCIÓN Y ALCANCE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centraliza todas las operaciones relacionadas con la gestión económica y contable del sistema ( Pagos, Estados de Cuenta, Reportes de Ingresos). Su diseño sigue la arquitectura de Separación de Preocupaciones, empleando un Front-end SPA para la interacción del usuario (Finanzas.html, finanzas.js) y un Backend Django que expone rutas API/JSON para la manipulación y consulta segura de datos.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alcance incluye la definición de: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Modelos de datos para transacciones financieras (models.py).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Políticas de autorización estricta para el rol finance_admin.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Endpoints de la API para operaciones de consulta y auditoría financiera.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heading=h.d51lnoxsgaf7" w:id="2"/>
      <w:bookmarkEnd w:id="2"/>
      <w:r w:rsidDel="00000000" w:rsidR="00000000" w:rsidRPr="00000000">
        <w:rPr>
          <w:rtl w:val="0"/>
        </w:rPr>
        <w:t xml:space="preserve">2. ARQUITECTURA DE COMPONENTES Y TECNOLOGÍA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El módulo se integra con el stack tecnológico del resto del sistema, utilizando Django como framework y PostgreSQL como capa de persistencia.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Modelo de Interacción: </w:t>
      </w:r>
      <w:r w:rsidDel="00000000" w:rsidR="00000000" w:rsidRPr="00000000">
        <w:rPr>
          <w:rtl w:val="0"/>
        </w:rPr>
        <w:t xml:space="preserve">El backend (views.py) interactúa con la base de datos a través del ORM de Django. El frontend interactúa con el backend mediante peticiones AJAX (JavaScript asíncrono) para actualizar la vista sin recargar la página.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heading=h.jdfd4lczltia" w:id="3"/>
      <w:bookmarkEnd w:id="3"/>
      <w:r w:rsidDel="00000000" w:rsidR="00000000" w:rsidRPr="00000000">
        <w:rPr>
          <w:rtl w:val="0"/>
        </w:rPr>
        <w:t xml:space="preserve">2.1. Estructura del Directorio (Finanzas)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173799208"/>
        <w:tag w:val="goog_rdk_1"/>
      </w:sdtPr>
      <w:sdtContent>
        <w:tbl>
          <w:tblPr>
            <w:tblStyle w:val="Table3"/>
            <w:tblW w:w="11685.0" w:type="dxa"/>
            <w:jc w:val="left"/>
            <w:tblInd w:w="-147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35"/>
            <w:gridCol w:w="2355"/>
            <w:gridCol w:w="7695"/>
            <w:tblGridChange w:id="0">
              <w:tblGrid>
                <w:gridCol w:w="1635"/>
                <w:gridCol w:w="2355"/>
                <w:gridCol w:w="7695"/>
              </w:tblGrid>
            </w:tblGridChange>
          </w:tblGrid>
          <w:tr>
            <w:trPr>
              <w:cantSplit w:val="0"/>
              <w:trHeight w:val="778.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Archivo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Responsabilidad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Contenido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views.py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Lógica de Negocio (View)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Contiene las funciones de vista con políticas de autorización (e.g., @user_passes_test(is_finance_admin)) y los endpoints de la API (api_) para las operaciones de consulta y reportes.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urls.py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Enrutamiento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Define la ruta para el dashboard principal (/finanzas/) y rutas específicas para la API (ej. /api/finanzas/reporte_mensual/).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Finanzas.html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Plantilla SPA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Estructura base del panel financiero, incluyendo la barra de navegación y el contenedor dinámico de contenido.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finanzas.js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Lógica Front-end ( SPA)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Controla la navegación, realiza peticiones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AJAX</w:t>
                </w:r>
                <w:r w:rsidDel="00000000" w:rsidR="00000000" w:rsidRPr="00000000">
                  <w:rPr>
                    <w:rtl w:val="0"/>
                  </w:rPr>
                  <w:t xml:space="preserve"> para cargar reportes y datos de forma dinámica, y asegura la gestión del token CSRF.</w:t>
                </w:r>
              </w:p>
            </w:tc>
          </w:tr>
          <w:tr>
            <w:trPr>
              <w:cantSplit w:val="0"/>
              <w:trHeight w:val="897.109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finanzas.css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Estilos (Estática)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Estilos profesionales para la interfaz, garantizando la consistencia de diseño con los estándares corporativos.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models.py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Datos (Model)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Define los modelos de datos específicos para la gestión financiera (e.g., Payment, Transaction, Balance).</w:t>
                </w:r>
              </w:p>
            </w:tc>
          </w:tr>
        </w:tbl>
      </w:sdtContent>
    </w:sdt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heading=h.245d77xjwmwj" w:id="4"/>
      <w:bookmarkEnd w:id="4"/>
      <w:r w:rsidDel="00000000" w:rsidR="00000000" w:rsidRPr="00000000">
        <w:rPr>
          <w:rtl w:val="0"/>
        </w:rPr>
        <w:t xml:space="preserve">3. LÓGICA DE NEGOCIO Y AUTORIZACIÓN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heading=h.jiiltcx372cy" w:id="5"/>
      <w:bookmarkEnd w:id="5"/>
      <w:r w:rsidDel="00000000" w:rsidR="00000000" w:rsidRPr="00000000">
        <w:rPr>
          <w:rtl w:val="0"/>
        </w:rPr>
        <w:t xml:space="preserve">3.1. Política de Acceso y Autorización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define la estructura de las entidades financieras clave. La integridad de los datos está asegurada por las características transaccionales de PostgreSQL y el ORM de Django.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Payment:</w:t>
      </w:r>
      <w:r w:rsidDel="00000000" w:rsidR="00000000" w:rsidRPr="00000000">
        <w:rPr>
          <w:rtl w:val="0"/>
        </w:rPr>
        <w:t xml:space="preserve"> Registra cada pago realizado por los alumnos.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Transaction:</w:t>
      </w:r>
      <w:r w:rsidDel="00000000" w:rsidR="00000000" w:rsidRPr="00000000">
        <w:rPr>
          <w:rtl w:val="0"/>
        </w:rPr>
        <w:t xml:space="preserve"> Modela movimientos de entrada y salida de fondos.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Balance (o Reporte):</w:t>
      </w:r>
      <w:r w:rsidDel="00000000" w:rsidR="00000000" w:rsidRPr="00000000">
        <w:rPr>
          <w:rtl w:val="0"/>
        </w:rPr>
        <w:t xml:space="preserve"> Modelos auxiliares para generar </w:t>
      </w:r>
      <w:r w:rsidDel="00000000" w:rsidR="00000000" w:rsidRPr="00000000">
        <w:rPr>
          <w:i w:val="1"/>
          <w:iCs w:val="1"/>
          <w:rtl w:val="0"/>
        </w:rPr>
        <w:t xml:space="preserve">snapshots</w:t>
      </w:r>
      <w:r w:rsidDel="00000000" w:rsidR="00000000" w:rsidRPr="00000000">
        <w:rPr>
          <w:rtl w:val="0"/>
        </w:rPr>
        <w:t xml:space="preserve"> o resúmenes periódicos del estado financiero.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heading=h.nwoqohvt93sc" w:id="6"/>
      <w:bookmarkEnd w:id="6"/>
      <w:r w:rsidDel="00000000" w:rsidR="00000000" w:rsidRPr="00000000">
        <w:rPr>
          <w:rtl w:val="0"/>
        </w:rPr>
        <w:t xml:space="preserve">3.2. Endpoints de la API (Operaciones CRUD)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La capa de vistas está protegida por una </w:t>
      </w:r>
      <w:r w:rsidDel="00000000" w:rsidR="00000000" w:rsidRPr="00000000">
        <w:rPr>
          <w:b w:val="1"/>
          <w:bCs w:val="1"/>
          <w:rtl w:val="0"/>
        </w:rPr>
        <w:t xml:space="preserve">doble autorización</w:t>
      </w:r>
      <w:r w:rsidDel="00000000" w:rsidR="00000000" w:rsidRPr="00000000">
        <w:rPr>
          <w:rtl w:val="0"/>
        </w:rPr>
        <w:t xml:space="preserve"> (autenticación y rol) y se enfoca en la consulta segura de grandes volúmenes de datos financieros..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31590966"/>
        <w:tag w:val="goog_rdk_2"/>
      </w:sdtPr>
      <w:sdtContent>
        <w:tbl>
          <w:tblPr>
            <w:tblStyle w:val="Table4"/>
            <w:tblW w:w="10230.0" w:type="dxa"/>
            <w:jc w:val="left"/>
            <w:tblInd w:w="-30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70"/>
            <w:gridCol w:w="2160"/>
            <w:gridCol w:w="3240"/>
            <w:gridCol w:w="2760"/>
            <w:tblGridChange w:id="0">
              <w:tblGrid>
                <w:gridCol w:w="2070"/>
                <w:gridCol w:w="2160"/>
                <w:gridCol w:w="3240"/>
                <w:gridCol w:w="27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Recurso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Método HTTP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URL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Función de Vista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Pagos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/api/finanzas/pagos_pendientes/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Obtener listado de pagos pendientes.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Reportes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/api/profesores/&lt;id&gt;/actualizar/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Generar el estado de resultados del mes en formato JSON.</w:t>
                </w:r>
              </w:p>
            </w:tc>
          </w:tr>
          <w:tr>
            <w:trPr>
              <w:cantSplit w:val="0"/>
              <w:trHeight w:val="463.55468749999994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Transacciones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/api/profesores/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Ver el detalle de una transacción específica.</w:t>
                </w:r>
              </w:p>
            </w:tc>
          </w:tr>
        </w:tbl>
      </w:sdtContent>
    </w:sdt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before="280" w:lineRule="auto"/>
        <w:rPr/>
      </w:pPr>
      <w:bookmarkStart w:colFirst="0" w:colLast="0" w:name="_heading=h.c2g4uvylmg9m" w:id="7"/>
      <w:bookmarkEnd w:id="7"/>
      <w:r w:rsidDel="00000000" w:rsidR="00000000" w:rsidRPr="00000000">
        <w:rPr>
          <w:rtl w:val="0"/>
        </w:rPr>
        <w:t xml:space="preserve">3.3. Procesamiento de Datos Sensibles (</w:t>
      </w:r>
      <w:r w:rsidDel="00000000" w:rsidR="00000000" w:rsidRPr="00000000">
        <w:rPr>
          <w:rtl w:val="0"/>
        </w:rPr>
        <w:t xml:space="preserve">views.py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funciones críticas en </w:t>
      </w:r>
      <w:r w:rsidDel="00000000" w:rsidR="00000000" w:rsidRPr="00000000">
        <w:rPr>
          <w:rtl w:val="0"/>
        </w:rPr>
        <w:t xml:space="preserve">views.py</w:t>
      </w:r>
      <w:r w:rsidDel="00000000" w:rsidR="00000000" w:rsidRPr="00000000">
        <w:rPr>
          <w:rtl w:val="0"/>
        </w:rPr>
        <w:t xml:space="preserve"> utilizan el decorador </w:t>
      </w:r>
      <w:r w:rsidDel="00000000" w:rsidR="00000000" w:rsidRPr="00000000">
        <w:rPr>
          <w:b w:val="1"/>
          <w:bCs w:val="1"/>
          <w:rtl w:val="0"/>
        </w:rPr>
        <w:t xml:space="preserve">@user_passes_test(finance_required)</w:t>
      </w:r>
      <w:r w:rsidDel="00000000" w:rsidR="00000000" w:rsidRPr="00000000">
        <w:rPr>
          <w:rtl w:val="0"/>
        </w:rPr>
        <w:t xml:space="preserve"> para verificar que el usuario tenga el rol de administrador de finanzas (</w:t>
      </w:r>
      <w:r w:rsidDel="00000000" w:rsidR="00000000" w:rsidRPr="00000000">
        <w:rPr>
          <w:rtl w:val="0"/>
        </w:rPr>
        <w:t xml:space="preserve">User.FINANCE_ADMIN</w:t>
      </w:r>
      <w:r w:rsidDel="00000000" w:rsidR="00000000" w:rsidRPr="00000000">
        <w:rPr>
          <w:rtl w:val="0"/>
        </w:rPr>
        <w:t xml:space="preserve">). Las vistas de reportes utilizan funciones avanzadas del ORM, como </w:t>
      </w:r>
      <w:r w:rsidDel="00000000" w:rsidR="00000000" w:rsidRPr="00000000">
        <w:rPr>
          <w:b w:val="1"/>
          <w:bCs w:val="1"/>
          <w:rtl w:val="0"/>
        </w:rPr>
        <w:t xml:space="preserve">ExtractMonth</w:t>
      </w:r>
      <w:r w:rsidDel="00000000" w:rsidR="00000000" w:rsidRPr="00000000">
        <w:rPr>
          <w:b w:val="1"/>
          <w:bCs w:val="1"/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Count</w:t>
      </w:r>
      <w:r w:rsidDel="00000000" w:rsidR="00000000" w:rsidRPr="00000000">
        <w:rPr>
          <w:rtl w:val="0"/>
        </w:rPr>
        <w:t xml:space="preserve"> (visto en </w:t>
      </w:r>
      <w:r w:rsidDel="00000000" w:rsidR="00000000" w:rsidRPr="00000000">
        <w:rPr>
          <w:rtl w:val="0"/>
        </w:rPr>
        <w:t xml:space="preserve">api_comprobantes_por_mes</w:t>
      </w:r>
      <w:r w:rsidDel="00000000" w:rsidR="00000000" w:rsidRPr="00000000">
        <w:rPr>
          <w:rtl w:val="0"/>
        </w:rPr>
        <w:t xml:space="preserve">), para realizar cálculos y agregaciones directamente en la base de datos de manera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bookmarkStart w:colFirst="0" w:colLast="0" w:name="_heading=h.80btey68z67c" w:id="8"/>
      <w:bookmarkEnd w:id="8"/>
      <w:r w:rsidDel="00000000" w:rsidR="00000000" w:rsidRPr="00000000">
        <w:rPr>
          <w:rtl w:val="0"/>
        </w:rPr>
        <w:t xml:space="preserve">4. ARQUITECTURA DEL FRONT-END (SPA)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Front-end utiliza la arquitectura SPA para proporcionar una experiencia de usuario fluida y reactiva, minimizando las recargas de página.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Plantilla Base (</w:t>
      </w:r>
      <w:r w:rsidDel="00000000" w:rsidR="00000000" w:rsidRPr="00000000">
        <w:rPr>
          <w:b w:val="1"/>
          <w:bCs w:val="1"/>
          <w:rtl w:val="0"/>
        </w:rPr>
        <w:t xml:space="preserve">Finanzas.html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Contiene la estructura de </w:t>
      </w:r>
      <w:r w:rsidDel="00000000" w:rsidR="00000000" w:rsidRPr="00000000">
        <w:rPr>
          <w:i w:val="1"/>
          <w:iCs w:val="1"/>
          <w:rtl w:val="0"/>
        </w:rPr>
        <w:t xml:space="preserve">layout</w:t>
      </w:r>
      <w:r w:rsidDel="00000000" w:rsidR="00000000" w:rsidRPr="00000000">
        <w:rPr>
          <w:rtl w:val="0"/>
        </w:rPr>
        <w:t xml:space="preserve"> y sirve como punto de entrada para los </w:t>
      </w:r>
      <w:r w:rsidDel="00000000" w:rsidR="00000000" w:rsidRPr="00000000">
        <w:rPr>
          <w:i w:val="1"/>
          <w:iCs w:val="1"/>
          <w:rtl w:val="0"/>
        </w:rPr>
        <w:t xml:space="preserve">scripts</w:t>
      </w:r>
      <w:r w:rsidDel="00000000" w:rsidR="00000000" w:rsidRPr="00000000">
        <w:rPr>
          <w:rtl w:val="0"/>
        </w:rPr>
        <w:t xml:space="preserve"> dinámicos.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Estilos (</w:t>
      </w:r>
      <w:r w:rsidDel="00000000" w:rsidR="00000000" w:rsidRPr="00000000">
        <w:rPr>
          <w:b w:val="1"/>
          <w:bCs w:val="1"/>
          <w:rtl w:val="0"/>
        </w:rPr>
        <w:t xml:space="preserve">finanzas.css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Aplica la paleta de colores corporativos y garantiza un </w:t>
      </w:r>
      <w:r w:rsidDel="00000000" w:rsidR="00000000" w:rsidRPr="00000000">
        <w:rPr>
          <w:b w:val="1"/>
          <w:bCs w:val="1"/>
          <w:rtl w:val="0"/>
        </w:rPr>
        <w:t xml:space="preserve">Diseño Responsive</w:t>
      </w:r>
      <w:r w:rsidDel="00000000" w:rsidR="00000000" w:rsidRPr="00000000">
        <w:rPr>
          <w:rtl w:val="0"/>
        </w:rPr>
        <w:t xml:space="preserve"> a través de </w:t>
      </w:r>
      <w:r w:rsidDel="00000000" w:rsidR="00000000" w:rsidRPr="00000000">
        <w:rPr>
          <w:rtl w:val="0"/>
        </w:rPr>
        <w:t xml:space="preserve">@media queries</w:t>
      </w:r>
      <w:r w:rsidDel="00000000" w:rsidR="00000000" w:rsidRPr="00000000">
        <w:rPr>
          <w:rtl w:val="0"/>
        </w:rPr>
        <w:t xml:space="preserve"> para la visualización de reportes en diferentes dispositivos.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Controlador JavaScript (</w:t>
      </w:r>
      <w:r w:rsidDel="00000000" w:rsidR="00000000" w:rsidRPr="00000000">
        <w:rPr>
          <w:b w:val="1"/>
          <w:bCs w:val="1"/>
          <w:rtl w:val="0"/>
        </w:rPr>
        <w:t xml:space="preserve">finanzas.js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Navegación Asíncrona:</w:t>
      </w:r>
      <w:r w:rsidDel="00000000" w:rsidR="00000000" w:rsidRPr="00000000">
        <w:rPr>
          <w:rtl w:val="0"/>
        </w:rPr>
        <w:t xml:space="preserve"> Utiliza </w:t>
      </w:r>
      <w:r w:rsidDel="00000000" w:rsidR="00000000" w:rsidRPr="00000000">
        <w:rPr>
          <w:i w:val="1"/>
          <w:iCs w:val="1"/>
          <w:rtl w:val="0"/>
        </w:rPr>
        <w:t xml:space="preserve">listeners</w:t>
      </w:r>
      <w:r w:rsidDel="00000000" w:rsidR="00000000" w:rsidRPr="00000000">
        <w:rPr>
          <w:rtl w:val="0"/>
        </w:rPr>
        <w:t xml:space="preserve"> para cargar contenido (tablas de pagos, gráficos de ingresos) en el contenedor principal mediante </w:t>
      </w:r>
      <w:r w:rsidDel="00000000" w:rsidR="00000000" w:rsidRPr="00000000">
        <w:rPr>
          <w:b w:val="1"/>
          <w:bCs w:val="1"/>
          <w:rtl w:val="0"/>
        </w:rPr>
        <w:t xml:space="preserve">AJAX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 de APIs y Seguridad:</w:t>
      </w:r>
      <w:r w:rsidDel="00000000" w:rsidR="00000000" w:rsidRPr="00000000">
        <w:rPr>
          <w:rtl w:val="0"/>
        </w:rPr>
        <w:t xml:space="preserve"> Contiene la lógica para asegurar que todas las peticiones a la API incluyan el </w:t>
      </w:r>
      <w:r w:rsidDel="00000000" w:rsidR="00000000" w:rsidRPr="00000000">
        <w:rPr>
          <w:b w:val="1"/>
          <w:bCs w:val="1"/>
          <w:rtl w:val="0"/>
        </w:rPr>
        <w:t xml:space="preserve">Token CSRF</w:t>
      </w:r>
      <w:r w:rsidDel="00000000" w:rsidR="00000000" w:rsidRPr="00000000">
        <w:rPr>
          <w:rtl w:val="0"/>
        </w:rPr>
        <w:t xml:space="preserve"> para prevenir ataques, especialmente en </w:t>
      </w:r>
      <w:r w:rsidDel="00000000" w:rsidR="00000000" w:rsidRPr="00000000">
        <w:rPr>
          <w:i w:val="1"/>
          <w:iCs w:val="1"/>
          <w:rtl w:val="0"/>
        </w:rPr>
        <w:t xml:space="preserve">endpoints</w:t>
      </w:r>
      <w:r w:rsidDel="00000000" w:rsidR="00000000" w:rsidRPr="00000000">
        <w:rPr>
          <w:rtl w:val="0"/>
        </w:rPr>
        <w:t xml:space="preserve"> de modificación o cierre de periodo (POST).</w:t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Visualización de Datos:</w:t>
      </w:r>
      <w:r w:rsidDel="00000000" w:rsidR="00000000" w:rsidRPr="00000000">
        <w:rPr>
          <w:rtl w:val="0"/>
        </w:rPr>
        <w:t xml:space="preserve"> Contiene funciones para renderizar los datos JSON recibidos del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en formatos tabulares o gráficos interactivos.</w:t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bookmarkStart w:colFirst="0" w:colLast="0" w:name="_heading=h.tbrrsm26koab" w:id="9"/>
      <w:bookmarkEnd w:id="9"/>
      <w:r w:rsidDel="00000000" w:rsidR="00000000" w:rsidRPr="00000000">
        <w:rPr>
          <w:rtl w:val="0"/>
        </w:rPr>
        <w:t xml:space="preserve">5. SEGURIDAD Y RIESGOS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El módulo mitiga los riesgos de acceso y manipulación de datos sensibles mediante los siguientes controles:</w:t>
      </w:r>
    </w:p>
    <w:sdt>
      <w:sdtPr>
        <w:lock w:val="contentLocked"/>
        <w:id w:val="-1582422269"/>
        <w:tag w:val="goog_rdk_3"/>
      </w:sdtPr>
      <w:sdtContent>
        <w:tbl>
          <w:tblPr>
            <w:tblStyle w:val="Table5"/>
            <w:tblW w:w="11475.0" w:type="dxa"/>
            <w:jc w:val="left"/>
            <w:tblInd w:w="-133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10"/>
            <w:gridCol w:w="2715"/>
            <w:gridCol w:w="6750"/>
            <w:tblGridChange w:id="0">
              <w:tblGrid>
                <w:gridCol w:w="2010"/>
                <w:gridCol w:w="2715"/>
                <w:gridCol w:w="67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Riesgo (Amenaza)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Impacto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Control / Mitigación Implementada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Acceso No Autorizado a Datos Financieros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Crítico (Fuga de datos sensibles).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Doble Autorización Estricta (@login_required y @user_passes_test(is_finance_admin)) en todas las funciones de views.py.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Modificación de Datos por CSRF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Alto (Daño a la integridad contable).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Token CSRF forzado en el backend de Django y gestionado activamente por finanzas.js en todas las peticiones POST.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Inyección SQL en Consultas de Reportes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Crítico (Compromiso total del sistema).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Uso exclusivo del ORM de Django en todas las consultas de views.py, previniendo por defecto la inyección SQL.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Exposición de Sesión por Caché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Alto (Riesgo de privacidad).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Hereda la Política Anti-Caching Estricta definida por el LoginRequiredMiddleware del módulo de inicio de sesión.</w:t>
                </w:r>
              </w:p>
            </w:tc>
          </w:tr>
        </w:tbl>
      </w:sdtContent>
    </w:sdt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701" w:top="1701" w:left="1701" w:right="1701" w:header="850" w:footer="96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16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16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before="1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Calibri" w:cs="Calibri" w:eastAsia="Calibri" w:hAnsi="Calibri"/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libri" w:cs="Calibri" w:eastAsia="Calibri" w:hAnsi="Calibri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B35B51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35B51"/>
  </w:style>
  <w:style w:type="paragraph" w:styleId="Piedepgina">
    <w:name w:val="footer"/>
    <w:basedOn w:val="Normal"/>
    <w:link w:val="PiedepginaCar"/>
    <w:uiPriority w:val="99"/>
    <w:unhideWhenUsed w:val="1"/>
    <w:rsid w:val="00B35B51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35B51"/>
  </w:style>
  <w:style w:type="paragraph" w:styleId="Sinespaciado">
    <w:name w:val="No Spacing"/>
    <w:link w:val="SinespaciadoCar"/>
    <w:uiPriority w:val="1"/>
    <w:qFormat w:val="1"/>
    <w:rsid w:val="00B35B51"/>
    <w:pPr>
      <w:spacing w:after="0" w:line="240" w:lineRule="auto"/>
    </w:pPr>
    <w:rPr>
      <w:rFonts w:eastAsiaTheme="minorEastAsia"/>
      <w:lang w:eastAsia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B35B51"/>
    <w:rPr>
      <w:rFonts w:eastAsiaTheme="minorEastAsia"/>
      <w:lang w:eastAsia="es-ES"/>
    </w:rPr>
  </w:style>
  <w:style w:type="table" w:styleId="Tablaconcuadrcula">
    <w:name w:val="Table Grid"/>
    <w:basedOn w:val="Tablanormal"/>
    <w:uiPriority w:val="39"/>
    <w:rsid w:val="00240BC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ar" w:customStyle="1">
    <w:name w:val="Título 1 Car"/>
    <w:basedOn w:val="Fuentedeprrafopredeter"/>
    <w:link w:val="Ttulo1"/>
    <w:uiPriority w:val="9"/>
    <w:rsid w:val="004A601E"/>
    <w:rPr>
      <w:rFonts w:asciiTheme="majorHAnsi" w:cstheme="majorBidi" w:eastAsiaTheme="majorEastAsia" w:hAnsiTheme="majorHAnsi"/>
      <w:b w:val="1"/>
      <w:caps w:val="1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052E75"/>
    <w:rPr>
      <w:rFonts w:asciiTheme="majorHAnsi" w:cstheme="majorBidi" w:eastAsiaTheme="majorEastAsia" w:hAnsiTheme="majorHAnsi"/>
      <w:b w:val="1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52E75"/>
    <w:pPr>
      <w:spacing w:before="240" w:line="259" w:lineRule="auto"/>
      <w:outlineLvl w:val="9"/>
    </w:pPr>
    <w:rPr>
      <w:b w:val="0"/>
      <w:caps w:val="0"/>
      <w:color w:val="2e74b5" w:themeColor="accent1" w:themeShade="0000BF"/>
      <w:sz w:val="32"/>
      <w:lang w:eastAsia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52E7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52E7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52E75"/>
    <w:rPr>
      <w:color w:val="0563c1" w:themeColor="hyperlink"/>
      <w:u w:val="single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B623FA"/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character" w:styleId="Ttulo3Car" w:customStyle="1">
    <w:name w:val="Título 3 Car"/>
    <w:basedOn w:val="Fuentedeprrafopredeter"/>
    <w:link w:val="Ttulo3"/>
    <w:uiPriority w:val="9"/>
    <w:rsid w:val="00B623F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21694E"/>
    <w:pPr>
      <w:ind w:left="720"/>
      <w:contextualSpacing w:val="1"/>
    </w:pPr>
    <w:rPr>
      <w:rFonts w:ascii="Calibri" w:cs="Calibri" w:eastAsia="Calibri" w:hAnsi="Calibri"/>
      <w:lang w:eastAsia="es-CL" w:val="es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69012F"/>
    <w:rPr>
      <w:color w:val="605e5c"/>
      <w:shd w:color="auto" w:fill="e1dfdd" w:val="clear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A8176B"/>
    <w:pPr>
      <w:tabs>
        <w:tab w:val="right" w:leader="dot" w:pos="8828"/>
      </w:tabs>
      <w:spacing w:after="100"/>
      <w:ind w:left="440"/>
    </w:pPr>
    <w:rPr>
      <w:b w:val="1"/>
      <w:bCs w:val="1"/>
      <w:noProof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sUf9XOgtLPldSQJ6o8+BJ8+JrA==">CgMxLjAaHwoBMBIaChgICVIUChJ0YWJsZS42amp2Znk3dW4xN3MaHwoBMRIaChgICVIUChJ0YWJsZS5kdHBkbnNycmRuYXEaHwoBMhIaChgICVIUChJ0YWJsZS5rc3dqOHExNmcwZ20aHwoBMxIaChgICVIUChJ0YWJsZS5kb3FkMXgxeGx3dG8yDmguNDBpdG1rcTJ4cGt0Mg5oLnF3dXE5MmYzZnU5ZDIOaC5kNTFsbm94c2dhZjcyDmguamRmZDRsY3psdGlhMg5oLjI0NWQ3N3hqd213ajIOaC5qaWlsdGN4MzcyY3kyDmgubndvcW9odnQ5M3NjMg5oLmMyZzR1dnlsbWc5bTIOaC44MGJ0ZXk2OHo2N2MyDmgudGJycnNtMjZrb2FiOAByITF4ZEM2ZGJjd3dlNE1qWTZ3MHFUQl9zblhqamR1RmxK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2019-09-04T23:02:00Z</dcterms:created>
  <dc:creator>Angelica Caceres C.</dc:creator>
</cp:coreProperties>
</file>