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TRƯỜNG ĐẠI HỌC NGOẠI NGỮ - TIN HỌC TP.HCM</w:t>
      </w:r>
    </w:p>
    <w:p>
      <w:pPr>
        <w:jc w:val="center"/>
      </w:pPr>
      <w:r>
        <w:rPr>
          <w:b/>
          <w:sz w:val="24"/>
        </w:rPr>
        <w:t>Khoa Công Nghệ Thông Tin</w:t>
      </w:r>
    </w:p>
    <w:p/>
    <w:p/>
    <w:p/>
    <w:p/>
    <w:p>
      <w:pPr>
        <w:jc w:val="center"/>
      </w:pPr>
      <w:r>
        <w:rPr>
          <w:sz w:val="22"/>
        </w:rPr>
        <w:t>Đề tài</w:t>
      </w:r>
    </w:p>
    <w:p>
      <w:pPr>
        <w:jc w:val="center"/>
      </w:pPr>
      <w:r>
        <w:rPr>
          <w:b/>
          <w:color w:val="1F497D"/>
          <w:sz w:val="32"/>
        </w:rPr>
        <w:t>Phân tích dữ liệu bán hàng đồ gỗ</w:t>
        <w:br/>
        <w:t>tối ưu hoá doanh thu và lợi nhuận</w:t>
      </w:r>
    </w:p>
    <w:p/>
    <w:p/>
    <w:p/>
    <w:p/>
    <w:p/>
    <w:p>
      <w:pPr>
        <w:jc w:val="center"/>
      </w:pPr>
      <w:r>
        <w:rPr>
          <w:sz w:val="22"/>
        </w:rPr>
        <w:t>GVHD: [Tên Giáo Viên Hướng Dẫn]</w:t>
      </w:r>
    </w:p>
    <w:p>
      <w:pPr>
        <w:jc w:val="center"/>
      </w:pPr>
      <w:r>
        <w:rPr>
          <w:b/>
          <w:sz w:val="22"/>
        </w:rPr>
        <w:t>Tháng 7 Năm 2026</w:t>
      </w:r>
    </w:p>
    <w:p>
      <w:r>
        <w:br w:type="page"/>
      </w:r>
    </w:p>
    <w:p>
      <w:pPr>
        <w:pStyle w:val="Heading1"/>
      </w:pPr>
      <w:r>
        <w:t>Mục lục</w:t>
      </w:r>
    </w:p>
    <w:p>
      <w:r>
        <w:t>I. Giới thiệu</w:t>
        <w:br/>
        <w:t>II. Nội dung dữ liệu</w:t>
        <w:br/>
        <w:t>III. Phương pháp phân tích</w:t>
        <w:br/>
        <w:t>IV. Kết quả phân tích</w:t>
        <w:br/>
        <w:t xml:space="preserve">    4.1. Tổng quan KPI chính</w:t>
        <w:br/>
        <w:t xml:space="preserve">    4.2. Hiệu quả điều hành theo thời gian (Nhóm A)</w:t>
        <w:br/>
        <w:t xml:space="preserve">    4.3. Hiệu quả sản phẩm và danh mục (Nhóm B)</w:t>
        <w:br/>
        <w:t xml:space="preserve">    4.4. Rủi ro discount và pricing (Nhóm C)</w:t>
        <w:br/>
        <w:t xml:space="preserve">    4.5. Hiệu quả địa lý (Nhóm D)</w:t>
        <w:br/>
        <w:t xml:space="preserve">    4.6. Khách hàng và segment (Nhóm E)</w:t>
        <w:br/>
        <w:t xml:space="preserve">    4.7. Fulfillment context (Nhóm F)</w:t>
        <w:br/>
        <w:t>V. Khuyến nghị hành động</w:t>
        <w:br/>
        <w:t>VI. Tổng quan và kết luận</w:t>
        <w:br/>
        <w:t>VII. Phụ lục</w:t>
      </w:r>
    </w:p>
    <w:p>
      <w:r>
        <w:br w:type="page"/>
      </w:r>
    </w:p>
    <w:p>
      <w:pPr>
        <w:pStyle w:val="Heading1"/>
      </w:pPr>
      <w:r>
        <w:t>I. Giới thiệu</w:t>
      </w:r>
    </w:p>
    <w:p>
      <w:r>
        <w:t>Bộ dữ liệu phân tích bán hàng đồ gỗ (Furniture Sales Dataset) chứa thông tin chi tiết về 2.121 dòng giao dịch thuộc 1.764 đơn hàng của 707 khách hàng, bao gồm thông tin sản phẩm, thời gian, địa điểm, khách hàng, và doanh thu / lợi nhuận. Dữ liệu bao phủ giai đoạn từ tháng 1 năm 2014 đến tháng 12 năm 2017, chỉ thuộc danh mục Furniture (đồ nội thất).</w:t>
      </w:r>
    </w:p>
    <w:p>
      <w:r>
        <w:t>Mục tiêu của đề tài là phân tích khám phá (EDA) bộ dữ liệu này nhằm hiểu rõ:</w:t>
      </w:r>
    </w:p>
    <w:p>
      <w:pPr>
        <w:pStyle w:val="ListBullet"/>
      </w:pPr>
      <w:r>
        <w:t>Doanh thu và lợi nhuận được tạo ra từ những sản phẩm, vùng, và nhóm khách hàng nào</w:t>
      </w:r>
    </w:p>
    <w:p>
      <w:pPr>
        <w:pStyle w:val="ListBullet"/>
      </w:pPr>
      <w:r>
        <w:t>Mối quan hệ giữa mức giảm giá (discount) và lợi nhuận</w:t>
      </w:r>
    </w:p>
    <w:p>
      <w:pPr>
        <w:pStyle w:val="ListBullet"/>
      </w:pPr>
      <w:r>
        <w:t>Các yếu tố rủi ro chính ảnh hưởng đến chất lượng lợi nhuận</w:t>
      </w:r>
    </w:p>
    <w:p>
      <w:pPr>
        <w:pStyle w:val="ListBullet"/>
      </w:pPr>
      <w:r>
        <w:t>Xác định sản phẩm, vùng, và nhóm khách hàng cần ưu tiên sửa chữa hoặc mở rộng</w:t>
      </w:r>
    </w:p>
    <w:p>
      <w:r>
        <w:t>Để thực hiện đề tài, nhóm sử dụng các công cụ xử lý dữ liệu (Python, Pandas, NumPy) để làm sạch, biến đổi và tính toán các chỉ tiêu kinh doanh. Kết quả được trình bày qua các biểu đồ chuyên nghiệp (matplotlib, plotly) và bảng phân tích chi tiết. Phân tích tuân thủ nguyên tắc: phân biệt sự thật quan sát được, giả thuyết có bằng chứng, và khuyến nghị hành động — không trình bày tương quan như nhân quả.</w:t>
      </w:r>
    </w:p>
    <w:p>
      <w:r>
        <w:t>Câu hỏi quyết định chính: Nhà bán lẻ nên thay đổi quyết định sản phẩm, địa lý, và giảm giá như thế nào để cải thiện lợi nhuận Furniture mà vẫn duy trì hoặc tăng doanh thu bền vững?</w:t>
      </w:r>
    </w:p>
    <w:p/>
    <w:p>
      <w:pPr>
        <w:pStyle w:val="Heading1"/>
      </w:pPr>
      <w:r>
        <w:t>II. Nội dung dữ liệu</w:t>
      </w:r>
    </w:p>
    <w:p>
      <w:r>
        <w:t>Tên bộ dữ liệu: Furniture Sales Revenue &amp; Profit Optimization Dataset</w:t>
      </w:r>
    </w:p>
    <w:p>
      <w:r>
        <w:t>Nguồn dữ liệu: Dữ liệu bán hàng lịch sử từ hệ thống bán lẻ, phân loại và xác nhận là danh mục Furniture.</w:t>
      </w:r>
    </w:p>
    <w:p>
      <w:r>
        <w:t>Cấu trúc: 2.121 dòng dữ liệu, 21 cột thuộc tính. Các nhóm biến chính:</w:t>
      </w:r>
    </w:p>
    <w:tbl>
      <w:tblPr>
        <w:tblStyle w:val="LightGrid-Accent1"/>
        <w:tblW w:type="auto" w:w="0"/>
        <w:jc w:val="center"/>
        <w:tblLook w:firstColumn="1" w:firstRow="1" w:lastColumn="0" w:lastRow="0" w:noHBand="0" w:noVBand="1" w:val="04A0"/>
      </w:tblPr>
      <w:tblGrid>
        <w:gridCol w:w="4252"/>
        <w:gridCol w:w="4252"/>
      </w:tblGrid>
      <w:tr>
        <w:tc>
          <w:tcPr>
            <w:tcW w:type="dxa" w:w="4252"/>
          </w:tcPr>
          <w:p>
            <w:pPr>
              <w:jc w:val="center"/>
            </w:pPr>
            <w:r>
              <w:rPr>
                <w:b/>
                <w:sz w:val="20"/>
              </w:rPr>
              <w:t>Nhóm biến</w:t>
            </w:r>
          </w:p>
        </w:tc>
        <w:tc>
          <w:tcPr>
            <w:tcW w:type="dxa" w:w="4252"/>
          </w:tcPr>
          <w:p>
            <w:pPr>
              <w:jc w:val="center"/>
            </w:pPr>
            <w:r>
              <w:rPr>
                <w:b/>
                <w:sz w:val="20"/>
              </w:rPr>
              <w:t>Ý nghĩa</w:t>
            </w:r>
          </w:p>
        </w:tc>
      </w:tr>
      <w:tr>
        <w:tc>
          <w:tcPr>
            <w:tcW w:type="dxa" w:w="4252"/>
          </w:tcPr>
          <w:p>
            <w:pPr>
              <w:jc w:val="left"/>
            </w:pPr>
            <w:r>
              <w:rPr>
                <w:sz w:val="18"/>
              </w:rPr>
              <w:t>Định danh</w:t>
            </w:r>
          </w:p>
        </w:tc>
        <w:tc>
          <w:tcPr>
            <w:tcW w:type="dxa" w:w="4252"/>
          </w:tcPr>
          <w:p>
            <w:pPr>
              <w:jc w:val="left"/>
            </w:pPr>
            <w:r>
              <w:rPr>
                <w:sz w:val="18"/>
              </w:rPr>
              <w:t>Row ID, Order ID, Customer ID, Product ID</w:t>
            </w:r>
          </w:p>
        </w:tc>
      </w:tr>
      <w:tr>
        <w:tc>
          <w:tcPr>
            <w:tcW w:type="dxa" w:w="4252"/>
          </w:tcPr>
          <w:p>
            <w:pPr>
              <w:jc w:val="left"/>
            </w:pPr>
            <w:r>
              <w:rPr>
                <w:sz w:val="18"/>
              </w:rPr>
              <w:t>Thời gian</w:t>
            </w:r>
          </w:p>
        </w:tc>
        <w:tc>
          <w:tcPr>
            <w:tcW w:type="dxa" w:w="4252"/>
          </w:tcPr>
          <w:p>
            <w:pPr>
              <w:jc w:val="left"/>
            </w:pPr>
            <w:r>
              <w:rPr>
                <w:sz w:val="18"/>
              </w:rPr>
              <w:t>Order Date (2014-01-06 đến 2017-12-30), Ship Date</w:t>
            </w:r>
          </w:p>
        </w:tc>
      </w:tr>
      <w:tr>
        <w:tc>
          <w:tcPr>
            <w:tcW w:type="dxa" w:w="4252"/>
          </w:tcPr>
          <w:p>
            <w:pPr>
              <w:jc w:val="left"/>
            </w:pPr>
            <w:r>
              <w:rPr>
                <w:sz w:val="18"/>
              </w:rPr>
              <w:t>Địa lý</w:t>
            </w:r>
          </w:p>
        </w:tc>
        <w:tc>
          <w:tcPr>
            <w:tcW w:type="dxa" w:w="4252"/>
          </w:tcPr>
          <w:p>
            <w:pPr>
              <w:jc w:val="right"/>
            </w:pPr>
            <w:r>
              <w:rPr>
                <w:sz w:val="18"/>
              </w:rPr>
              <w:t>4 Regions, 48 States, 371 Cities, Postal Code</w:t>
            </w:r>
          </w:p>
        </w:tc>
      </w:tr>
      <w:tr>
        <w:tc>
          <w:tcPr>
            <w:tcW w:type="dxa" w:w="4252"/>
          </w:tcPr>
          <w:p>
            <w:pPr>
              <w:jc w:val="left"/>
            </w:pPr>
            <w:r>
              <w:rPr>
                <w:sz w:val="18"/>
              </w:rPr>
              <w:t>Sản phẩm</w:t>
            </w:r>
          </w:p>
        </w:tc>
        <w:tc>
          <w:tcPr>
            <w:tcW w:type="dxa" w:w="4252"/>
          </w:tcPr>
          <w:p>
            <w:pPr>
              <w:jc w:val="left"/>
            </w:pPr>
            <w:r>
              <w:rPr>
                <w:sz w:val="18"/>
              </w:rPr>
              <w:t>Category (Furniture), Sub-Category: Chairs, Tables, Bookcases, Furnishings</w:t>
            </w:r>
          </w:p>
        </w:tc>
      </w:tr>
      <w:tr>
        <w:tc>
          <w:tcPr>
            <w:tcW w:type="dxa" w:w="4252"/>
          </w:tcPr>
          <w:p>
            <w:pPr>
              <w:jc w:val="left"/>
            </w:pPr>
            <w:r>
              <w:rPr>
                <w:sz w:val="18"/>
              </w:rPr>
              <w:t>Khách hàng</w:t>
            </w:r>
          </w:p>
        </w:tc>
        <w:tc>
          <w:tcPr>
            <w:tcW w:type="dxa" w:w="4252"/>
          </w:tcPr>
          <w:p>
            <w:pPr>
              <w:jc w:val="left"/>
            </w:pPr>
            <w:r>
              <w:rPr>
                <w:sz w:val="18"/>
              </w:rPr>
              <w:t>Customer Name, Segment: Consumer, Corporate, Home Office</w:t>
            </w:r>
          </w:p>
        </w:tc>
      </w:tr>
      <w:tr>
        <w:tc>
          <w:tcPr>
            <w:tcW w:type="dxa" w:w="4252"/>
          </w:tcPr>
          <w:p>
            <w:pPr>
              <w:jc w:val="left"/>
            </w:pPr>
            <w:r>
              <w:rPr>
                <w:sz w:val="18"/>
              </w:rPr>
              <w:t>Tài chính</w:t>
            </w:r>
          </w:p>
        </w:tc>
        <w:tc>
          <w:tcPr>
            <w:tcW w:type="dxa" w:w="4252"/>
          </w:tcPr>
          <w:p>
            <w:pPr>
              <w:jc w:val="left"/>
            </w:pPr>
            <w:r>
              <w:rPr>
                <w:sz w:val="18"/>
              </w:rPr>
              <w:t>Sales (doanh thu), Profit (lợi nhuận), Discount (giảm giá), Quantity (số lượng)</w:t>
            </w:r>
          </w:p>
        </w:tc>
      </w:tr>
      <w:tr>
        <w:tc>
          <w:tcPr>
            <w:tcW w:type="dxa" w:w="4252"/>
          </w:tcPr>
          <w:p>
            <w:pPr>
              <w:jc w:val="left"/>
            </w:pPr>
            <w:r>
              <w:rPr>
                <w:sz w:val="18"/>
              </w:rPr>
              <w:t>Vận chuyển</w:t>
            </w:r>
          </w:p>
        </w:tc>
        <w:tc>
          <w:tcPr>
            <w:tcW w:type="dxa" w:w="4252"/>
          </w:tcPr>
          <w:p>
            <w:pPr>
              <w:jc w:val="left"/>
            </w:pPr>
            <w:r>
              <w:rPr>
                <w:sz w:val="18"/>
              </w:rPr>
              <w:t>Ship Mode: Standard Class, Second Class, First Class, Same Day</w:t>
            </w:r>
          </w:p>
        </w:tc>
      </w:tr>
    </w:tbl>
    <w:p/>
    <w:p>
      <w:r>
        <w:t>Các chỉ tiêu chính tính từ dữ liệu gốc:</w:t>
      </w:r>
    </w:p>
    <w:p>
      <w:pPr>
        <w:pStyle w:val="ListBullet"/>
      </w:pPr>
      <w:r>
        <w:t>Weighted profit margin = Tổng lợi nhuận / Tổng doanh thu (biên có trọng số, không trung bình đơn giản)</w:t>
      </w:r>
    </w:p>
    <w:p>
      <w:pPr>
        <w:pStyle w:val="ListBullet"/>
      </w:pPr>
      <w:r>
        <w:t>Loss-line rate = Số dòng lỗ / Tổng dòng giao dịch</w:t>
      </w:r>
    </w:p>
    <w:p>
      <w:pPr>
        <w:pStyle w:val="ListBullet"/>
      </w:pPr>
      <w:r>
        <w:t>Average Order Value (AOV) = Tổng doanh thu / Số đơn hàng duy nhất (nunique Order ID)</w:t>
      </w:r>
    </w:p>
    <w:p>
      <w:pPr>
        <w:pStyle w:val="ListBullet"/>
      </w:pPr>
      <w:r>
        <w:t>Profit per order = Tổng lợi nhuận / Số đơn hàng duy nhất</w:t>
      </w:r>
    </w:p>
    <w:p>
      <w:pPr>
        <w:pStyle w:val="ListBullet"/>
      </w:pPr>
      <w:r>
        <w:t>Sales growth = (Doanh thu kỳ t − Doanh thu kỳ t−1) / Doanh thu kỳ t−1</w:t>
      </w:r>
    </w:p>
    <w:p>
      <w:pPr>
        <w:pStyle w:val="ListBullet"/>
      </w:pPr>
      <w:r>
        <w:t>Discount bands: 0%, 1-10%, 11-20%, 21-30%, &gt;30% (không chồng lấn)</w:t>
      </w:r>
    </w:p>
    <w:p/>
    <w:p>
      <w:pPr>
        <w:pStyle w:val="Heading1"/>
      </w:pPr>
      <w:r>
        <w:t>III. Phương pháp phân tích</w:t>
      </w:r>
    </w:p>
    <w:p>
      <w:r>
        <w:t>Quy trình phân tích được thực hiện theo các bước sau:</w:t>
      </w:r>
    </w:p>
    <w:p>
      <w:pPr>
        <w:pStyle w:val="ListNumber"/>
      </w:pPr>
      <w:r>
        <w:rPr>
          <w:b/>
          <w:sz w:val="22"/>
        </w:rPr>
        <w:t xml:space="preserve">Bước 1 — Kiểm tra chất lượng dữ liệu: </w:t>
      </w:r>
      <w:r>
        <w:rPr>
          <w:sz w:val="22"/>
        </w:rPr>
        <w:t>Kiểm tra kích thước (2.121 dòng, 21 cột), kiểu dữ liệu, giá trị thiếu, bản ghi trùng lặp, Row ID duy nhất, danh mục Furniture, và ràng buộc kinh doanh (Sales ≥ 0, Quantity &gt; 0, 0 ≤ Discount ≤ 1, Ship Date ≥ Order Date).</w:t>
      </w:r>
    </w:p>
    <w:p>
      <w:pPr>
        <w:pStyle w:val="ListNumber"/>
      </w:pPr>
      <w:r>
        <w:rPr>
          <w:b/>
          <w:sz w:val="22"/>
        </w:rPr>
        <w:t xml:space="preserve">Bước 2 — Xác nhận baseline: </w:t>
      </w:r>
      <w:r>
        <w:rPr>
          <w:sz w:val="22"/>
        </w:rPr>
        <w:t>Tính tổng doanh thu ($741.999,80), lợi nhuận ($18.451,27), số đơn hàng (1.764), khách hàng (707) để đối sánh với giá trị kỳ vọng trong CONTEXT.md.</w:t>
      </w:r>
    </w:p>
    <w:p>
      <w:pPr>
        <w:pStyle w:val="ListNumber"/>
      </w:pPr>
      <w:r>
        <w:rPr>
          <w:b/>
          <w:sz w:val="22"/>
        </w:rPr>
        <w:t xml:space="preserve">Bước 3 — Biến đổi và feature engineering: </w:t>
      </w:r>
      <w:r>
        <w:rPr>
          <w:sz w:val="22"/>
        </w:rPr>
        <w:t>Tạo các cột phái sinh: order_year, order_quarter, order_month, shipping_days, profit_margin, is_loss_line, discount_band, is_repeat_customer, customer_order_count, v.v.</w:t>
      </w:r>
    </w:p>
    <w:p>
      <w:pPr>
        <w:pStyle w:val="ListNumber"/>
      </w:pPr>
      <w:r>
        <w:rPr>
          <w:b/>
          <w:sz w:val="22"/>
        </w:rPr>
        <w:t xml:space="preserve">Bước 4 — Phân tích thời gian (Nhóm A): </w:t>
      </w:r>
      <w:r>
        <w:rPr>
          <w:sz w:val="22"/>
        </w:rPr>
        <w:t>Phân tích doanh thu, lợi nhuận, biên theo tháng, quý, năm để nhận diện xu hướng và sự phân kỳ giữa tăng trưởng doanh thu và lợi nhuận.</w:t>
      </w:r>
    </w:p>
    <w:p>
      <w:pPr>
        <w:pStyle w:val="ListNumber"/>
      </w:pPr>
      <w:r>
        <w:rPr>
          <w:b/>
          <w:sz w:val="22"/>
        </w:rPr>
        <w:t xml:space="preserve">Bước 5 — Phân tích sản phẩm (Nhóm B): </w:t>
      </w:r>
      <w:r>
        <w:rPr>
          <w:sz w:val="22"/>
        </w:rPr>
        <w:t>So sánh 4 sub-category, phân loại sản phẩm theo ma trận Grow/Repair/Scale/Rationalize, xác định top sản phẩm lỗ và sản phẩm lợi nhuận chưa đại diện.</w:t>
      </w:r>
    </w:p>
    <w:p>
      <w:pPr>
        <w:pStyle w:val="ListNumber"/>
      </w:pPr>
      <w:r>
        <w:rPr>
          <w:b/>
          <w:sz w:val="22"/>
        </w:rPr>
        <w:t xml:space="preserve">Bước 6 — Phân tích giảm giá (Nhóm C): </w:t>
      </w:r>
      <w:r>
        <w:rPr>
          <w:sz w:val="22"/>
        </w:rPr>
        <w:t>Phân tích mối quan hệ giữa mức discount và các chỉ tiêu theo band và exact level. Xác định ngưỡng discount đầu tiên có profit âm và các pattern lỗ không do discount.</w:t>
      </w:r>
    </w:p>
    <w:p>
      <w:pPr>
        <w:pStyle w:val="ListNumber"/>
      </w:pPr>
      <w:r>
        <w:rPr>
          <w:b/>
          <w:sz w:val="22"/>
        </w:rPr>
        <w:t xml:space="preserve">Bước 7 — Phân tích địa lý (Nhóm D): </w:t>
      </w:r>
      <w:r>
        <w:rPr>
          <w:sz w:val="22"/>
        </w:rPr>
        <w:t>Phân tích doanh thu, lợi nhuận, discount theo 4 vùng và 48 tiểu bang. Tính priority score cho mỗi tiểu bang. Heatmap region × sub-category.</w:t>
      </w:r>
    </w:p>
    <w:p>
      <w:pPr>
        <w:pStyle w:val="ListNumber"/>
      </w:pPr>
      <w:r>
        <w:rPr>
          <w:b/>
          <w:sz w:val="22"/>
        </w:rPr>
        <w:t xml:space="preserve">Bước 8 — Phân tích khách hàng (Nhóm E): </w:t>
      </w:r>
      <w:r>
        <w:rPr>
          <w:sz w:val="22"/>
        </w:rPr>
        <w:t>Phân tích segment performance, repeat customer behavior, và xác định khách hàng có doanh thu cao nhưng lợi nhuận thấp/âm.</w:t>
      </w:r>
    </w:p>
    <w:p>
      <w:pPr>
        <w:pStyle w:val="ListNumber"/>
      </w:pPr>
      <w:r>
        <w:rPr>
          <w:b/>
          <w:sz w:val="22"/>
        </w:rPr>
        <w:t xml:space="preserve">Bước 9 — Fulfillment context (Nhóm F): </w:t>
      </w:r>
      <w:r>
        <w:rPr>
          <w:sz w:val="22"/>
        </w:rPr>
        <w:t>Phân tích ship mode và shipping days theo doanh thu, lợi nhuận, loss rate. Mô tả quan sát, không quy kết nguyên nhân do thiếu freight-cost.</w:t>
      </w:r>
    </w:p>
    <w:p>
      <w:pPr>
        <w:pStyle w:val="ListNumber"/>
      </w:pPr>
      <w:r>
        <w:rPr>
          <w:b/>
          <w:sz w:val="22"/>
        </w:rPr>
        <w:t xml:space="preserve">Bước 10 — Tổng hợp và khuyến nghị: </w:t>
      </w:r>
      <w:r>
        <w:rPr>
          <w:sz w:val="22"/>
        </w:rPr>
        <w:t>Xác định các scope cần ưu tiên, cùng bằng chứng cụ thể, hành động đề xuất, KPI theo dõi, và hạn chế. Mỗi khuyến nghị gắn evidence, không kết luận nhân quả.</w:t>
      </w:r>
    </w:p>
    <w:p/>
    <w:p>
      <w:pPr>
        <w:pStyle w:val="Heading2"/>
      </w:pPr>
      <w:r>
        <w:t>Kết quả kiểm tra chất lượng dữ liệu</w:t>
      </w:r>
    </w:p>
    <w:tbl>
      <w:tblPr>
        <w:tblStyle w:val="LightGrid-Accent1"/>
        <w:tblW w:type="auto" w:w="0"/>
        <w:jc w:val="center"/>
        <w:tblLook w:firstColumn="1" w:firstRow="1" w:lastColumn="0" w:lastRow="0" w:noHBand="0" w:noVBand="1" w:val="04A0"/>
      </w:tblPr>
      <w:tblGrid>
        <w:gridCol w:w="4252"/>
        <w:gridCol w:w="4252"/>
      </w:tblGrid>
      <w:tr>
        <w:tc>
          <w:tcPr>
            <w:tcW w:type="dxa" w:w="4252"/>
          </w:tcPr>
          <w:p>
            <w:pPr>
              <w:jc w:val="center"/>
            </w:pPr>
            <w:r>
              <w:rPr>
                <w:b/>
                <w:sz w:val="20"/>
              </w:rPr>
              <w:t>Chỉ số</w:t>
            </w:r>
          </w:p>
        </w:tc>
        <w:tc>
          <w:tcPr>
            <w:tcW w:type="dxa" w:w="4252"/>
          </w:tcPr>
          <w:p>
            <w:pPr>
              <w:jc w:val="center"/>
            </w:pPr>
            <w:r>
              <w:rPr>
                <w:b/>
                <w:sz w:val="20"/>
              </w:rPr>
              <w:t>Giá trị</w:t>
            </w:r>
          </w:p>
        </w:tc>
      </w:tr>
      <w:tr>
        <w:tc>
          <w:tcPr>
            <w:tcW w:type="dxa" w:w="4252"/>
          </w:tcPr>
          <w:p>
            <w:pPr>
              <w:jc w:val="left"/>
            </w:pPr>
            <w:r>
              <w:rPr>
                <w:sz w:val="18"/>
              </w:rPr>
              <w:t>Số dòng</w:t>
            </w:r>
          </w:p>
        </w:tc>
        <w:tc>
          <w:tcPr>
            <w:tcW w:type="dxa" w:w="4252"/>
          </w:tcPr>
          <w:p>
            <w:pPr>
              <w:jc w:val="right"/>
            </w:pPr>
            <w:r>
              <w:rPr>
                <w:sz w:val="18"/>
              </w:rPr>
              <w:t>2.121</w:t>
            </w:r>
          </w:p>
        </w:tc>
      </w:tr>
      <w:tr>
        <w:tc>
          <w:tcPr>
            <w:tcW w:type="dxa" w:w="4252"/>
          </w:tcPr>
          <w:p>
            <w:pPr>
              <w:jc w:val="left"/>
            </w:pPr>
            <w:r>
              <w:rPr>
                <w:sz w:val="18"/>
              </w:rPr>
              <w:t>Số cột</w:t>
            </w:r>
          </w:p>
        </w:tc>
        <w:tc>
          <w:tcPr>
            <w:tcW w:type="dxa" w:w="4252"/>
          </w:tcPr>
          <w:p>
            <w:pPr>
              <w:jc w:val="right"/>
            </w:pPr>
            <w:r>
              <w:rPr>
                <w:sz w:val="18"/>
              </w:rPr>
              <w:t>21</w:t>
            </w:r>
          </w:p>
        </w:tc>
      </w:tr>
      <w:tr>
        <w:tc>
          <w:tcPr>
            <w:tcW w:type="dxa" w:w="4252"/>
          </w:tcPr>
          <w:p>
            <w:pPr>
              <w:jc w:val="left"/>
            </w:pPr>
            <w:r>
              <w:rPr>
                <w:sz w:val="18"/>
              </w:rPr>
              <w:t>Giá trị thiếu</w:t>
            </w:r>
          </w:p>
        </w:tc>
        <w:tc>
          <w:tcPr>
            <w:tcW w:type="dxa" w:w="4252"/>
          </w:tcPr>
          <w:p>
            <w:pPr>
              <w:jc w:val="right"/>
            </w:pPr>
            <w:r>
              <w:rPr>
                <w:sz w:val="18"/>
              </w:rPr>
              <w:t>0</w:t>
            </w:r>
          </w:p>
        </w:tc>
      </w:tr>
      <w:tr>
        <w:tc>
          <w:tcPr>
            <w:tcW w:type="dxa" w:w="4252"/>
          </w:tcPr>
          <w:p>
            <w:pPr>
              <w:jc w:val="left"/>
            </w:pPr>
            <w:r>
              <w:rPr>
                <w:sz w:val="18"/>
              </w:rPr>
              <w:t>Dòng trùng lặp hoàn toàn</w:t>
            </w:r>
          </w:p>
        </w:tc>
        <w:tc>
          <w:tcPr>
            <w:tcW w:type="dxa" w:w="4252"/>
          </w:tcPr>
          <w:p>
            <w:pPr>
              <w:jc w:val="right"/>
            </w:pPr>
            <w:r>
              <w:rPr>
                <w:sz w:val="18"/>
              </w:rPr>
              <w:t>0</w:t>
            </w:r>
          </w:p>
        </w:tc>
      </w:tr>
      <w:tr>
        <w:tc>
          <w:tcPr>
            <w:tcW w:type="dxa" w:w="4252"/>
          </w:tcPr>
          <w:p>
            <w:pPr>
              <w:jc w:val="left"/>
            </w:pPr>
            <w:r>
              <w:rPr>
                <w:sz w:val="18"/>
              </w:rPr>
              <w:t>Row ID trùng lặp</w:t>
            </w:r>
          </w:p>
        </w:tc>
        <w:tc>
          <w:tcPr>
            <w:tcW w:type="dxa" w:w="4252"/>
          </w:tcPr>
          <w:p>
            <w:pPr>
              <w:jc w:val="right"/>
            </w:pPr>
            <w:r>
              <w:rPr>
                <w:sz w:val="18"/>
              </w:rPr>
              <w:t>0</w:t>
            </w:r>
          </w:p>
        </w:tc>
      </w:tr>
      <w:tr>
        <w:tc>
          <w:tcPr>
            <w:tcW w:type="dxa" w:w="4252"/>
          </w:tcPr>
          <w:p>
            <w:pPr>
              <w:jc w:val="left"/>
            </w:pPr>
            <w:r>
              <w:rPr>
                <w:sz w:val="18"/>
              </w:rPr>
              <w:t>Đơn hàng duy nhất (nunique Order ID)</w:t>
            </w:r>
          </w:p>
        </w:tc>
        <w:tc>
          <w:tcPr>
            <w:tcW w:type="dxa" w:w="4252"/>
          </w:tcPr>
          <w:p>
            <w:pPr>
              <w:jc w:val="right"/>
            </w:pPr>
            <w:r>
              <w:rPr>
                <w:sz w:val="18"/>
              </w:rPr>
              <w:t>1.764</w:t>
            </w:r>
          </w:p>
        </w:tc>
      </w:tr>
      <w:tr>
        <w:tc>
          <w:tcPr>
            <w:tcW w:type="dxa" w:w="4252"/>
          </w:tcPr>
          <w:p>
            <w:pPr>
              <w:jc w:val="left"/>
            </w:pPr>
            <w:r>
              <w:rPr>
                <w:sz w:val="18"/>
              </w:rPr>
              <w:t>Khách hàng duy nhất (nunique Customer ID)</w:t>
            </w:r>
          </w:p>
        </w:tc>
        <w:tc>
          <w:tcPr>
            <w:tcW w:type="dxa" w:w="4252"/>
          </w:tcPr>
          <w:p>
            <w:pPr>
              <w:jc w:val="right"/>
            </w:pPr>
            <w:r>
              <w:rPr>
                <w:sz w:val="18"/>
              </w:rPr>
              <w:t>707</w:t>
            </w:r>
          </w:p>
        </w:tc>
      </w:tr>
      <w:tr>
        <w:tc>
          <w:tcPr>
            <w:tcW w:type="dxa" w:w="4252"/>
          </w:tcPr>
          <w:p>
            <w:pPr>
              <w:jc w:val="left"/>
            </w:pPr>
            <w:r>
              <w:rPr>
                <w:sz w:val="18"/>
              </w:rPr>
              <w:t>Sản phẩm duy nhất (Product ID)</w:t>
            </w:r>
          </w:p>
        </w:tc>
        <w:tc>
          <w:tcPr>
            <w:tcW w:type="dxa" w:w="4252"/>
          </w:tcPr>
          <w:p>
            <w:pPr>
              <w:jc w:val="right"/>
            </w:pPr>
            <w:r>
              <w:rPr>
                <w:sz w:val="18"/>
              </w:rPr>
              <w:t>375</w:t>
            </w:r>
          </w:p>
        </w:tc>
      </w:tr>
      <w:tr>
        <w:tc>
          <w:tcPr>
            <w:tcW w:type="dxa" w:w="4252"/>
          </w:tcPr>
          <w:p>
            <w:pPr>
              <w:jc w:val="left"/>
            </w:pPr>
            <w:r>
              <w:rPr>
                <w:sz w:val="18"/>
              </w:rPr>
              <w:t>Tiểu bang</w:t>
            </w:r>
          </w:p>
        </w:tc>
        <w:tc>
          <w:tcPr>
            <w:tcW w:type="dxa" w:w="4252"/>
          </w:tcPr>
          <w:p>
            <w:pPr>
              <w:jc w:val="right"/>
            </w:pPr>
            <w:r>
              <w:rPr>
                <w:sz w:val="18"/>
              </w:rPr>
              <w:t>48</w:t>
            </w:r>
          </w:p>
        </w:tc>
      </w:tr>
      <w:tr>
        <w:tc>
          <w:tcPr>
            <w:tcW w:type="dxa" w:w="4252"/>
          </w:tcPr>
          <w:p>
            <w:pPr>
              <w:jc w:val="left"/>
            </w:pPr>
            <w:r>
              <w:rPr>
                <w:sz w:val="18"/>
              </w:rPr>
              <w:t>Phủ sóng Order Date</w:t>
            </w:r>
          </w:p>
        </w:tc>
        <w:tc>
          <w:tcPr>
            <w:tcW w:type="dxa" w:w="4252"/>
          </w:tcPr>
          <w:p>
            <w:pPr>
              <w:jc w:val="right"/>
            </w:pPr>
            <w:r>
              <w:rPr>
                <w:sz w:val="18"/>
              </w:rPr>
              <w:t>2014-01-06 đến 2017-12-30</w:t>
            </w:r>
          </w:p>
        </w:tc>
      </w:tr>
      <w:tr>
        <w:tc>
          <w:tcPr>
            <w:tcW w:type="dxa" w:w="4252"/>
          </w:tcPr>
          <w:p>
            <w:pPr>
              <w:jc w:val="left"/>
            </w:pPr>
            <w:r>
              <w:rPr>
                <w:sz w:val="18"/>
              </w:rPr>
              <w:t>Phủ sóng Ship Date</w:t>
            </w:r>
          </w:p>
        </w:tc>
        <w:tc>
          <w:tcPr>
            <w:tcW w:type="dxa" w:w="4252"/>
          </w:tcPr>
          <w:p>
            <w:pPr>
              <w:jc w:val="right"/>
            </w:pPr>
            <w:r>
              <w:rPr>
                <w:sz w:val="18"/>
              </w:rPr>
              <w:t>2014-01-10 đến 2018-01-05</w:t>
            </w:r>
          </w:p>
        </w:tc>
      </w:tr>
      <w:tr>
        <w:tc>
          <w:tcPr>
            <w:tcW w:type="dxa" w:w="4252"/>
          </w:tcPr>
          <w:p>
            <w:pPr>
              <w:jc w:val="left"/>
            </w:pPr>
            <w:r>
              <w:rPr>
                <w:sz w:val="18"/>
              </w:rPr>
              <w:t>Category coverage</w:t>
            </w:r>
          </w:p>
        </w:tc>
        <w:tc>
          <w:tcPr>
            <w:tcW w:type="dxa" w:w="4252"/>
          </w:tcPr>
          <w:p>
            <w:pPr>
              <w:jc w:val="left"/>
            </w:pPr>
            <w:r>
              <w:rPr>
                <w:sz w:val="18"/>
              </w:rPr>
              <w:t>Furniture only</w:t>
            </w:r>
          </w:p>
        </w:tc>
      </w:tr>
      <w:tr>
        <w:tc>
          <w:tcPr>
            <w:tcW w:type="dxa" w:w="4252"/>
          </w:tcPr>
          <w:p>
            <w:pPr>
              <w:jc w:val="left"/>
            </w:pPr>
            <w:r>
              <w:rPr>
                <w:sz w:val="18"/>
              </w:rPr>
              <w:t>Ship Date &lt; Order Date</w:t>
            </w:r>
          </w:p>
        </w:tc>
        <w:tc>
          <w:tcPr>
            <w:tcW w:type="dxa" w:w="4252"/>
          </w:tcPr>
          <w:p>
            <w:pPr>
              <w:jc w:val="right"/>
            </w:pPr>
            <w:r>
              <w:rPr>
                <w:sz w:val="18"/>
              </w:rPr>
              <w:t>0 (đạt)</w:t>
            </w:r>
          </w:p>
        </w:tc>
      </w:tr>
      <w:tr>
        <w:tc>
          <w:tcPr>
            <w:tcW w:type="dxa" w:w="4252"/>
          </w:tcPr>
          <w:p>
            <w:pPr>
              <w:jc w:val="left"/>
            </w:pPr>
            <w:r>
              <w:rPr>
                <w:sz w:val="18"/>
              </w:rPr>
              <w:t>Tổng doanh thu</w:t>
            </w:r>
          </w:p>
        </w:tc>
        <w:tc>
          <w:tcPr>
            <w:tcW w:type="dxa" w:w="4252"/>
          </w:tcPr>
          <w:p>
            <w:pPr>
              <w:jc w:val="right"/>
            </w:pPr>
            <w:r>
              <w:rPr>
                <w:sz w:val="18"/>
              </w:rPr>
              <w:t>$741.999,80</w:t>
            </w:r>
          </w:p>
        </w:tc>
      </w:tr>
      <w:tr>
        <w:tc>
          <w:tcPr>
            <w:tcW w:type="dxa" w:w="4252"/>
          </w:tcPr>
          <w:p>
            <w:pPr>
              <w:jc w:val="left"/>
            </w:pPr>
            <w:r>
              <w:rPr>
                <w:sz w:val="18"/>
              </w:rPr>
              <w:t>Tổng lợi nhuận</w:t>
            </w:r>
          </w:p>
        </w:tc>
        <w:tc>
          <w:tcPr>
            <w:tcW w:type="dxa" w:w="4252"/>
          </w:tcPr>
          <w:p>
            <w:pPr>
              <w:jc w:val="right"/>
            </w:pPr>
            <w:r>
              <w:rPr>
                <w:sz w:val="18"/>
              </w:rPr>
              <w:t>$18.451,27</w:t>
            </w:r>
          </w:p>
        </w:tc>
      </w:tr>
      <w:tr>
        <w:tc>
          <w:tcPr>
            <w:tcW w:type="dxa" w:w="4252"/>
          </w:tcPr>
          <w:p>
            <w:pPr>
              <w:jc w:val="left"/>
            </w:pPr>
            <w:r>
              <w:rPr>
                <w:sz w:val="18"/>
              </w:rPr>
              <w:t>Dòng lỗ (Profit &lt; 0)</w:t>
            </w:r>
          </w:p>
        </w:tc>
        <w:tc>
          <w:tcPr>
            <w:tcW w:type="dxa" w:w="4252"/>
          </w:tcPr>
          <w:p>
            <w:pPr>
              <w:jc w:val="right"/>
            </w:pPr>
            <w:r>
              <w:rPr>
                <w:sz w:val="18"/>
              </w:rPr>
              <w:t>714</w:t>
            </w:r>
          </w:p>
        </w:tc>
      </w:tr>
    </w:tbl>
    <w:p/>
    <w:p>
      <w:r>
        <w:rPr>
          <w:b/>
          <w:color w:val="1F497D"/>
          <w:sz w:val="22"/>
        </w:rPr>
        <w:t xml:space="preserve">Sự thật quan sát: </w:t>
      </w:r>
      <w:r>
        <w:rPr>
          <w:sz w:val="22"/>
        </w:rPr>
        <w:t>Dữ liệu đầu vào đạt tất cả ràng buộc bắt buộc: Furniture-only, không có giá trị thiếu, không có Row ID trùng lặp, ngày giao hàng không sớm hơn ngày đặt hàng, và các tổng doanh thu/lợi nhuận khớp baseline trong CONTEXT.md. Bảng fact sau biến đổi giữ nguyên 2.121 dòng với tổng doanh thu $741.999,80 và tổng lợi nhuận $18.451,27.</w:t>
      </w:r>
    </w:p>
    <w:p>
      <w:r>
        <w:br w:type="page"/>
      </w:r>
    </w:p>
    <w:p>
      <w:pPr>
        <w:pStyle w:val="Heading1"/>
      </w:pPr>
      <w:r>
        <w:t>IV. Kết quả phân tích</w:t>
      </w:r>
    </w:p>
    <w:p>
      <w:pPr>
        <w:pStyle w:val="Heading2"/>
      </w:pPr>
      <w:r>
        <w:t>4.1. Tổng quan KPI chính</w:t>
      </w:r>
    </w:p>
    <w:p>
      <w:r>
        <w:t>Bảng dưới đây tóm tắt các chỉ tiêu chính cho toàn bộ bộ dữ liệu:</w:t>
      </w:r>
    </w:p>
    <w:tbl>
      <w:tblPr>
        <w:tblStyle w:val="LightGrid-Accent1"/>
        <w:tblW w:type="auto" w:w="0"/>
        <w:jc w:val="center"/>
        <w:tblLook w:firstColumn="1" w:firstRow="1" w:lastColumn="0" w:lastRow="0" w:noHBand="0" w:noVBand="1" w:val="04A0"/>
      </w:tblPr>
      <w:tblGrid>
        <w:gridCol w:w="4252"/>
        <w:gridCol w:w="4252"/>
      </w:tblGrid>
      <w:tr>
        <w:tc>
          <w:tcPr>
            <w:tcW w:type="dxa" w:w="4252"/>
          </w:tcPr>
          <w:p>
            <w:pPr>
              <w:jc w:val="center"/>
            </w:pPr>
            <w:r>
              <w:rPr>
                <w:b/>
                <w:sz w:val="20"/>
              </w:rPr>
              <w:t>KPI</w:t>
            </w:r>
          </w:p>
        </w:tc>
        <w:tc>
          <w:tcPr>
            <w:tcW w:type="dxa" w:w="4252"/>
          </w:tcPr>
          <w:p>
            <w:pPr>
              <w:jc w:val="center"/>
            </w:pPr>
            <w:r>
              <w:rPr>
                <w:b/>
                <w:sz w:val="20"/>
              </w:rPr>
              <w:t>Giá trị</w:t>
            </w:r>
          </w:p>
        </w:tc>
      </w:tr>
      <w:tr>
        <w:tc>
          <w:tcPr>
            <w:tcW w:type="dxa" w:w="4252"/>
          </w:tcPr>
          <w:p>
            <w:pPr>
              <w:jc w:val="left"/>
            </w:pPr>
            <w:r>
              <w:rPr>
                <w:sz w:val="18"/>
              </w:rPr>
              <w:t>Tổng doanh thu (Total Sales)</w:t>
            </w:r>
          </w:p>
        </w:tc>
        <w:tc>
          <w:tcPr>
            <w:tcW w:type="dxa" w:w="4252"/>
          </w:tcPr>
          <w:p>
            <w:pPr>
              <w:jc w:val="right"/>
            </w:pPr>
            <w:r>
              <w:rPr>
                <w:sz w:val="18"/>
              </w:rPr>
              <w:t>$741.999,80</w:t>
            </w:r>
          </w:p>
        </w:tc>
      </w:tr>
      <w:tr>
        <w:tc>
          <w:tcPr>
            <w:tcW w:type="dxa" w:w="4252"/>
          </w:tcPr>
          <w:p>
            <w:pPr>
              <w:jc w:val="left"/>
            </w:pPr>
            <w:r>
              <w:rPr>
                <w:sz w:val="18"/>
              </w:rPr>
              <w:t>Tổng lợi nhuận (Total Profit)</w:t>
            </w:r>
          </w:p>
        </w:tc>
        <w:tc>
          <w:tcPr>
            <w:tcW w:type="dxa" w:w="4252"/>
          </w:tcPr>
          <w:p>
            <w:pPr>
              <w:jc w:val="right"/>
            </w:pPr>
            <w:r>
              <w:rPr>
                <w:sz w:val="18"/>
              </w:rPr>
              <w:t>$18.451,27</w:t>
            </w:r>
          </w:p>
        </w:tc>
      </w:tr>
      <w:tr>
        <w:tc>
          <w:tcPr>
            <w:tcW w:type="dxa" w:w="4252"/>
          </w:tcPr>
          <w:p>
            <w:pPr>
              <w:jc w:val="left"/>
            </w:pPr>
            <w:r>
              <w:rPr>
                <w:sz w:val="18"/>
              </w:rPr>
              <w:t>Biên lợi nhuận có trọng số</w:t>
            </w:r>
          </w:p>
        </w:tc>
        <w:tc>
          <w:tcPr>
            <w:tcW w:type="dxa" w:w="4252"/>
          </w:tcPr>
          <w:p>
            <w:pPr>
              <w:jc w:val="right"/>
            </w:pPr>
            <w:r>
              <w:rPr>
                <w:sz w:val="18"/>
              </w:rPr>
              <w:t>2,49%</w:t>
            </w:r>
          </w:p>
        </w:tc>
      </w:tr>
      <w:tr>
        <w:tc>
          <w:tcPr>
            <w:tcW w:type="dxa" w:w="4252"/>
          </w:tcPr>
          <w:p>
            <w:pPr>
              <w:jc w:val="left"/>
            </w:pPr>
            <w:r>
              <w:rPr>
                <w:sz w:val="18"/>
              </w:rPr>
              <w:t>Tổng số lượng (Quantity)</w:t>
            </w:r>
          </w:p>
        </w:tc>
        <w:tc>
          <w:tcPr>
            <w:tcW w:type="dxa" w:w="4252"/>
          </w:tcPr>
          <w:p>
            <w:pPr>
              <w:jc w:val="right"/>
            </w:pPr>
            <w:r>
              <w:rPr>
                <w:sz w:val="18"/>
              </w:rPr>
              <w:t>8.028</w:t>
            </w:r>
          </w:p>
        </w:tc>
      </w:tr>
      <w:tr>
        <w:tc>
          <w:tcPr>
            <w:tcW w:type="dxa" w:w="4252"/>
          </w:tcPr>
          <w:p>
            <w:pPr>
              <w:jc w:val="left"/>
            </w:pPr>
            <w:r>
              <w:rPr>
                <w:sz w:val="18"/>
              </w:rPr>
              <w:t>Số đơn hàng duy nhất</w:t>
            </w:r>
          </w:p>
        </w:tc>
        <w:tc>
          <w:tcPr>
            <w:tcW w:type="dxa" w:w="4252"/>
          </w:tcPr>
          <w:p>
            <w:pPr>
              <w:jc w:val="right"/>
            </w:pPr>
            <w:r>
              <w:rPr>
                <w:sz w:val="18"/>
              </w:rPr>
              <w:t>1.764</w:t>
            </w:r>
          </w:p>
        </w:tc>
      </w:tr>
      <w:tr>
        <w:tc>
          <w:tcPr>
            <w:tcW w:type="dxa" w:w="4252"/>
          </w:tcPr>
          <w:p>
            <w:pPr>
              <w:jc w:val="left"/>
            </w:pPr>
            <w:r>
              <w:rPr>
                <w:sz w:val="18"/>
              </w:rPr>
              <w:t>Số khách hàng duy nhất</w:t>
            </w:r>
          </w:p>
        </w:tc>
        <w:tc>
          <w:tcPr>
            <w:tcW w:type="dxa" w:w="4252"/>
          </w:tcPr>
          <w:p>
            <w:pPr>
              <w:jc w:val="right"/>
            </w:pPr>
            <w:r>
              <w:rPr>
                <w:sz w:val="18"/>
              </w:rPr>
              <w:t>707</w:t>
            </w:r>
          </w:p>
        </w:tc>
      </w:tr>
      <w:tr>
        <w:tc>
          <w:tcPr>
            <w:tcW w:type="dxa" w:w="4252"/>
          </w:tcPr>
          <w:p>
            <w:pPr>
              <w:jc w:val="left"/>
            </w:pPr>
            <w:r>
              <w:rPr>
                <w:sz w:val="18"/>
              </w:rPr>
              <w:t>Giá trị đơn hàng trung bình (AOV)</w:t>
            </w:r>
          </w:p>
        </w:tc>
        <w:tc>
          <w:tcPr>
            <w:tcW w:type="dxa" w:w="4252"/>
          </w:tcPr>
          <w:p>
            <w:pPr>
              <w:jc w:val="right"/>
            </w:pPr>
            <w:r>
              <w:rPr>
                <w:sz w:val="18"/>
              </w:rPr>
              <w:t>$420,63</w:t>
            </w:r>
          </w:p>
        </w:tc>
      </w:tr>
      <w:tr>
        <w:tc>
          <w:tcPr>
            <w:tcW w:type="dxa" w:w="4252"/>
          </w:tcPr>
          <w:p>
            <w:pPr>
              <w:jc w:val="left"/>
            </w:pPr>
            <w:r>
              <w:rPr>
                <w:sz w:val="18"/>
              </w:rPr>
              <w:t>Lợi nhuận trung bình/đơn hàng</w:t>
            </w:r>
          </w:p>
        </w:tc>
        <w:tc>
          <w:tcPr>
            <w:tcW w:type="dxa" w:w="4252"/>
          </w:tcPr>
          <w:p>
            <w:pPr>
              <w:jc w:val="right"/>
            </w:pPr>
            <w:r>
              <w:rPr>
                <w:sz w:val="18"/>
              </w:rPr>
              <w:t>$10,46</w:t>
            </w:r>
          </w:p>
        </w:tc>
      </w:tr>
      <w:tr>
        <w:tc>
          <w:tcPr>
            <w:tcW w:type="dxa" w:w="4252"/>
          </w:tcPr>
          <w:p>
            <w:pPr>
              <w:jc w:val="left"/>
            </w:pPr>
            <w:r>
              <w:rPr>
                <w:sz w:val="18"/>
              </w:rPr>
              <w:t>Số dòng lỗ (Profit &lt; 0)</w:t>
            </w:r>
          </w:p>
        </w:tc>
        <w:tc>
          <w:tcPr>
            <w:tcW w:type="dxa" w:w="4252"/>
          </w:tcPr>
          <w:p>
            <w:pPr>
              <w:jc w:val="right"/>
            </w:pPr>
            <w:r>
              <w:rPr>
                <w:sz w:val="18"/>
              </w:rPr>
              <w:t>714 / 2.121</w:t>
            </w:r>
          </w:p>
        </w:tc>
      </w:tr>
      <w:tr>
        <w:tc>
          <w:tcPr>
            <w:tcW w:type="dxa" w:w="4252"/>
          </w:tcPr>
          <w:p>
            <w:pPr>
              <w:jc w:val="left"/>
            </w:pPr>
            <w:r>
              <w:rPr>
                <w:sz w:val="18"/>
              </w:rPr>
              <w:t>Tỷ lệ dòng lỗ</w:t>
            </w:r>
          </w:p>
        </w:tc>
        <w:tc>
          <w:tcPr>
            <w:tcW w:type="dxa" w:w="4252"/>
          </w:tcPr>
          <w:p>
            <w:pPr>
              <w:jc w:val="right"/>
            </w:pPr>
            <w:r>
              <w:rPr>
                <w:sz w:val="18"/>
              </w:rPr>
              <w:t>33,66%</w:t>
            </w:r>
          </w:p>
        </w:tc>
      </w:tr>
      <w:tr>
        <w:tc>
          <w:tcPr>
            <w:tcW w:type="dxa" w:w="4252"/>
          </w:tcPr>
          <w:p>
            <w:pPr>
              <w:jc w:val="left"/>
            </w:pPr>
            <w:r>
              <w:rPr>
                <w:sz w:val="18"/>
              </w:rPr>
              <w:t>Khách hàng có ≥2 đơn (repeat)</w:t>
            </w:r>
          </w:p>
        </w:tc>
        <w:tc>
          <w:tcPr>
            <w:tcW w:type="dxa" w:w="4252"/>
          </w:tcPr>
          <w:p>
            <w:pPr>
              <w:jc w:val="right"/>
            </w:pPr>
            <w:r>
              <w:rPr>
                <w:sz w:val="18"/>
              </w:rPr>
              <w:t>516 / 707 (72,99%)</w:t>
            </w:r>
          </w:p>
        </w:tc>
      </w:tr>
      <w:tr>
        <w:tc>
          <w:tcPr>
            <w:tcW w:type="dxa" w:w="4252"/>
          </w:tcPr>
          <w:p>
            <w:pPr>
              <w:jc w:val="left"/>
            </w:pPr>
            <w:r>
              <w:rPr>
                <w:sz w:val="18"/>
              </w:rPr>
              <w:t>Tỷ lệ đơn từ repeat customers</w:t>
            </w:r>
          </w:p>
        </w:tc>
        <w:tc>
          <w:tcPr>
            <w:tcW w:type="dxa" w:w="4252"/>
          </w:tcPr>
          <w:p>
            <w:pPr>
              <w:jc w:val="right"/>
            </w:pPr>
            <w:r>
              <w:rPr>
                <w:sz w:val="18"/>
              </w:rPr>
              <w:t>89,17%</w:t>
            </w:r>
          </w:p>
        </w:tc>
      </w:tr>
    </w:tbl>
    <w:p/>
    <w:p>
      <w:r>
        <w:rPr>
          <w:b/>
          <w:color w:val="1F497D"/>
          <w:sz w:val="22"/>
        </w:rPr>
        <w:t xml:space="preserve">Sự thật quan sát: </w:t>
      </w:r>
      <w:r>
        <w:rPr>
          <w:sz w:val="22"/>
        </w:rPr>
        <w:t>Biên lợi nhuận chỉ 2,49% là rất thấp cho ngành bán lẻ nội thất. 33,66% tổng dòng giao dịch bị lỗ, cho thấy lỗ là vấn đề cấu trúc cần xử lý, không phải ngoại lệ nhỏ.</w:t>
      </w:r>
    </w:p>
    <w:p>
      <w:r>
        <w:br w:type="page"/>
      </w:r>
    </w:p>
    <w:p>
      <w:pPr>
        <w:pStyle w:val="Heading2"/>
      </w:pPr>
      <w:r>
        <w:t>4.2. Hiệu quả điều hành theo thời gian (Nhóm A)</w:t>
      </w:r>
    </w:p>
    <w:p>
      <w:r>
        <w:rPr>
          <w:b/>
        </w:rPr>
        <w:t>A1. Doanh thu, lợi nhuận và biên biến động thế nào theo năm?</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Năm</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c>
          <w:tcPr>
            <w:tcW w:type="dxa" w:w="1417"/>
          </w:tcPr>
          <w:p>
            <w:pPr>
              <w:jc w:val="center"/>
            </w:pPr>
            <w:r>
              <w:rPr>
                <w:b/>
                <w:sz w:val="20"/>
              </w:rPr>
              <w:t>Tăng DT</w:t>
            </w:r>
          </w:p>
        </w:tc>
        <w:tc>
          <w:tcPr>
            <w:tcW w:type="dxa" w:w="1417"/>
          </w:tcPr>
          <w:p>
            <w:pPr>
              <w:jc w:val="center"/>
            </w:pPr>
            <w:r>
              <w:rPr>
                <w:b/>
                <w:sz w:val="20"/>
              </w:rPr>
              <w:t>Tăng LN</w:t>
            </w:r>
          </w:p>
        </w:tc>
      </w:tr>
      <w:tr>
        <w:tc>
          <w:tcPr>
            <w:tcW w:type="dxa" w:w="1417"/>
          </w:tcPr>
          <w:p>
            <w:pPr>
              <w:jc w:val="right"/>
            </w:pPr>
            <w:r>
              <w:rPr>
                <w:sz w:val="18"/>
              </w:rPr>
              <w:t>2014</w:t>
            </w:r>
          </w:p>
        </w:tc>
        <w:tc>
          <w:tcPr>
            <w:tcW w:type="dxa" w:w="1417"/>
          </w:tcPr>
          <w:p>
            <w:pPr>
              <w:jc w:val="right"/>
            </w:pPr>
            <w:r>
              <w:rPr>
                <w:sz w:val="18"/>
              </w:rPr>
              <w:t>$157.192,85</w:t>
            </w:r>
          </w:p>
        </w:tc>
        <w:tc>
          <w:tcPr>
            <w:tcW w:type="dxa" w:w="1417"/>
          </w:tcPr>
          <w:p>
            <w:pPr>
              <w:jc w:val="right"/>
            </w:pPr>
            <w:r>
              <w:rPr>
                <w:sz w:val="18"/>
              </w:rPr>
              <w:t>$5.457,73</w:t>
            </w:r>
          </w:p>
        </w:tc>
        <w:tc>
          <w:tcPr>
            <w:tcW w:type="dxa" w:w="1417"/>
          </w:tcPr>
          <w:p>
            <w:pPr>
              <w:jc w:val="right"/>
            </w:pPr>
            <w:r>
              <w:rPr>
                <w:sz w:val="18"/>
              </w:rPr>
              <w:t>3,47%</w:t>
            </w:r>
          </w:p>
        </w:tc>
        <w:tc>
          <w:tcPr>
            <w:tcW w:type="dxa" w:w="1417"/>
          </w:tcPr>
          <w:p>
            <w:pPr>
              <w:jc w:val="left"/>
            </w:pPr>
            <w:r>
              <w:rPr>
                <w:sz w:val="18"/>
              </w:rPr>
              <w:t>—</w:t>
            </w:r>
          </w:p>
        </w:tc>
        <w:tc>
          <w:tcPr>
            <w:tcW w:type="dxa" w:w="1417"/>
          </w:tcPr>
          <w:p>
            <w:pPr>
              <w:jc w:val="left"/>
            </w:pPr>
            <w:r>
              <w:rPr>
                <w:sz w:val="18"/>
              </w:rPr>
              <w:t>—</w:t>
            </w:r>
          </w:p>
        </w:tc>
      </w:tr>
      <w:tr>
        <w:tc>
          <w:tcPr>
            <w:tcW w:type="dxa" w:w="1417"/>
          </w:tcPr>
          <w:p>
            <w:pPr>
              <w:jc w:val="right"/>
            </w:pPr>
            <w:r>
              <w:rPr>
                <w:sz w:val="18"/>
              </w:rPr>
              <w:t>2015</w:t>
            </w:r>
          </w:p>
        </w:tc>
        <w:tc>
          <w:tcPr>
            <w:tcW w:type="dxa" w:w="1417"/>
          </w:tcPr>
          <w:p>
            <w:pPr>
              <w:jc w:val="right"/>
            </w:pPr>
            <w:r>
              <w:rPr>
                <w:sz w:val="18"/>
              </w:rPr>
              <w:t>$170.518,24</w:t>
            </w:r>
          </w:p>
        </w:tc>
        <w:tc>
          <w:tcPr>
            <w:tcW w:type="dxa" w:w="1417"/>
          </w:tcPr>
          <w:p>
            <w:pPr>
              <w:jc w:val="right"/>
            </w:pPr>
            <w:r>
              <w:rPr>
                <w:sz w:val="18"/>
              </w:rPr>
              <w:t>$3.015,20</w:t>
            </w:r>
          </w:p>
        </w:tc>
        <w:tc>
          <w:tcPr>
            <w:tcW w:type="dxa" w:w="1417"/>
          </w:tcPr>
          <w:p>
            <w:pPr>
              <w:jc w:val="right"/>
            </w:pPr>
            <w:r>
              <w:rPr>
                <w:sz w:val="18"/>
              </w:rPr>
              <w:t>1,77%</w:t>
            </w:r>
          </w:p>
        </w:tc>
        <w:tc>
          <w:tcPr>
            <w:tcW w:type="dxa" w:w="1417"/>
          </w:tcPr>
          <w:p>
            <w:pPr>
              <w:jc w:val="right"/>
            </w:pPr>
            <w:r>
              <w:rPr>
                <w:sz w:val="18"/>
              </w:rPr>
              <w:t>8,48%</w:t>
            </w:r>
          </w:p>
        </w:tc>
        <w:tc>
          <w:tcPr>
            <w:tcW w:type="dxa" w:w="1417"/>
          </w:tcPr>
          <w:p>
            <w:pPr>
              <w:jc w:val="right"/>
            </w:pPr>
            <w:r>
              <w:rPr>
                <w:sz w:val="18"/>
              </w:rPr>
              <w:t>-44,75%</w:t>
            </w:r>
          </w:p>
        </w:tc>
      </w:tr>
      <w:tr>
        <w:tc>
          <w:tcPr>
            <w:tcW w:type="dxa" w:w="1417"/>
          </w:tcPr>
          <w:p>
            <w:pPr>
              <w:jc w:val="right"/>
            </w:pPr>
            <w:r>
              <w:rPr>
                <w:sz w:val="18"/>
              </w:rPr>
              <w:t>2016</w:t>
            </w:r>
          </w:p>
        </w:tc>
        <w:tc>
          <w:tcPr>
            <w:tcW w:type="dxa" w:w="1417"/>
          </w:tcPr>
          <w:p>
            <w:pPr>
              <w:jc w:val="right"/>
            </w:pPr>
            <w:r>
              <w:rPr>
                <w:sz w:val="18"/>
              </w:rPr>
              <w:t>$198.901,44</w:t>
            </w:r>
          </w:p>
        </w:tc>
        <w:tc>
          <w:tcPr>
            <w:tcW w:type="dxa" w:w="1417"/>
          </w:tcPr>
          <w:p>
            <w:pPr>
              <w:jc w:val="right"/>
            </w:pPr>
            <w:r>
              <w:rPr>
                <w:sz w:val="18"/>
              </w:rPr>
              <w:t>$6.959,95</w:t>
            </w:r>
          </w:p>
        </w:tc>
        <w:tc>
          <w:tcPr>
            <w:tcW w:type="dxa" w:w="1417"/>
          </w:tcPr>
          <w:p>
            <w:pPr>
              <w:jc w:val="right"/>
            </w:pPr>
            <w:r>
              <w:rPr>
                <w:sz w:val="18"/>
              </w:rPr>
              <w:t>3,50%</w:t>
            </w:r>
          </w:p>
        </w:tc>
        <w:tc>
          <w:tcPr>
            <w:tcW w:type="dxa" w:w="1417"/>
          </w:tcPr>
          <w:p>
            <w:pPr>
              <w:jc w:val="right"/>
            </w:pPr>
            <w:r>
              <w:rPr>
                <w:sz w:val="18"/>
              </w:rPr>
              <w:t>16,65%</w:t>
            </w:r>
          </w:p>
        </w:tc>
        <w:tc>
          <w:tcPr>
            <w:tcW w:type="dxa" w:w="1417"/>
          </w:tcPr>
          <w:p>
            <w:pPr>
              <w:jc w:val="right"/>
            </w:pPr>
            <w:r>
              <w:rPr>
                <w:sz w:val="18"/>
              </w:rPr>
              <w:t>130,83%</w:t>
            </w:r>
          </w:p>
        </w:tc>
      </w:tr>
      <w:tr>
        <w:tc>
          <w:tcPr>
            <w:tcW w:type="dxa" w:w="1417"/>
          </w:tcPr>
          <w:p>
            <w:pPr>
              <w:jc w:val="right"/>
            </w:pPr>
            <w:r>
              <w:rPr>
                <w:sz w:val="18"/>
              </w:rPr>
              <w:t>2017</w:t>
            </w:r>
          </w:p>
        </w:tc>
        <w:tc>
          <w:tcPr>
            <w:tcW w:type="dxa" w:w="1417"/>
          </w:tcPr>
          <w:p>
            <w:pPr>
              <w:jc w:val="right"/>
            </w:pPr>
            <w:r>
              <w:rPr>
                <w:sz w:val="18"/>
              </w:rPr>
              <w:t>$215.387,27</w:t>
            </w:r>
          </w:p>
        </w:tc>
        <w:tc>
          <w:tcPr>
            <w:tcW w:type="dxa" w:w="1417"/>
          </w:tcPr>
          <w:p>
            <w:pPr>
              <w:jc w:val="right"/>
            </w:pPr>
            <w:r>
              <w:rPr>
                <w:sz w:val="18"/>
              </w:rPr>
              <w:t>$3.018,39</w:t>
            </w:r>
          </w:p>
        </w:tc>
        <w:tc>
          <w:tcPr>
            <w:tcW w:type="dxa" w:w="1417"/>
          </w:tcPr>
          <w:p>
            <w:pPr>
              <w:jc w:val="right"/>
            </w:pPr>
            <w:r>
              <w:rPr>
                <w:sz w:val="18"/>
              </w:rPr>
              <w:t>1,40%</w:t>
            </w:r>
          </w:p>
        </w:tc>
        <w:tc>
          <w:tcPr>
            <w:tcW w:type="dxa" w:w="1417"/>
          </w:tcPr>
          <w:p>
            <w:pPr>
              <w:jc w:val="right"/>
            </w:pPr>
            <w:r>
              <w:rPr>
                <w:sz w:val="18"/>
              </w:rPr>
              <w:t>8,29%</w:t>
            </w:r>
          </w:p>
        </w:tc>
        <w:tc>
          <w:tcPr>
            <w:tcW w:type="dxa" w:w="1417"/>
          </w:tcPr>
          <w:p>
            <w:pPr>
              <w:jc w:val="right"/>
            </w:pPr>
            <w:r>
              <w:rPr>
                <w:sz w:val="18"/>
              </w:rPr>
              <w:t>-56,63%</w:t>
            </w:r>
          </w:p>
        </w:tc>
      </w:tr>
    </w:tbl>
    <w:p/>
    <w:p>
      <w:r>
        <w:rPr>
          <w:b/>
          <w:color w:val="1F497D"/>
          <w:sz w:val="22"/>
        </w:rPr>
        <w:t xml:space="preserve">Sự thật quan sát: </w:t>
      </w:r>
      <w:r>
        <w:rPr>
          <w:sz w:val="22"/>
        </w:rPr>
        <w:t>Doanh thu tăng liên tục 37% từ 2014-2017, nhưng lợi nhuận không tăng theo tỷ lệ. Năm 2015 lợi nhuận giảm 44,75%. Năm 2017 đạt doanh thu cao nhất ($215.387) nhưng biên lợi nhuận thấp nhất (1,40%).</w:t>
      </w:r>
    </w:p>
    <w:p>
      <w:pPr>
        <w:jc w:val="center"/>
      </w:pPr>
      <w:r>
        <w:drawing>
          <wp:inline xmlns:a="http://schemas.openxmlformats.org/drawingml/2006/main" xmlns:pic="http://schemas.openxmlformats.org/drawingml/2006/picture">
            <wp:extent cx="5029200" cy="3125972"/>
            <wp:docPr id="1" name="Picture 1"/>
            <wp:cNvGraphicFramePr>
              <a:graphicFrameLocks noChangeAspect="1"/>
            </wp:cNvGraphicFramePr>
            <a:graphic>
              <a:graphicData uri="http://schemas.openxmlformats.org/drawingml/2006/picture">
                <pic:pic>
                  <pic:nvPicPr>
                    <pic:cNvPr id="0" name="sales_margin_by_year.png"/>
                    <pic:cNvPicPr/>
                  </pic:nvPicPr>
                  <pic:blipFill>
                    <a:blip r:embed="rId9"/>
                    <a:stretch>
                      <a:fillRect/>
                    </a:stretch>
                  </pic:blipFill>
                  <pic:spPr>
                    <a:xfrm>
                      <a:off x="0" y="0"/>
                      <a:ext cx="5029200" cy="3125972"/>
                    </a:xfrm>
                    <a:prstGeom prst="rect"/>
                  </pic:spPr>
                </pic:pic>
              </a:graphicData>
            </a:graphic>
          </wp:inline>
        </w:drawing>
      </w:r>
    </w:p>
    <w:p>
      <w:pPr>
        <w:jc w:val="center"/>
      </w:pPr>
      <w:r>
        <w:rPr>
          <w:i/>
          <w:sz w:val="18"/>
        </w:rPr>
        <w:t>Hình 1: Doanh thu và biên lợi nhuận theo năm</w:t>
      </w:r>
    </w:p>
    <w:p/>
    <w:p>
      <w:r>
        <w:rPr>
          <w:b/>
        </w:rPr>
        <w:t>A1 (tiếp). Xu hướng doanh thu và lợi nhuận theo tháng:</w:t>
      </w:r>
    </w:p>
    <w:p>
      <w:pPr>
        <w:jc w:val="center"/>
      </w:pPr>
      <w:r>
        <w:drawing>
          <wp:inline xmlns:a="http://schemas.openxmlformats.org/drawingml/2006/main" xmlns:pic="http://schemas.openxmlformats.org/drawingml/2006/picture">
            <wp:extent cx="5029200" cy="2271252"/>
            <wp:docPr id="2" name="Picture 2"/>
            <wp:cNvGraphicFramePr>
              <a:graphicFrameLocks noChangeAspect="1"/>
            </wp:cNvGraphicFramePr>
            <a:graphic>
              <a:graphicData uri="http://schemas.openxmlformats.org/drawingml/2006/picture">
                <pic:pic>
                  <pic:nvPicPr>
                    <pic:cNvPr id="0" name="monthly_sales_profit.png"/>
                    <pic:cNvPicPr/>
                  </pic:nvPicPr>
                  <pic:blipFill>
                    <a:blip r:embed="rId10"/>
                    <a:stretch>
                      <a:fillRect/>
                    </a:stretch>
                  </pic:blipFill>
                  <pic:spPr>
                    <a:xfrm>
                      <a:off x="0" y="0"/>
                      <a:ext cx="5029200" cy="2271252"/>
                    </a:xfrm>
                    <a:prstGeom prst="rect"/>
                  </pic:spPr>
                </pic:pic>
              </a:graphicData>
            </a:graphic>
          </wp:inline>
        </w:drawing>
      </w:r>
    </w:p>
    <w:p>
      <w:pPr>
        <w:jc w:val="center"/>
      </w:pPr>
      <w:r>
        <w:rPr>
          <w:i/>
          <w:sz w:val="18"/>
        </w:rPr>
        <w:t>Hình 2: Xu hướng doanh thu và lợi nhuận theo tháng (2014-2017)</w:t>
      </w:r>
    </w:p>
    <w:p/>
    <w:p>
      <w:r>
        <w:rPr>
          <w:b/>
        </w:rPr>
        <w:t>A2-A3. Tăng trưởng doanh thu có chuyển thành tăng trưởng lợi nhuận không?</w:t>
      </w:r>
    </w:p>
    <w:p>
      <w:r>
        <w:t>Các kỳ dưới đây có doanh thu xếp hạng cao hơn nhiều so với lợi nhuận (divergence score = sales_rank − profit_rank):</w:t>
      </w:r>
    </w:p>
    <w:tbl>
      <w:tblPr>
        <w:tblStyle w:val="LightGrid-Accent1"/>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jc w:val="center"/>
            </w:pPr>
            <w:r>
              <w:rPr>
                <w:b/>
                <w:sz w:val="20"/>
              </w:rPr>
              <w:t>Tháng</w:t>
            </w:r>
          </w:p>
        </w:tc>
        <w:tc>
          <w:tcPr>
            <w:tcW w:type="dxa" w:w="1215"/>
          </w:tcPr>
          <w:p>
            <w:pPr>
              <w:jc w:val="center"/>
            </w:pPr>
            <w:r>
              <w:rPr>
                <w:b/>
                <w:sz w:val="20"/>
              </w:rPr>
              <w:t>Doanh thu</w:t>
            </w:r>
          </w:p>
        </w:tc>
        <w:tc>
          <w:tcPr>
            <w:tcW w:type="dxa" w:w="1215"/>
          </w:tcPr>
          <w:p>
            <w:pPr>
              <w:jc w:val="center"/>
            </w:pPr>
            <w:r>
              <w:rPr>
                <w:b/>
                <w:sz w:val="20"/>
              </w:rPr>
              <w:t>Lợi nhuận</w:t>
            </w:r>
          </w:p>
        </w:tc>
        <w:tc>
          <w:tcPr>
            <w:tcW w:type="dxa" w:w="1215"/>
          </w:tcPr>
          <w:p>
            <w:pPr>
              <w:jc w:val="center"/>
            </w:pPr>
            <w:r>
              <w:rPr>
                <w:b/>
                <w:sz w:val="20"/>
              </w:rPr>
              <w:t>Biên %</w:t>
            </w:r>
          </w:p>
        </w:tc>
        <w:tc>
          <w:tcPr>
            <w:tcW w:type="dxa" w:w="1215"/>
          </w:tcPr>
          <w:p>
            <w:pPr>
              <w:jc w:val="center"/>
            </w:pPr>
            <w:r>
              <w:rPr>
                <w:b/>
                <w:sz w:val="20"/>
              </w:rPr>
              <w:t>Sales Rank</w:t>
            </w:r>
          </w:p>
        </w:tc>
        <w:tc>
          <w:tcPr>
            <w:tcW w:type="dxa" w:w="1215"/>
          </w:tcPr>
          <w:p>
            <w:pPr>
              <w:jc w:val="center"/>
            </w:pPr>
            <w:r>
              <w:rPr>
                <w:b/>
                <w:sz w:val="20"/>
              </w:rPr>
              <w:t>Profit Rank</w:t>
            </w:r>
          </w:p>
        </w:tc>
        <w:tc>
          <w:tcPr>
            <w:tcW w:type="dxa" w:w="1215"/>
          </w:tcPr>
          <w:p>
            <w:pPr>
              <w:jc w:val="center"/>
            </w:pPr>
            <w:r>
              <w:rPr>
                <w:b/>
                <w:sz w:val="20"/>
              </w:rPr>
              <w:t>Divergence</w:t>
            </w:r>
          </w:p>
        </w:tc>
      </w:tr>
      <w:tr>
        <w:tc>
          <w:tcPr>
            <w:tcW w:type="dxa" w:w="1215"/>
          </w:tcPr>
          <w:p>
            <w:pPr>
              <w:jc w:val="right"/>
            </w:pPr>
            <w:r>
              <w:rPr>
                <w:sz w:val="18"/>
              </w:rPr>
              <w:t>2017-10</w:t>
            </w:r>
          </w:p>
        </w:tc>
        <w:tc>
          <w:tcPr>
            <w:tcW w:type="dxa" w:w="1215"/>
          </w:tcPr>
          <w:p>
            <w:pPr>
              <w:jc w:val="right"/>
            </w:pPr>
            <w:r>
              <w:rPr>
                <w:sz w:val="18"/>
              </w:rPr>
              <w:t>$21.884,07</w:t>
            </w:r>
          </w:p>
        </w:tc>
        <w:tc>
          <w:tcPr>
            <w:tcW w:type="dxa" w:w="1215"/>
          </w:tcPr>
          <w:p>
            <w:pPr>
              <w:jc w:val="right"/>
            </w:pPr>
            <w:r>
              <w:rPr>
                <w:sz w:val="18"/>
              </w:rPr>
              <w:t>$-2.526,92</w:t>
            </w:r>
          </w:p>
        </w:tc>
        <w:tc>
          <w:tcPr>
            <w:tcW w:type="dxa" w:w="1215"/>
          </w:tcPr>
          <w:p>
            <w:pPr>
              <w:jc w:val="right"/>
            </w:pPr>
            <w:r>
              <w:rPr>
                <w:sz w:val="18"/>
              </w:rPr>
              <w:t>-11,55%</w:t>
            </w:r>
          </w:p>
        </w:tc>
        <w:tc>
          <w:tcPr>
            <w:tcW w:type="dxa" w:w="1215"/>
          </w:tcPr>
          <w:p>
            <w:pPr>
              <w:jc w:val="right"/>
            </w:pPr>
            <w:r>
              <w:rPr>
                <w:sz w:val="18"/>
              </w:rPr>
              <w:t>12</w:t>
            </w:r>
          </w:p>
        </w:tc>
        <w:tc>
          <w:tcPr>
            <w:tcW w:type="dxa" w:w="1215"/>
          </w:tcPr>
          <w:p>
            <w:pPr>
              <w:jc w:val="right"/>
            </w:pPr>
            <w:r>
              <w:rPr>
                <w:sz w:val="18"/>
              </w:rPr>
              <w:t>47</w:t>
            </w:r>
          </w:p>
        </w:tc>
        <w:tc>
          <w:tcPr>
            <w:tcW w:type="dxa" w:w="1215"/>
          </w:tcPr>
          <w:p>
            <w:pPr>
              <w:jc w:val="right"/>
            </w:pPr>
            <w:r>
              <w:rPr>
                <w:sz w:val="18"/>
              </w:rPr>
              <w:t>35</w:t>
            </w:r>
          </w:p>
        </w:tc>
      </w:tr>
      <w:tr>
        <w:tc>
          <w:tcPr>
            <w:tcW w:type="dxa" w:w="1215"/>
          </w:tcPr>
          <w:p>
            <w:pPr>
              <w:jc w:val="right"/>
            </w:pPr>
            <w:r>
              <w:rPr>
                <w:sz w:val="18"/>
              </w:rPr>
              <w:t>2014-03</w:t>
            </w:r>
          </w:p>
        </w:tc>
        <w:tc>
          <w:tcPr>
            <w:tcW w:type="dxa" w:w="1215"/>
          </w:tcPr>
          <w:p>
            <w:pPr>
              <w:jc w:val="right"/>
            </w:pPr>
            <w:r>
              <w:rPr>
                <w:sz w:val="18"/>
              </w:rPr>
              <w:t>$14.573,96</w:t>
            </w:r>
          </w:p>
        </w:tc>
        <w:tc>
          <w:tcPr>
            <w:tcW w:type="dxa" w:w="1215"/>
          </w:tcPr>
          <w:p>
            <w:pPr>
              <w:jc w:val="right"/>
            </w:pPr>
            <w:r>
              <w:rPr>
                <w:sz w:val="18"/>
              </w:rPr>
              <w:t>$-1.128,65</w:t>
            </w:r>
          </w:p>
        </w:tc>
        <w:tc>
          <w:tcPr>
            <w:tcW w:type="dxa" w:w="1215"/>
          </w:tcPr>
          <w:p>
            <w:pPr>
              <w:jc w:val="right"/>
            </w:pPr>
            <w:r>
              <w:rPr>
                <w:sz w:val="18"/>
              </w:rPr>
              <w:t>-7,74%</w:t>
            </w:r>
          </w:p>
        </w:tc>
        <w:tc>
          <w:tcPr>
            <w:tcW w:type="dxa" w:w="1215"/>
          </w:tcPr>
          <w:p>
            <w:pPr>
              <w:jc w:val="right"/>
            </w:pPr>
            <w:r>
              <w:rPr>
                <w:sz w:val="18"/>
              </w:rPr>
              <w:t>18</w:t>
            </w:r>
          </w:p>
        </w:tc>
        <w:tc>
          <w:tcPr>
            <w:tcW w:type="dxa" w:w="1215"/>
          </w:tcPr>
          <w:p>
            <w:pPr>
              <w:jc w:val="right"/>
            </w:pPr>
            <w:r>
              <w:rPr>
                <w:sz w:val="18"/>
              </w:rPr>
              <w:t>46</w:t>
            </w:r>
          </w:p>
        </w:tc>
        <w:tc>
          <w:tcPr>
            <w:tcW w:type="dxa" w:w="1215"/>
          </w:tcPr>
          <w:p>
            <w:pPr>
              <w:jc w:val="right"/>
            </w:pPr>
            <w:r>
              <w:rPr>
                <w:sz w:val="18"/>
              </w:rPr>
              <w:t>28</w:t>
            </w:r>
          </w:p>
        </w:tc>
      </w:tr>
      <w:tr>
        <w:tc>
          <w:tcPr>
            <w:tcW w:type="dxa" w:w="1215"/>
          </w:tcPr>
          <w:p>
            <w:pPr>
              <w:jc w:val="right"/>
            </w:pPr>
            <w:r>
              <w:rPr>
                <w:sz w:val="18"/>
              </w:rPr>
              <w:t>2014-11</w:t>
            </w:r>
          </w:p>
        </w:tc>
        <w:tc>
          <w:tcPr>
            <w:tcW w:type="dxa" w:w="1215"/>
          </w:tcPr>
          <w:p>
            <w:pPr>
              <w:jc w:val="right"/>
            </w:pPr>
            <w:r>
              <w:rPr>
                <w:sz w:val="18"/>
              </w:rPr>
              <w:t>$21.564,87</w:t>
            </w:r>
          </w:p>
        </w:tc>
        <w:tc>
          <w:tcPr>
            <w:tcW w:type="dxa" w:w="1215"/>
          </w:tcPr>
          <w:p>
            <w:pPr>
              <w:jc w:val="right"/>
            </w:pPr>
            <w:r>
              <w:rPr>
                <w:sz w:val="18"/>
              </w:rPr>
              <w:t>$-297,90</w:t>
            </w:r>
          </w:p>
        </w:tc>
        <w:tc>
          <w:tcPr>
            <w:tcW w:type="dxa" w:w="1215"/>
          </w:tcPr>
          <w:p>
            <w:pPr>
              <w:jc w:val="right"/>
            </w:pPr>
            <w:r>
              <w:rPr>
                <w:sz w:val="18"/>
              </w:rPr>
              <w:t>-1,38%</w:t>
            </w:r>
          </w:p>
        </w:tc>
        <w:tc>
          <w:tcPr>
            <w:tcW w:type="dxa" w:w="1215"/>
          </w:tcPr>
          <w:p>
            <w:pPr>
              <w:jc w:val="right"/>
            </w:pPr>
            <w:r>
              <w:rPr>
                <w:sz w:val="18"/>
              </w:rPr>
              <w:t>13</w:t>
            </w:r>
          </w:p>
        </w:tc>
        <w:tc>
          <w:tcPr>
            <w:tcW w:type="dxa" w:w="1215"/>
          </w:tcPr>
          <w:p>
            <w:pPr>
              <w:jc w:val="right"/>
            </w:pPr>
            <w:r>
              <w:rPr>
                <w:sz w:val="18"/>
              </w:rPr>
              <w:t>38</w:t>
            </w:r>
          </w:p>
        </w:tc>
        <w:tc>
          <w:tcPr>
            <w:tcW w:type="dxa" w:w="1215"/>
          </w:tcPr>
          <w:p>
            <w:pPr>
              <w:jc w:val="right"/>
            </w:pPr>
            <w:r>
              <w:rPr>
                <w:sz w:val="18"/>
              </w:rPr>
              <w:t>25</w:t>
            </w:r>
          </w:p>
        </w:tc>
      </w:tr>
      <w:tr>
        <w:tc>
          <w:tcPr>
            <w:tcW w:type="dxa" w:w="1215"/>
          </w:tcPr>
          <w:p>
            <w:pPr>
              <w:jc w:val="right"/>
            </w:pPr>
            <w:r>
              <w:rPr>
                <w:sz w:val="18"/>
              </w:rPr>
              <w:t>2017-11</w:t>
            </w:r>
          </w:p>
        </w:tc>
        <w:tc>
          <w:tcPr>
            <w:tcW w:type="dxa" w:w="1215"/>
          </w:tcPr>
          <w:p>
            <w:pPr>
              <w:jc w:val="right"/>
            </w:pPr>
            <w:r>
              <w:rPr>
                <w:sz w:val="18"/>
              </w:rPr>
              <w:t>$37.056,72</w:t>
            </w:r>
          </w:p>
        </w:tc>
        <w:tc>
          <w:tcPr>
            <w:tcW w:type="dxa" w:w="1215"/>
          </w:tcPr>
          <w:p>
            <w:pPr>
              <w:jc w:val="right"/>
            </w:pPr>
            <w:r>
              <w:rPr>
                <w:sz w:val="18"/>
              </w:rPr>
              <w:t>$406,06</w:t>
            </w:r>
          </w:p>
        </w:tc>
        <w:tc>
          <w:tcPr>
            <w:tcW w:type="dxa" w:w="1215"/>
          </w:tcPr>
          <w:p>
            <w:pPr>
              <w:jc w:val="right"/>
            </w:pPr>
            <w:r>
              <w:rPr>
                <w:sz w:val="18"/>
              </w:rPr>
              <w:t>1,10%</w:t>
            </w:r>
          </w:p>
        </w:tc>
        <w:tc>
          <w:tcPr>
            <w:tcW w:type="dxa" w:w="1215"/>
          </w:tcPr>
          <w:p>
            <w:pPr>
              <w:jc w:val="right"/>
            </w:pPr>
            <w:r>
              <w:rPr>
                <w:sz w:val="18"/>
              </w:rPr>
              <w:t>1</w:t>
            </w:r>
          </w:p>
        </w:tc>
        <w:tc>
          <w:tcPr>
            <w:tcW w:type="dxa" w:w="1215"/>
          </w:tcPr>
          <w:p>
            <w:pPr>
              <w:jc w:val="right"/>
            </w:pPr>
            <w:r>
              <w:rPr>
                <w:sz w:val="18"/>
              </w:rPr>
              <w:t>21</w:t>
            </w:r>
          </w:p>
        </w:tc>
        <w:tc>
          <w:tcPr>
            <w:tcW w:type="dxa" w:w="1215"/>
          </w:tcPr>
          <w:p>
            <w:pPr>
              <w:jc w:val="right"/>
            </w:pPr>
            <w:r>
              <w:rPr>
                <w:sz w:val="18"/>
              </w:rPr>
              <w:t>20</w:t>
            </w:r>
          </w:p>
        </w:tc>
      </w:tr>
      <w:tr>
        <w:tc>
          <w:tcPr>
            <w:tcW w:type="dxa" w:w="1215"/>
          </w:tcPr>
          <w:p>
            <w:pPr>
              <w:jc w:val="right"/>
            </w:pPr>
            <w:r>
              <w:rPr>
                <w:sz w:val="18"/>
              </w:rPr>
              <w:t>2015-07</w:t>
            </w:r>
          </w:p>
        </w:tc>
        <w:tc>
          <w:tcPr>
            <w:tcW w:type="dxa" w:w="1215"/>
          </w:tcPr>
          <w:p>
            <w:pPr>
              <w:jc w:val="right"/>
            </w:pPr>
            <w:r>
              <w:rPr>
                <w:sz w:val="18"/>
              </w:rPr>
              <w:t>$13.674,42</w:t>
            </w:r>
          </w:p>
        </w:tc>
        <w:tc>
          <w:tcPr>
            <w:tcW w:type="dxa" w:w="1215"/>
          </w:tcPr>
          <w:p>
            <w:pPr>
              <w:jc w:val="right"/>
            </w:pPr>
            <w:r>
              <w:rPr>
                <w:sz w:val="18"/>
              </w:rPr>
              <w:t>$-325,09</w:t>
            </w:r>
          </w:p>
        </w:tc>
        <w:tc>
          <w:tcPr>
            <w:tcW w:type="dxa" w:w="1215"/>
          </w:tcPr>
          <w:p>
            <w:pPr>
              <w:jc w:val="right"/>
            </w:pPr>
            <w:r>
              <w:rPr>
                <w:sz w:val="18"/>
              </w:rPr>
              <w:t>-2,38%</w:t>
            </w:r>
          </w:p>
        </w:tc>
        <w:tc>
          <w:tcPr>
            <w:tcW w:type="dxa" w:w="1215"/>
          </w:tcPr>
          <w:p>
            <w:pPr>
              <w:jc w:val="right"/>
            </w:pPr>
            <w:r>
              <w:rPr>
                <w:sz w:val="18"/>
              </w:rPr>
              <w:t>19</w:t>
            </w:r>
          </w:p>
        </w:tc>
        <w:tc>
          <w:tcPr>
            <w:tcW w:type="dxa" w:w="1215"/>
          </w:tcPr>
          <w:p>
            <w:pPr>
              <w:jc w:val="right"/>
            </w:pPr>
            <w:r>
              <w:rPr>
                <w:sz w:val="18"/>
              </w:rPr>
              <w:t>39</w:t>
            </w:r>
          </w:p>
        </w:tc>
        <w:tc>
          <w:tcPr>
            <w:tcW w:type="dxa" w:w="1215"/>
          </w:tcPr>
          <w:p>
            <w:pPr>
              <w:jc w:val="right"/>
            </w:pPr>
            <w:r>
              <w:rPr>
                <w:sz w:val="18"/>
              </w:rPr>
              <w:t>20</w:t>
            </w:r>
          </w:p>
        </w:tc>
      </w:tr>
      <w:tr>
        <w:tc>
          <w:tcPr>
            <w:tcW w:type="dxa" w:w="1215"/>
          </w:tcPr>
          <w:p>
            <w:pPr>
              <w:jc w:val="right"/>
            </w:pPr>
            <w:r>
              <w:rPr>
                <w:sz w:val="18"/>
              </w:rPr>
              <w:t>2016-03</w:t>
            </w:r>
          </w:p>
        </w:tc>
        <w:tc>
          <w:tcPr>
            <w:tcW w:type="dxa" w:w="1215"/>
          </w:tcPr>
          <w:p>
            <w:pPr>
              <w:jc w:val="right"/>
            </w:pPr>
            <w:r>
              <w:rPr>
                <w:sz w:val="18"/>
              </w:rPr>
              <w:t>$12.801,09</w:t>
            </w:r>
          </w:p>
        </w:tc>
        <w:tc>
          <w:tcPr>
            <w:tcW w:type="dxa" w:w="1215"/>
          </w:tcPr>
          <w:p>
            <w:pPr>
              <w:jc w:val="right"/>
            </w:pPr>
            <w:r>
              <w:rPr>
                <w:sz w:val="18"/>
              </w:rPr>
              <w:t>$-555,27</w:t>
            </w:r>
          </w:p>
        </w:tc>
        <w:tc>
          <w:tcPr>
            <w:tcW w:type="dxa" w:w="1215"/>
          </w:tcPr>
          <w:p>
            <w:pPr>
              <w:jc w:val="right"/>
            </w:pPr>
            <w:r>
              <w:rPr>
                <w:sz w:val="18"/>
              </w:rPr>
              <w:t>-4,34%</w:t>
            </w:r>
          </w:p>
        </w:tc>
        <w:tc>
          <w:tcPr>
            <w:tcW w:type="dxa" w:w="1215"/>
          </w:tcPr>
          <w:p>
            <w:pPr>
              <w:jc w:val="right"/>
            </w:pPr>
            <w:r>
              <w:rPr>
                <w:sz w:val="18"/>
              </w:rPr>
              <w:t>24</w:t>
            </w:r>
          </w:p>
        </w:tc>
        <w:tc>
          <w:tcPr>
            <w:tcW w:type="dxa" w:w="1215"/>
          </w:tcPr>
          <w:p>
            <w:pPr>
              <w:jc w:val="right"/>
            </w:pPr>
            <w:r>
              <w:rPr>
                <w:sz w:val="18"/>
              </w:rPr>
              <w:t>44</w:t>
            </w:r>
          </w:p>
        </w:tc>
        <w:tc>
          <w:tcPr>
            <w:tcW w:type="dxa" w:w="1215"/>
          </w:tcPr>
          <w:p>
            <w:pPr>
              <w:jc w:val="right"/>
            </w:pPr>
            <w:r>
              <w:rPr>
                <w:sz w:val="18"/>
              </w:rPr>
              <w:t>20</w:t>
            </w:r>
          </w:p>
        </w:tc>
      </w:tr>
      <w:tr>
        <w:tc>
          <w:tcPr>
            <w:tcW w:type="dxa" w:w="1215"/>
          </w:tcPr>
          <w:p>
            <w:pPr>
              <w:jc w:val="right"/>
            </w:pPr>
            <w:r>
              <w:rPr>
                <w:sz w:val="18"/>
              </w:rPr>
              <w:t>2017-05</w:t>
            </w:r>
          </w:p>
        </w:tc>
        <w:tc>
          <w:tcPr>
            <w:tcW w:type="dxa" w:w="1215"/>
          </w:tcPr>
          <w:p>
            <w:pPr>
              <w:jc w:val="right"/>
            </w:pPr>
            <w:r>
              <w:rPr>
                <w:sz w:val="18"/>
              </w:rPr>
              <w:t>$16.957,56</w:t>
            </w:r>
          </w:p>
        </w:tc>
        <w:tc>
          <w:tcPr>
            <w:tcW w:type="dxa" w:w="1215"/>
          </w:tcPr>
          <w:p>
            <w:pPr>
              <w:jc w:val="right"/>
            </w:pPr>
            <w:r>
              <w:rPr>
                <w:sz w:val="18"/>
              </w:rPr>
              <w:t>$-72,88</w:t>
            </w:r>
          </w:p>
        </w:tc>
        <w:tc>
          <w:tcPr>
            <w:tcW w:type="dxa" w:w="1215"/>
          </w:tcPr>
          <w:p>
            <w:pPr>
              <w:jc w:val="right"/>
            </w:pPr>
            <w:r>
              <w:rPr>
                <w:sz w:val="18"/>
              </w:rPr>
              <w:t>-0,43%</w:t>
            </w:r>
          </w:p>
        </w:tc>
        <w:tc>
          <w:tcPr>
            <w:tcW w:type="dxa" w:w="1215"/>
          </w:tcPr>
          <w:p>
            <w:pPr>
              <w:jc w:val="right"/>
            </w:pPr>
            <w:r>
              <w:rPr>
                <w:sz w:val="18"/>
              </w:rPr>
              <w:t>15</w:t>
            </w:r>
          </w:p>
        </w:tc>
        <w:tc>
          <w:tcPr>
            <w:tcW w:type="dxa" w:w="1215"/>
          </w:tcPr>
          <w:p>
            <w:pPr>
              <w:jc w:val="right"/>
            </w:pPr>
            <w:r>
              <w:rPr>
                <w:sz w:val="18"/>
              </w:rPr>
              <w:t>34</w:t>
            </w:r>
          </w:p>
        </w:tc>
        <w:tc>
          <w:tcPr>
            <w:tcW w:type="dxa" w:w="1215"/>
          </w:tcPr>
          <w:p>
            <w:pPr>
              <w:jc w:val="right"/>
            </w:pPr>
            <w:r>
              <w:rPr>
                <w:sz w:val="18"/>
              </w:rPr>
              <w:t>19</w:t>
            </w:r>
          </w:p>
        </w:tc>
      </w:tr>
      <w:tr>
        <w:tc>
          <w:tcPr>
            <w:tcW w:type="dxa" w:w="1215"/>
          </w:tcPr>
          <w:p>
            <w:pPr>
              <w:jc w:val="right"/>
            </w:pPr>
            <w:r>
              <w:rPr>
                <w:sz w:val="18"/>
              </w:rPr>
              <w:t>2016-08</w:t>
            </w:r>
          </w:p>
        </w:tc>
        <w:tc>
          <w:tcPr>
            <w:tcW w:type="dxa" w:w="1215"/>
          </w:tcPr>
          <w:p>
            <w:pPr>
              <w:jc w:val="right"/>
            </w:pPr>
            <w:r>
              <w:rPr>
                <w:sz w:val="18"/>
              </w:rPr>
              <w:t>$12.483,23</w:t>
            </w:r>
          </w:p>
        </w:tc>
        <w:tc>
          <w:tcPr>
            <w:tcW w:type="dxa" w:w="1215"/>
          </w:tcPr>
          <w:p>
            <w:pPr>
              <w:jc w:val="right"/>
            </w:pPr>
            <w:r>
              <w:rPr>
                <w:sz w:val="18"/>
              </w:rPr>
              <w:t>$-494,15</w:t>
            </w:r>
          </w:p>
        </w:tc>
        <w:tc>
          <w:tcPr>
            <w:tcW w:type="dxa" w:w="1215"/>
          </w:tcPr>
          <w:p>
            <w:pPr>
              <w:jc w:val="right"/>
            </w:pPr>
            <w:r>
              <w:rPr>
                <w:sz w:val="18"/>
              </w:rPr>
              <w:t>-3,96%</w:t>
            </w:r>
          </w:p>
        </w:tc>
        <w:tc>
          <w:tcPr>
            <w:tcW w:type="dxa" w:w="1215"/>
          </w:tcPr>
          <w:p>
            <w:pPr>
              <w:jc w:val="right"/>
            </w:pPr>
            <w:r>
              <w:rPr>
                <w:sz w:val="18"/>
              </w:rPr>
              <w:t>26</w:t>
            </w:r>
          </w:p>
        </w:tc>
        <w:tc>
          <w:tcPr>
            <w:tcW w:type="dxa" w:w="1215"/>
          </w:tcPr>
          <w:p>
            <w:pPr>
              <w:jc w:val="right"/>
            </w:pPr>
            <w:r>
              <w:rPr>
                <w:sz w:val="18"/>
              </w:rPr>
              <w:t>43</w:t>
            </w:r>
          </w:p>
        </w:tc>
        <w:tc>
          <w:tcPr>
            <w:tcW w:type="dxa" w:w="1215"/>
          </w:tcPr>
          <w:p>
            <w:pPr>
              <w:jc w:val="right"/>
            </w:pPr>
            <w:r>
              <w:rPr>
                <w:sz w:val="18"/>
              </w:rPr>
              <w:t>17</w:t>
            </w:r>
          </w:p>
        </w:tc>
      </w:tr>
    </w:tbl>
    <w:p/>
    <w:p>
      <w:r>
        <w:rPr>
          <w:b/>
          <w:color w:val="0B6E0B"/>
          <w:sz w:val="22"/>
        </w:rPr>
        <w:t xml:space="preserve">Hàm ý kinh doanh: </w:t>
      </w:r>
      <w:r>
        <w:rPr>
          <w:sz w:val="22"/>
        </w:rPr>
        <w:t>Cần review khuyến mại, nhóm sản phẩm và bang trong các kỳ doanh thu cao nhưng profit yếu. Tháng 11/2017 đạt doanh thu #1 ($37.057) nhưng lợi nhuận chỉ #21 ($406), cho thấy chất lượng doanh thu kém.</w:t>
      </w:r>
    </w:p>
    <w:p>
      <w:r>
        <w:rPr>
          <w:b/>
        </w:rPr>
        <w:t>A4. Tỷ lệ dòng giao dịch bị lỗ:</w:t>
      </w:r>
    </w:p>
    <w:p>
      <w:r>
        <w:rPr>
          <w:b/>
          <w:color w:val="1F497D"/>
          <w:sz w:val="22"/>
        </w:rPr>
        <w:t xml:space="preserve">Sự thật quan sát: </w:t>
      </w:r>
      <w:r>
        <w:rPr>
          <w:sz w:val="22"/>
        </w:rPr>
        <w:t>Có 714 dòng lỗ (Profit &lt; 0), tương đương 33,66% tổng số dòng giao dịch. Lỗ không phải ngoại lệ nhỏ — cần worklist kiểm soát giá/discount ở cấp dòng.</w:t>
      </w:r>
    </w:p>
    <w:p>
      <w:r>
        <w:br w:type="page"/>
      </w:r>
    </w:p>
    <w:p>
      <w:pPr>
        <w:pStyle w:val="Heading2"/>
      </w:pPr>
      <w:r>
        <w:t>4.3. Hiệu quả sản phẩm và danh mục (Nhóm B)</w:t>
      </w:r>
    </w:p>
    <w:p>
      <w:r>
        <w:rPr>
          <w:b/>
        </w:rPr>
        <w:t>B1. Sub-category nào tạo doanh thu, lợi nhuận và margin?</w:t>
      </w:r>
    </w:p>
    <w:tbl>
      <w:tblPr>
        <w:tblStyle w:val="LightGrid-Accent1"/>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rPr>
                <w:b/>
                <w:sz w:val="20"/>
              </w:rPr>
              <w:t>Sub-Category</w:t>
            </w:r>
          </w:p>
        </w:tc>
        <w:tc>
          <w:tcPr>
            <w:tcW w:type="dxa" w:w="1701"/>
          </w:tcPr>
          <w:p>
            <w:pPr>
              <w:jc w:val="center"/>
            </w:pPr>
            <w:r>
              <w:rPr>
                <w:b/>
                <w:sz w:val="20"/>
              </w:rPr>
              <w:t>Doanh thu</w:t>
            </w:r>
          </w:p>
        </w:tc>
        <w:tc>
          <w:tcPr>
            <w:tcW w:type="dxa" w:w="1701"/>
          </w:tcPr>
          <w:p>
            <w:pPr>
              <w:jc w:val="center"/>
            </w:pPr>
            <w:r>
              <w:rPr>
                <w:b/>
                <w:sz w:val="20"/>
              </w:rPr>
              <w:t>Lợi nhuận</w:t>
            </w:r>
          </w:p>
        </w:tc>
        <w:tc>
          <w:tcPr>
            <w:tcW w:type="dxa" w:w="1701"/>
          </w:tcPr>
          <w:p>
            <w:pPr>
              <w:jc w:val="center"/>
            </w:pPr>
            <w:r>
              <w:rPr>
                <w:b/>
                <w:sz w:val="20"/>
              </w:rPr>
              <w:t>Biên %</w:t>
            </w:r>
          </w:p>
        </w:tc>
        <w:tc>
          <w:tcPr>
            <w:tcW w:type="dxa" w:w="1701"/>
          </w:tcPr>
          <w:p>
            <w:pPr>
              <w:jc w:val="center"/>
            </w:pPr>
            <w:r>
              <w:rPr>
                <w:b/>
                <w:sz w:val="20"/>
              </w:rPr>
              <w:t>Dòng lỗ %</w:t>
            </w:r>
          </w:p>
        </w:tc>
      </w:tr>
      <w:tr>
        <w:tc>
          <w:tcPr>
            <w:tcW w:type="dxa" w:w="1701"/>
          </w:tcPr>
          <w:p>
            <w:pPr>
              <w:jc w:val="left"/>
            </w:pPr>
            <w:r>
              <w:rPr>
                <w:sz w:val="18"/>
              </w:rPr>
              <w:t>Chairs</w:t>
            </w:r>
          </w:p>
        </w:tc>
        <w:tc>
          <w:tcPr>
            <w:tcW w:type="dxa" w:w="1701"/>
          </w:tcPr>
          <w:p>
            <w:pPr>
              <w:jc w:val="right"/>
            </w:pPr>
            <w:r>
              <w:rPr>
                <w:sz w:val="18"/>
              </w:rPr>
              <w:t>$328.449,10</w:t>
            </w:r>
          </w:p>
        </w:tc>
        <w:tc>
          <w:tcPr>
            <w:tcW w:type="dxa" w:w="1701"/>
          </w:tcPr>
          <w:p>
            <w:pPr>
              <w:jc w:val="right"/>
            </w:pPr>
            <w:r>
              <w:rPr>
                <w:sz w:val="18"/>
              </w:rPr>
              <w:t>$26.590,17</w:t>
            </w:r>
          </w:p>
        </w:tc>
        <w:tc>
          <w:tcPr>
            <w:tcW w:type="dxa" w:w="1701"/>
          </w:tcPr>
          <w:p>
            <w:pPr>
              <w:jc w:val="right"/>
            </w:pPr>
            <w:r>
              <w:rPr>
                <w:sz w:val="18"/>
              </w:rPr>
              <w:t>8,10%</w:t>
            </w:r>
          </w:p>
        </w:tc>
        <w:tc>
          <w:tcPr>
            <w:tcW w:type="dxa" w:w="1701"/>
          </w:tcPr>
          <w:p>
            <w:pPr>
              <w:jc w:val="right"/>
            </w:pPr>
            <w:r>
              <w:rPr>
                <w:sz w:val="18"/>
              </w:rPr>
              <w:t>38,09%</w:t>
            </w:r>
          </w:p>
        </w:tc>
      </w:tr>
      <w:tr>
        <w:tc>
          <w:tcPr>
            <w:tcW w:type="dxa" w:w="1701"/>
          </w:tcPr>
          <w:p>
            <w:pPr>
              <w:jc w:val="left"/>
            </w:pPr>
            <w:r>
              <w:rPr>
                <w:sz w:val="18"/>
              </w:rPr>
              <w:t>Tables</w:t>
            </w:r>
          </w:p>
        </w:tc>
        <w:tc>
          <w:tcPr>
            <w:tcW w:type="dxa" w:w="1701"/>
          </w:tcPr>
          <w:p>
            <w:pPr>
              <w:jc w:val="right"/>
            </w:pPr>
            <w:r>
              <w:rPr>
                <w:sz w:val="18"/>
              </w:rPr>
              <w:t>$206.965,53</w:t>
            </w:r>
          </w:p>
        </w:tc>
        <w:tc>
          <w:tcPr>
            <w:tcW w:type="dxa" w:w="1701"/>
          </w:tcPr>
          <w:p>
            <w:pPr>
              <w:jc w:val="right"/>
            </w:pPr>
            <w:r>
              <w:rPr>
                <w:sz w:val="18"/>
              </w:rPr>
              <w:t>$-17.725,48</w:t>
            </w:r>
          </w:p>
        </w:tc>
        <w:tc>
          <w:tcPr>
            <w:tcW w:type="dxa" w:w="1701"/>
          </w:tcPr>
          <w:p>
            <w:pPr>
              <w:jc w:val="right"/>
            </w:pPr>
            <w:r>
              <w:rPr>
                <w:sz w:val="18"/>
              </w:rPr>
              <w:t>-8,56%</w:t>
            </w:r>
          </w:p>
        </w:tc>
        <w:tc>
          <w:tcPr>
            <w:tcW w:type="dxa" w:w="1701"/>
          </w:tcPr>
          <w:p>
            <w:pPr>
              <w:jc w:val="right"/>
            </w:pPr>
            <w:r>
              <w:rPr>
                <w:sz w:val="18"/>
              </w:rPr>
              <w:t>63,64%</w:t>
            </w:r>
          </w:p>
        </w:tc>
      </w:tr>
      <w:tr>
        <w:tc>
          <w:tcPr>
            <w:tcW w:type="dxa" w:w="1701"/>
          </w:tcPr>
          <w:p>
            <w:pPr>
              <w:jc w:val="left"/>
            </w:pPr>
            <w:r>
              <w:rPr>
                <w:sz w:val="18"/>
              </w:rPr>
              <w:t>Bookcases</w:t>
            </w:r>
          </w:p>
        </w:tc>
        <w:tc>
          <w:tcPr>
            <w:tcW w:type="dxa" w:w="1701"/>
          </w:tcPr>
          <w:p>
            <w:pPr>
              <w:jc w:val="right"/>
            </w:pPr>
            <w:r>
              <w:rPr>
                <w:sz w:val="18"/>
              </w:rPr>
              <w:t>$114.880,00</w:t>
            </w:r>
          </w:p>
        </w:tc>
        <w:tc>
          <w:tcPr>
            <w:tcW w:type="dxa" w:w="1701"/>
          </w:tcPr>
          <w:p>
            <w:pPr>
              <w:jc w:val="right"/>
            </w:pPr>
            <w:r>
              <w:rPr>
                <w:sz w:val="18"/>
              </w:rPr>
              <w:t>$-3.472,56</w:t>
            </w:r>
          </w:p>
        </w:tc>
        <w:tc>
          <w:tcPr>
            <w:tcW w:type="dxa" w:w="1701"/>
          </w:tcPr>
          <w:p>
            <w:pPr>
              <w:jc w:val="right"/>
            </w:pPr>
            <w:r>
              <w:rPr>
                <w:sz w:val="18"/>
              </w:rPr>
              <w:t>-3,02%</w:t>
            </w:r>
          </w:p>
        </w:tc>
        <w:tc>
          <w:tcPr>
            <w:tcW w:type="dxa" w:w="1701"/>
          </w:tcPr>
          <w:p>
            <w:pPr>
              <w:jc w:val="right"/>
            </w:pPr>
            <w:r>
              <w:rPr>
                <w:sz w:val="18"/>
              </w:rPr>
              <w:t>47,81%</w:t>
            </w:r>
          </w:p>
        </w:tc>
      </w:tr>
      <w:tr>
        <w:tc>
          <w:tcPr>
            <w:tcW w:type="dxa" w:w="1701"/>
          </w:tcPr>
          <w:p>
            <w:pPr>
              <w:jc w:val="left"/>
            </w:pPr>
            <w:r>
              <w:rPr>
                <w:sz w:val="18"/>
              </w:rPr>
              <w:t>Furnishings</w:t>
            </w:r>
          </w:p>
        </w:tc>
        <w:tc>
          <w:tcPr>
            <w:tcW w:type="dxa" w:w="1701"/>
          </w:tcPr>
          <w:p>
            <w:pPr>
              <w:jc w:val="right"/>
            </w:pPr>
            <w:r>
              <w:rPr>
                <w:sz w:val="18"/>
              </w:rPr>
              <w:t>$91.705,16</w:t>
            </w:r>
          </w:p>
        </w:tc>
        <w:tc>
          <w:tcPr>
            <w:tcW w:type="dxa" w:w="1701"/>
          </w:tcPr>
          <w:p>
            <w:pPr>
              <w:jc w:val="right"/>
            </w:pPr>
            <w:r>
              <w:rPr>
                <w:sz w:val="18"/>
              </w:rPr>
              <w:t>$13.059,14</w:t>
            </w:r>
          </w:p>
        </w:tc>
        <w:tc>
          <w:tcPr>
            <w:tcW w:type="dxa" w:w="1701"/>
          </w:tcPr>
          <w:p>
            <w:pPr>
              <w:jc w:val="right"/>
            </w:pPr>
            <w:r>
              <w:rPr>
                <w:sz w:val="18"/>
              </w:rPr>
              <w:t>14,24%</w:t>
            </w:r>
          </w:p>
        </w:tc>
        <w:tc>
          <w:tcPr>
            <w:tcW w:type="dxa" w:w="1701"/>
          </w:tcPr>
          <w:p>
            <w:pPr>
              <w:jc w:val="right"/>
            </w:pPr>
            <w:r>
              <w:rPr>
                <w:sz w:val="18"/>
              </w:rPr>
              <w:t>17,45%</w:t>
            </w:r>
          </w:p>
        </w:tc>
      </w:tr>
    </w:tbl>
    <w:p/>
    <w:p>
      <w:pPr>
        <w:jc w:val="center"/>
      </w:pPr>
      <w:r>
        <w:drawing>
          <wp:inline xmlns:a="http://schemas.openxmlformats.org/drawingml/2006/main" xmlns:pic="http://schemas.openxmlformats.org/drawingml/2006/picture">
            <wp:extent cx="5029200" cy="2766060"/>
            <wp:docPr id="3" name="Picture 3"/>
            <wp:cNvGraphicFramePr>
              <a:graphicFrameLocks noChangeAspect="1"/>
            </wp:cNvGraphicFramePr>
            <a:graphic>
              <a:graphicData uri="http://schemas.openxmlformats.org/drawingml/2006/picture">
                <pic:pic>
                  <pic:nvPicPr>
                    <pic:cNvPr id="0" name="sub_category_sales_profit.png"/>
                    <pic:cNvPicPr/>
                  </pic:nvPicPr>
                  <pic:blipFill>
                    <a:blip r:embed="rId11"/>
                    <a:stretch>
                      <a:fillRect/>
                    </a:stretch>
                  </pic:blipFill>
                  <pic:spPr>
                    <a:xfrm>
                      <a:off x="0" y="0"/>
                      <a:ext cx="5029200" cy="2766060"/>
                    </a:xfrm>
                    <a:prstGeom prst="rect"/>
                  </pic:spPr>
                </pic:pic>
              </a:graphicData>
            </a:graphic>
          </wp:inline>
        </w:drawing>
      </w:r>
    </w:p>
    <w:p>
      <w:pPr>
        <w:jc w:val="center"/>
      </w:pPr>
      <w:r>
        <w:rPr>
          <w:i/>
          <w:sz w:val="18"/>
        </w:rPr>
        <w:t>Hình 3: So sánh doanh thu và lợi nhuận theo sub-category</w:t>
      </w:r>
    </w:p>
    <w:p/>
    <w:p>
      <w:r>
        <w:rPr>
          <w:b/>
          <w:color w:val="1F497D"/>
          <w:sz w:val="22"/>
        </w:rPr>
        <w:t xml:space="preserve">Sự thật quan sát: </w:t>
      </w:r>
      <w:r>
        <w:rPr>
          <w:sz w:val="22"/>
        </w:rPr>
        <w:t>Chairs tạo lợi nhuận lớn nhất (+$26.590, biên 8,10%); Furnishings có biên tốt nhất (14,24%); Tables lỗ lớn nhất (-$17.725, biên -8,56%); Bookcases cũng lỗ (-$3.473, biên -3,02%). Tables và Bookcases cần sửa chữa lợi nhuận trước khi mở rộng doanh thu.</w:t>
      </w:r>
    </w:p>
    <w:p/>
    <w:p>
      <w:r>
        <w:rPr>
          <w:b/>
        </w:rPr>
        <w:t>B2. Sản phẩm nào doanh thu cao nhưng lợi nhuận thấp hoặc âm (nhóm Repair)?</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Product ID</w:t>
            </w:r>
          </w:p>
        </w:tc>
        <w:tc>
          <w:tcPr>
            <w:tcW w:type="dxa" w:w="1417"/>
          </w:tcPr>
          <w:p>
            <w:pPr>
              <w:jc w:val="center"/>
            </w:pPr>
            <w:r>
              <w:rPr>
                <w:b/>
                <w:sz w:val="20"/>
              </w:rPr>
              <w:t>Tên sản phẩm</w:t>
            </w:r>
          </w:p>
        </w:tc>
        <w:tc>
          <w:tcPr>
            <w:tcW w:type="dxa" w:w="1417"/>
          </w:tcPr>
          <w:p>
            <w:pPr>
              <w:jc w:val="center"/>
            </w:pPr>
            <w:r>
              <w:rPr>
                <w:b/>
                <w:sz w:val="20"/>
              </w:rPr>
              <w:t>Sub-Cat</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r>
      <w:tr>
        <w:tc>
          <w:tcPr>
            <w:tcW w:type="dxa" w:w="1417"/>
          </w:tcPr>
          <w:p>
            <w:pPr>
              <w:jc w:val="left"/>
            </w:pPr>
            <w:r>
              <w:rPr>
                <w:sz w:val="18"/>
              </w:rPr>
              <w:t>FUR-CH-10002024</w:t>
            </w:r>
          </w:p>
        </w:tc>
        <w:tc>
          <w:tcPr>
            <w:tcW w:type="dxa" w:w="1417"/>
          </w:tcPr>
          <w:p>
            <w:pPr>
              <w:jc w:val="left"/>
            </w:pPr>
            <w:r>
              <w:rPr>
                <w:sz w:val="18"/>
              </w:rPr>
              <w:t>HON 5400 Series Task Chairs for Big and Tall</w:t>
            </w:r>
          </w:p>
        </w:tc>
        <w:tc>
          <w:tcPr>
            <w:tcW w:type="dxa" w:w="1417"/>
          </w:tcPr>
          <w:p>
            <w:pPr>
              <w:jc w:val="left"/>
            </w:pPr>
            <w:r>
              <w:rPr>
                <w:sz w:val="18"/>
              </w:rPr>
              <w:t>Chairs</w:t>
            </w:r>
          </w:p>
        </w:tc>
        <w:tc>
          <w:tcPr>
            <w:tcW w:type="dxa" w:w="1417"/>
          </w:tcPr>
          <w:p>
            <w:pPr>
              <w:jc w:val="right"/>
            </w:pPr>
            <w:r>
              <w:rPr>
                <w:sz w:val="18"/>
              </w:rPr>
              <w:t>$21.870,58</w:t>
            </w:r>
          </w:p>
        </w:tc>
        <w:tc>
          <w:tcPr>
            <w:tcW w:type="dxa" w:w="1417"/>
          </w:tcPr>
          <w:p>
            <w:pPr>
              <w:jc w:val="right"/>
            </w:pPr>
            <w:r>
              <w:rPr>
                <w:sz w:val="18"/>
              </w:rPr>
              <w:t>$0,00</w:t>
            </w:r>
          </w:p>
        </w:tc>
        <w:tc>
          <w:tcPr>
            <w:tcW w:type="dxa" w:w="1417"/>
          </w:tcPr>
          <w:p>
            <w:pPr>
              <w:jc w:val="right"/>
            </w:pPr>
            <w:r>
              <w:rPr>
                <w:sz w:val="18"/>
              </w:rPr>
              <w:t>0,00%</w:t>
            </w:r>
          </w:p>
        </w:tc>
      </w:tr>
      <w:tr>
        <w:tc>
          <w:tcPr>
            <w:tcW w:type="dxa" w:w="1417"/>
          </w:tcPr>
          <w:p>
            <w:pPr>
              <w:jc w:val="left"/>
            </w:pPr>
            <w:r>
              <w:rPr>
                <w:sz w:val="18"/>
              </w:rPr>
              <w:t>FUR-BO-10004834</w:t>
            </w:r>
          </w:p>
        </w:tc>
        <w:tc>
          <w:tcPr>
            <w:tcW w:type="dxa" w:w="1417"/>
          </w:tcPr>
          <w:p>
            <w:pPr>
              <w:jc w:val="left"/>
            </w:pPr>
            <w:r>
              <w:rPr>
                <w:sz w:val="18"/>
              </w:rPr>
              <w:t>Riverside Palais Royal Lawyers Bookcase</w:t>
            </w:r>
          </w:p>
        </w:tc>
        <w:tc>
          <w:tcPr>
            <w:tcW w:type="dxa" w:w="1417"/>
          </w:tcPr>
          <w:p>
            <w:pPr>
              <w:jc w:val="left"/>
            </w:pPr>
            <w:r>
              <w:rPr>
                <w:sz w:val="18"/>
              </w:rPr>
              <w:t>Bookcases</w:t>
            </w:r>
          </w:p>
        </w:tc>
        <w:tc>
          <w:tcPr>
            <w:tcW w:type="dxa" w:w="1417"/>
          </w:tcPr>
          <w:p>
            <w:pPr>
              <w:jc w:val="right"/>
            </w:pPr>
            <w:r>
              <w:rPr>
                <w:sz w:val="18"/>
              </w:rPr>
              <w:t>$15.610,97</w:t>
            </w:r>
          </w:p>
        </w:tc>
        <w:tc>
          <w:tcPr>
            <w:tcW w:type="dxa" w:w="1417"/>
          </w:tcPr>
          <w:p>
            <w:pPr>
              <w:jc w:val="right"/>
            </w:pPr>
            <w:r>
              <w:rPr>
                <w:sz w:val="18"/>
              </w:rPr>
              <w:t>$-669,54</w:t>
            </w:r>
          </w:p>
        </w:tc>
        <w:tc>
          <w:tcPr>
            <w:tcW w:type="dxa" w:w="1417"/>
          </w:tcPr>
          <w:p>
            <w:pPr>
              <w:jc w:val="right"/>
            </w:pPr>
            <w:r>
              <w:rPr>
                <w:sz w:val="18"/>
              </w:rPr>
              <w:t>-4,29%</w:t>
            </w:r>
          </w:p>
        </w:tc>
      </w:tr>
      <w:tr>
        <w:tc>
          <w:tcPr>
            <w:tcW w:type="dxa" w:w="1417"/>
          </w:tcPr>
          <w:p>
            <w:pPr>
              <w:jc w:val="left"/>
            </w:pPr>
            <w:r>
              <w:rPr>
                <w:sz w:val="18"/>
              </w:rPr>
              <w:t>FUR-TA-10003473</w:t>
            </w:r>
          </w:p>
        </w:tc>
        <w:tc>
          <w:tcPr>
            <w:tcW w:type="dxa" w:w="1417"/>
          </w:tcPr>
          <w:p>
            <w:pPr>
              <w:jc w:val="left"/>
            </w:pPr>
            <w:r>
              <w:rPr>
                <w:sz w:val="18"/>
              </w:rPr>
              <w:t>Bretford Rectangular Conference Table Tops</w:t>
            </w:r>
          </w:p>
        </w:tc>
        <w:tc>
          <w:tcPr>
            <w:tcW w:type="dxa" w:w="1417"/>
          </w:tcPr>
          <w:p>
            <w:pPr>
              <w:jc w:val="left"/>
            </w:pPr>
            <w:r>
              <w:rPr>
                <w:sz w:val="18"/>
              </w:rPr>
              <w:t>Tables</w:t>
            </w:r>
          </w:p>
        </w:tc>
        <w:tc>
          <w:tcPr>
            <w:tcW w:type="dxa" w:w="1417"/>
          </w:tcPr>
          <w:p>
            <w:pPr>
              <w:jc w:val="right"/>
            </w:pPr>
            <w:r>
              <w:rPr>
                <w:sz w:val="18"/>
              </w:rPr>
              <w:t>$12.995,29</w:t>
            </w:r>
          </w:p>
        </w:tc>
        <w:tc>
          <w:tcPr>
            <w:tcW w:type="dxa" w:w="1417"/>
          </w:tcPr>
          <w:p>
            <w:pPr>
              <w:jc w:val="right"/>
            </w:pPr>
            <w:r>
              <w:rPr>
                <w:sz w:val="18"/>
              </w:rPr>
              <w:t>$-327,23</w:t>
            </w:r>
          </w:p>
        </w:tc>
        <w:tc>
          <w:tcPr>
            <w:tcW w:type="dxa" w:w="1417"/>
          </w:tcPr>
          <w:p>
            <w:pPr>
              <w:jc w:val="right"/>
            </w:pPr>
            <w:r>
              <w:rPr>
                <w:sz w:val="18"/>
              </w:rPr>
              <w:t>-2,52%</w:t>
            </w:r>
          </w:p>
        </w:tc>
      </w:tr>
      <w:tr>
        <w:tc>
          <w:tcPr>
            <w:tcW w:type="dxa" w:w="1417"/>
          </w:tcPr>
          <w:p>
            <w:pPr>
              <w:jc w:val="left"/>
            </w:pPr>
            <w:r>
              <w:rPr>
                <w:sz w:val="18"/>
              </w:rPr>
              <w:t>FUR-BO-10002213</w:t>
            </w:r>
          </w:p>
        </w:tc>
        <w:tc>
          <w:tcPr>
            <w:tcW w:type="dxa" w:w="1417"/>
          </w:tcPr>
          <w:p>
            <w:pPr>
              <w:jc w:val="left"/>
            </w:pPr>
            <w:r>
              <w:rPr>
                <w:sz w:val="18"/>
              </w:rPr>
              <w:t>DMI Eclipse Executive Suite Bookcases</w:t>
            </w:r>
          </w:p>
        </w:tc>
        <w:tc>
          <w:tcPr>
            <w:tcW w:type="dxa" w:w="1417"/>
          </w:tcPr>
          <w:p>
            <w:pPr>
              <w:jc w:val="left"/>
            </w:pPr>
            <w:r>
              <w:rPr>
                <w:sz w:val="18"/>
              </w:rPr>
              <w:t>Bookcases</w:t>
            </w:r>
          </w:p>
        </w:tc>
        <w:tc>
          <w:tcPr>
            <w:tcW w:type="dxa" w:w="1417"/>
          </w:tcPr>
          <w:p>
            <w:pPr>
              <w:jc w:val="right"/>
            </w:pPr>
            <w:r>
              <w:rPr>
                <w:sz w:val="18"/>
              </w:rPr>
              <w:t>$11.046,61</w:t>
            </w:r>
          </w:p>
        </w:tc>
        <w:tc>
          <w:tcPr>
            <w:tcW w:type="dxa" w:w="1417"/>
          </w:tcPr>
          <w:p>
            <w:pPr>
              <w:jc w:val="right"/>
            </w:pPr>
            <w:r>
              <w:rPr>
                <w:sz w:val="18"/>
              </w:rPr>
              <w:t>$90,18</w:t>
            </w:r>
          </w:p>
        </w:tc>
        <w:tc>
          <w:tcPr>
            <w:tcW w:type="dxa" w:w="1417"/>
          </w:tcPr>
          <w:p>
            <w:pPr>
              <w:jc w:val="right"/>
            </w:pPr>
            <w:r>
              <w:rPr>
                <w:sz w:val="18"/>
              </w:rPr>
              <w:t>0,82%</w:t>
            </w:r>
          </w:p>
        </w:tc>
      </w:tr>
      <w:tr>
        <w:tc>
          <w:tcPr>
            <w:tcW w:type="dxa" w:w="1417"/>
          </w:tcPr>
          <w:p>
            <w:pPr>
              <w:jc w:val="left"/>
            </w:pPr>
            <w:r>
              <w:rPr>
                <w:sz w:val="18"/>
              </w:rPr>
              <w:t>FUR-TA-10000198</w:t>
            </w:r>
          </w:p>
        </w:tc>
        <w:tc>
          <w:tcPr>
            <w:tcW w:type="dxa" w:w="1417"/>
          </w:tcPr>
          <w:p>
            <w:pPr>
              <w:jc w:val="left"/>
            </w:pPr>
            <w:r>
              <w:rPr>
                <w:sz w:val="18"/>
              </w:rPr>
              <w:t>Chromcraft Bull-Nose Wood Oval Conference Tables</w:t>
            </w:r>
          </w:p>
        </w:tc>
        <w:tc>
          <w:tcPr>
            <w:tcW w:type="dxa" w:w="1417"/>
          </w:tcPr>
          <w:p>
            <w:pPr>
              <w:jc w:val="left"/>
            </w:pPr>
            <w:r>
              <w:rPr>
                <w:sz w:val="18"/>
              </w:rPr>
              <w:t>Tables</w:t>
            </w:r>
          </w:p>
        </w:tc>
        <w:tc>
          <w:tcPr>
            <w:tcW w:type="dxa" w:w="1417"/>
          </w:tcPr>
          <w:p>
            <w:pPr>
              <w:jc w:val="right"/>
            </w:pPr>
            <w:r>
              <w:rPr>
                <w:sz w:val="18"/>
              </w:rPr>
              <w:t>$9.917,64</w:t>
            </w:r>
          </w:p>
        </w:tc>
        <w:tc>
          <w:tcPr>
            <w:tcW w:type="dxa" w:w="1417"/>
          </w:tcPr>
          <w:p>
            <w:pPr>
              <w:jc w:val="right"/>
            </w:pPr>
            <w:r>
              <w:rPr>
                <w:sz w:val="18"/>
              </w:rPr>
              <w:t>$-2.876,12</w:t>
            </w:r>
          </w:p>
        </w:tc>
        <w:tc>
          <w:tcPr>
            <w:tcW w:type="dxa" w:w="1417"/>
          </w:tcPr>
          <w:p>
            <w:pPr>
              <w:jc w:val="right"/>
            </w:pPr>
            <w:r>
              <w:rPr>
                <w:sz w:val="18"/>
              </w:rPr>
              <w:t>-29,00%</w:t>
            </w:r>
          </w:p>
        </w:tc>
      </w:tr>
      <w:tr>
        <w:tc>
          <w:tcPr>
            <w:tcW w:type="dxa" w:w="1417"/>
          </w:tcPr>
          <w:p>
            <w:pPr>
              <w:jc w:val="left"/>
            </w:pPr>
            <w:r>
              <w:rPr>
                <w:sz w:val="18"/>
              </w:rPr>
              <w:t>FUR-TA-10001889</w:t>
            </w:r>
          </w:p>
        </w:tc>
        <w:tc>
          <w:tcPr>
            <w:tcW w:type="dxa" w:w="1417"/>
          </w:tcPr>
          <w:p>
            <w:pPr>
              <w:jc w:val="left"/>
            </w:pPr>
            <w:r>
              <w:rPr>
                <w:sz w:val="18"/>
              </w:rPr>
              <w:t>Bush Advantage Collection Racetrack Conference Table</w:t>
            </w:r>
          </w:p>
        </w:tc>
        <w:tc>
          <w:tcPr>
            <w:tcW w:type="dxa" w:w="1417"/>
          </w:tcPr>
          <w:p>
            <w:pPr>
              <w:jc w:val="left"/>
            </w:pPr>
            <w:r>
              <w:rPr>
                <w:sz w:val="18"/>
              </w:rPr>
              <w:t>Tables</w:t>
            </w:r>
          </w:p>
        </w:tc>
        <w:tc>
          <w:tcPr>
            <w:tcW w:type="dxa" w:w="1417"/>
          </w:tcPr>
          <w:p>
            <w:pPr>
              <w:jc w:val="right"/>
            </w:pPr>
            <w:r>
              <w:rPr>
                <w:sz w:val="18"/>
              </w:rPr>
              <w:t>$9.544,73</w:t>
            </w:r>
          </w:p>
        </w:tc>
        <w:tc>
          <w:tcPr>
            <w:tcW w:type="dxa" w:w="1417"/>
          </w:tcPr>
          <w:p>
            <w:pPr>
              <w:jc w:val="right"/>
            </w:pPr>
            <w:r>
              <w:rPr>
                <w:sz w:val="18"/>
              </w:rPr>
              <w:t>$-1.934,40</w:t>
            </w:r>
          </w:p>
        </w:tc>
        <w:tc>
          <w:tcPr>
            <w:tcW w:type="dxa" w:w="1417"/>
          </w:tcPr>
          <w:p>
            <w:pPr>
              <w:jc w:val="right"/>
            </w:pPr>
            <w:r>
              <w:rPr>
                <w:sz w:val="18"/>
              </w:rPr>
              <w:t>-20,27%</w:t>
            </w:r>
          </w:p>
        </w:tc>
      </w:tr>
      <w:tr>
        <w:tc>
          <w:tcPr>
            <w:tcW w:type="dxa" w:w="1417"/>
          </w:tcPr>
          <w:p>
            <w:pPr>
              <w:jc w:val="left"/>
            </w:pPr>
            <w:r>
              <w:rPr>
                <w:sz w:val="18"/>
              </w:rPr>
              <w:t>FUR-TA-10001095</w:t>
            </w:r>
          </w:p>
        </w:tc>
        <w:tc>
          <w:tcPr>
            <w:tcW w:type="dxa" w:w="1417"/>
          </w:tcPr>
          <w:p>
            <w:pPr>
              <w:jc w:val="left"/>
            </w:pPr>
            <w:r>
              <w:rPr>
                <w:sz w:val="18"/>
              </w:rPr>
              <w:t>Chromcraft Round Conference Tables</w:t>
            </w:r>
          </w:p>
        </w:tc>
        <w:tc>
          <w:tcPr>
            <w:tcW w:type="dxa" w:w="1417"/>
          </w:tcPr>
          <w:p>
            <w:pPr>
              <w:jc w:val="left"/>
            </w:pPr>
            <w:r>
              <w:rPr>
                <w:sz w:val="18"/>
              </w:rPr>
              <w:t>Tables</w:t>
            </w:r>
          </w:p>
        </w:tc>
        <w:tc>
          <w:tcPr>
            <w:tcW w:type="dxa" w:w="1417"/>
          </w:tcPr>
          <w:p>
            <w:pPr>
              <w:jc w:val="right"/>
            </w:pPr>
            <w:r>
              <w:rPr>
                <w:sz w:val="18"/>
              </w:rPr>
              <w:t>$8.209,06</w:t>
            </w:r>
          </w:p>
        </w:tc>
        <w:tc>
          <w:tcPr>
            <w:tcW w:type="dxa" w:w="1417"/>
          </w:tcPr>
          <w:p>
            <w:pPr>
              <w:jc w:val="right"/>
            </w:pPr>
            <w:r>
              <w:rPr>
                <w:sz w:val="18"/>
              </w:rPr>
              <w:t>$-189,98</w:t>
            </w:r>
          </w:p>
        </w:tc>
        <w:tc>
          <w:tcPr>
            <w:tcW w:type="dxa" w:w="1417"/>
          </w:tcPr>
          <w:p>
            <w:pPr>
              <w:jc w:val="right"/>
            </w:pPr>
            <w:r>
              <w:rPr>
                <w:sz w:val="18"/>
              </w:rPr>
              <w:t>-2,31%</w:t>
            </w:r>
          </w:p>
        </w:tc>
      </w:tr>
      <w:tr>
        <w:tc>
          <w:tcPr>
            <w:tcW w:type="dxa" w:w="1417"/>
          </w:tcPr>
          <w:p>
            <w:pPr>
              <w:jc w:val="left"/>
            </w:pPr>
            <w:r>
              <w:rPr>
                <w:sz w:val="18"/>
              </w:rPr>
              <w:t>FUR-TA-10003954</w:t>
            </w:r>
          </w:p>
        </w:tc>
        <w:tc>
          <w:tcPr>
            <w:tcW w:type="dxa" w:w="1417"/>
          </w:tcPr>
          <w:p>
            <w:pPr>
              <w:jc w:val="left"/>
            </w:pPr>
            <w:r>
              <w:rPr>
                <w:sz w:val="18"/>
              </w:rPr>
              <w:t>Hon 94000 Series Round Tables</w:t>
            </w:r>
          </w:p>
        </w:tc>
        <w:tc>
          <w:tcPr>
            <w:tcW w:type="dxa" w:w="1417"/>
          </w:tcPr>
          <w:p>
            <w:pPr>
              <w:jc w:val="left"/>
            </w:pPr>
            <w:r>
              <w:rPr>
                <w:sz w:val="18"/>
              </w:rPr>
              <w:t>Tables</w:t>
            </w:r>
          </w:p>
        </w:tc>
        <w:tc>
          <w:tcPr>
            <w:tcW w:type="dxa" w:w="1417"/>
          </w:tcPr>
          <w:p>
            <w:pPr>
              <w:jc w:val="right"/>
            </w:pPr>
            <w:r>
              <w:rPr>
                <w:sz w:val="18"/>
              </w:rPr>
              <w:t>$7.404,50</w:t>
            </w:r>
          </w:p>
        </w:tc>
        <w:tc>
          <w:tcPr>
            <w:tcW w:type="dxa" w:w="1417"/>
          </w:tcPr>
          <w:p>
            <w:pPr>
              <w:jc w:val="right"/>
            </w:pPr>
            <w:r>
              <w:rPr>
                <w:sz w:val="18"/>
              </w:rPr>
              <w:t>$-681,21</w:t>
            </w:r>
          </w:p>
        </w:tc>
        <w:tc>
          <w:tcPr>
            <w:tcW w:type="dxa" w:w="1417"/>
          </w:tcPr>
          <w:p>
            <w:pPr>
              <w:jc w:val="right"/>
            </w:pPr>
            <w:r>
              <w:rPr>
                <w:sz w:val="18"/>
              </w:rPr>
              <w:t>-9,20%</w:t>
            </w:r>
          </w:p>
        </w:tc>
      </w:tr>
      <w:tr>
        <w:tc>
          <w:tcPr>
            <w:tcW w:type="dxa" w:w="1417"/>
          </w:tcPr>
          <w:p>
            <w:pPr>
              <w:jc w:val="left"/>
            </w:pPr>
            <w:r>
              <w:rPr>
                <w:sz w:val="18"/>
              </w:rPr>
              <w:t>FUR-TA-10000577</w:t>
            </w:r>
          </w:p>
        </w:tc>
        <w:tc>
          <w:tcPr>
            <w:tcW w:type="dxa" w:w="1417"/>
          </w:tcPr>
          <w:p>
            <w:pPr>
              <w:jc w:val="left"/>
            </w:pPr>
            <w:r>
              <w:rPr>
                <w:sz w:val="18"/>
              </w:rPr>
              <w:t>Bretford CR4500 Series Slim Rectangular Table</w:t>
            </w:r>
          </w:p>
        </w:tc>
        <w:tc>
          <w:tcPr>
            <w:tcW w:type="dxa" w:w="1417"/>
          </w:tcPr>
          <w:p>
            <w:pPr>
              <w:jc w:val="left"/>
            </w:pPr>
            <w:r>
              <w:rPr>
                <w:sz w:val="18"/>
              </w:rPr>
              <w:t>Tables</w:t>
            </w:r>
          </w:p>
        </w:tc>
        <w:tc>
          <w:tcPr>
            <w:tcW w:type="dxa" w:w="1417"/>
          </w:tcPr>
          <w:p>
            <w:pPr>
              <w:jc w:val="right"/>
            </w:pPr>
            <w:r>
              <w:rPr>
                <w:sz w:val="18"/>
              </w:rPr>
              <w:t>$7.242,77</w:t>
            </w:r>
          </w:p>
        </w:tc>
        <w:tc>
          <w:tcPr>
            <w:tcW w:type="dxa" w:w="1417"/>
          </w:tcPr>
          <w:p>
            <w:pPr>
              <w:jc w:val="right"/>
            </w:pPr>
            <w:r>
              <w:rPr>
                <w:sz w:val="18"/>
              </w:rPr>
              <w:t>$-532,76</w:t>
            </w:r>
          </w:p>
        </w:tc>
        <w:tc>
          <w:tcPr>
            <w:tcW w:type="dxa" w:w="1417"/>
          </w:tcPr>
          <w:p>
            <w:pPr>
              <w:jc w:val="right"/>
            </w:pPr>
            <w:r>
              <w:rPr>
                <w:sz w:val="18"/>
              </w:rPr>
              <w:t>-7,36%</w:t>
            </w:r>
          </w:p>
        </w:tc>
      </w:tr>
      <w:tr>
        <w:tc>
          <w:tcPr>
            <w:tcW w:type="dxa" w:w="1417"/>
          </w:tcPr>
          <w:p>
            <w:pPr>
              <w:jc w:val="left"/>
            </w:pPr>
            <w:r>
              <w:rPr>
                <w:sz w:val="18"/>
              </w:rPr>
              <w:t>FUR-TA-10002958</w:t>
            </w:r>
          </w:p>
        </w:tc>
        <w:tc>
          <w:tcPr>
            <w:tcW w:type="dxa" w:w="1417"/>
          </w:tcPr>
          <w:p>
            <w:pPr>
              <w:jc w:val="left"/>
            </w:pPr>
            <w:r>
              <w:rPr>
                <w:sz w:val="18"/>
              </w:rPr>
              <w:t>Bevis Oval Conference Table, Walnut</w:t>
            </w:r>
          </w:p>
        </w:tc>
        <w:tc>
          <w:tcPr>
            <w:tcW w:type="dxa" w:w="1417"/>
          </w:tcPr>
          <w:p>
            <w:pPr>
              <w:jc w:val="left"/>
            </w:pPr>
            <w:r>
              <w:rPr>
                <w:sz w:val="18"/>
              </w:rPr>
              <w:t>Tables</w:t>
            </w:r>
          </w:p>
        </w:tc>
        <w:tc>
          <w:tcPr>
            <w:tcW w:type="dxa" w:w="1417"/>
          </w:tcPr>
          <w:p>
            <w:pPr>
              <w:jc w:val="right"/>
            </w:pPr>
            <w:r>
              <w:rPr>
                <w:sz w:val="18"/>
              </w:rPr>
              <w:t>$6.942,07</w:t>
            </w:r>
          </w:p>
        </w:tc>
        <w:tc>
          <w:tcPr>
            <w:tcW w:type="dxa" w:w="1417"/>
          </w:tcPr>
          <w:p>
            <w:pPr>
              <w:jc w:val="right"/>
            </w:pPr>
            <w:r>
              <w:rPr>
                <w:sz w:val="18"/>
              </w:rPr>
              <w:t>$-856,01</w:t>
            </w:r>
          </w:p>
        </w:tc>
        <w:tc>
          <w:tcPr>
            <w:tcW w:type="dxa" w:w="1417"/>
          </w:tcPr>
          <w:p>
            <w:pPr>
              <w:jc w:val="right"/>
            </w:pPr>
            <w:r>
              <w:rPr>
                <w:sz w:val="18"/>
              </w:rPr>
              <w:t>-12,33%</w:t>
            </w:r>
          </w:p>
        </w:tc>
      </w:tr>
    </w:tbl>
    <w:p/>
    <w:p>
      <w:r>
        <w:rPr>
          <w:b/>
          <w:color w:val="0B6E0B"/>
          <w:sz w:val="22"/>
        </w:rPr>
        <w:t xml:space="preserve">Hàm ý kinh doanh: </w:t>
      </w:r>
      <w:r>
        <w:rPr>
          <w:sz w:val="22"/>
        </w:rPr>
        <w:t>Các sản phẩm này thuộc nhóm Repair: doanh thu cao nhưng lợi nhuận thấp/âm. Cần xem lại giá, mức giảm giá và vùng bán trước khi tiếp tục scale.</w:t>
      </w:r>
    </w:p>
    <w:p/>
    <w:p>
      <w:r>
        <w:rPr>
          <w:b/>
        </w:rPr>
        <w:t>B3. Sản phẩm nào có lợi nhuận tốt nhưng chưa đại diện lớn trong doanh thu (nhóm Scale Selectively)?</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Product ID</w:t>
            </w:r>
          </w:p>
        </w:tc>
        <w:tc>
          <w:tcPr>
            <w:tcW w:type="dxa" w:w="1417"/>
          </w:tcPr>
          <w:p>
            <w:pPr>
              <w:jc w:val="center"/>
            </w:pPr>
            <w:r>
              <w:rPr>
                <w:b/>
                <w:sz w:val="20"/>
              </w:rPr>
              <w:t>Tên sản phẩm</w:t>
            </w:r>
          </w:p>
        </w:tc>
        <w:tc>
          <w:tcPr>
            <w:tcW w:type="dxa" w:w="1417"/>
          </w:tcPr>
          <w:p>
            <w:pPr>
              <w:jc w:val="center"/>
            </w:pPr>
            <w:r>
              <w:rPr>
                <w:b/>
                <w:sz w:val="20"/>
              </w:rPr>
              <w:t>Sub-Cat</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r>
      <w:tr>
        <w:tc>
          <w:tcPr>
            <w:tcW w:type="dxa" w:w="1417"/>
          </w:tcPr>
          <w:p>
            <w:pPr>
              <w:jc w:val="left"/>
            </w:pPr>
            <w:r>
              <w:rPr>
                <w:sz w:val="18"/>
              </w:rPr>
              <w:t>FUR-FU-10002937</w:t>
            </w:r>
          </w:p>
        </w:tc>
        <w:tc>
          <w:tcPr>
            <w:tcW w:type="dxa" w:w="1417"/>
          </w:tcPr>
          <w:p>
            <w:pPr>
              <w:jc w:val="left"/>
            </w:pPr>
            <w:r>
              <w:rPr>
                <w:sz w:val="18"/>
              </w:rPr>
              <w:t>GE 48" Fluorescent Tube, Cool White Energy Saver</w:t>
            </w:r>
          </w:p>
        </w:tc>
        <w:tc>
          <w:tcPr>
            <w:tcW w:type="dxa" w:w="1417"/>
          </w:tcPr>
          <w:p>
            <w:pPr>
              <w:jc w:val="left"/>
            </w:pPr>
            <w:r>
              <w:rPr>
                <w:sz w:val="18"/>
              </w:rPr>
              <w:t>Furnishings</w:t>
            </w:r>
          </w:p>
        </w:tc>
        <w:tc>
          <w:tcPr>
            <w:tcW w:type="dxa" w:w="1417"/>
          </w:tcPr>
          <w:p>
            <w:pPr>
              <w:jc w:val="right"/>
            </w:pPr>
            <w:r>
              <w:rPr>
                <w:sz w:val="18"/>
              </w:rPr>
              <w:t>$2.699,06</w:t>
            </w:r>
          </w:p>
        </w:tc>
        <w:tc>
          <w:tcPr>
            <w:tcW w:type="dxa" w:w="1417"/>
          </w:tcPr>
          <w:p>
            <w:pPr>
              <w:jc w:val="right"/>
            </w:pPr>
            <w:r>
              <w:rPr>
                <w:sz w:val="18"/>
              </w:rPr>
              <w:t>$1.260,22</w:t>
            </w:r>
          </w:p>
        </w:tc>
        <w:tc>
          <w:tcPr>
            <w:tcW w:type="dxa" w:w="1417"/>
          </w:tcPr>
          <w:p>
            <w:pPr>
              <w:jc w:val="right"/>
            </w:pPr>
            <w:r>
              <w:rPr>
                <w:sz w:val="18"/>
              </w:rPr>
              <w:t>46,69%</w:t>
            </w:r>
          </w:p>
        </w:tc>
      </w:tr>
      <w:tr>
        <w:tc>
          <w:tcPr>
            <w:tcW w:type="dxa" w:w="1417"/>
          </w:tcPr>
          <w:p>
            <w:pPr>
              <w:jc w:val="left"/>
            </w:pPr>
            <w:r>
              <w:rPr>
                <w:sz w:val="18"/>
              </w:rPr>
              <w:t>FUR-FU-10002671</w:t>
            </w:r>
          </w:p>
        </w:tc>
        <w:tc>
          <w:tcPr>
            <w:tcW w:type="dxa" w:w="1417"/>
          </w:tcPr>
          <w:p>
            <w:pPr>
              <w:jc w:val="left"/>
            </w:pPr>
            <w:r>
              <w:rPr>
                <w:sz w:val="18"/>
              </w:rPr>
              <w:t>Electrix 20W Halogen Replacement Bulb</w:t>
            </w:r>
          </w:p>
        </w:tc>
        <w:tc>
          <w:tcPr>
            <w:tcW w:type="dxa" w:w="1417"/>
          </w:tcPr>
          <w:p>
            <w:pPr>
              <w:jc w:val="left"/>
            </w:pPr>
            <w:r>
              <w:rPr>
                <w:sz w:val="18"/>
              </w:rPr>
              <w:t>Furnishings</w:t>
            </w:r>
          </w:p>
        </w:tc>
        <w:tc>
          <w:tcPr>
            <w:tcW w:type="dxa" w:w="1417"/>
          </w:tcPr>
          <w:p>
            <w:pPr>
              <w:jc w:val="right"/>
            </w:pPr>
            <w:r>
              <w:rPr>
                <w:sz w:val="18"/>
              </w:rPr>
              <w:t>$168,84</w:t>
            </w:r>
          </w:p>
        </w:tc>
        <w:tc>
          <w:tcPr>
            <w:tcW w:type="dxa" w:w="1417"/>
          </w:tcPr>
          <w:p>
            <w:pPr>
              <w:jc w:val="right"/>
            </w:pPr>
            <w:r>
              <w:rPr>
                <w:sz w:val="18"/>
              </w:rPr>
              <w:t>$78,26</w:t>
            </w:r>
          </w:p>
        </w:tc>
        <w:tc>
          <w:tcPr>
            <w:tcW w:type="dxa" w:w="1417"/>
          </w:tcPr>
          <w:p>
            <w:pPr>
              <w:jc w:val="right"/>
            </w:pPr>
            <w:r>
              <w:rPr>
                <w:sz w:val="18"/>
              </w:rPr>
              <w:t>46,35%</w:t>
            </w:r>
          </w:p>
        </w:tc>
      </w:tr>
      <w:tr>
        <w:tc>
          <w:tcPr>
            <w:tcW w:type="dxa" w:w="1417"/>
          </w:tcPr>
          <w:p>
            <w:pPr>
              <w:jc w:val="left"/>
            </w:pPr>
            <w:r>
              <w:rPr>
                <w:sz w:val="18"/>
              </w:rPr>
              <w:t>FUR-FU-10001861</w:t>
            </w:r>
          </w:p>
        </w:tc>
        <w:tc>
          <w:tcPr>
            <w:tcW w:type="dxa" w:w="1417"/>
          </w:tcPr>
          <w:p>
            <w:pPr>
              <w:jc w:val="left"/>
            </w:pPr>
            <w:r>
              <w:rPr>
                <w:sz w:val="18"/>
              </w:rPr>
              <w:t>Floodlight Indoor Halogen Bulbs, 60 Watts</w:t>
            </w:r>
          </w:p>
        </w:tc>
        <w:tc>
          <w:tcPr>
            <w:tcW w:type="dxa" w:w="1417"/>
          </w:tcPr>
          <w:p>
            <w:pPr>
              <w:jc w:val="left"/>
            </w:pPr>
            <w:r>
              <w:rPr>
                <w:sz w:val="18"/>
              </w:rPr>
              <w:t>Furnishings</w:t>
            </w:r>
          </w:p>
        </w:tc>
        <w:tc>
          <w:tcPr>
            <w:tcW w:type="dxa" w:w="1417"/>
          </w:tcPr>
          <w:p>
            <w:pPr>
              <w:jc w:val="right"/>
            </w:pPr>
            <w:r>
              <w:rPr>
                <w:sz w:val="18"/>
              </w:rPr>
              <w:t>$434,56</w:t>
            </w:r>
          </w:p>
        </w:tc>
        <w:tc>
          <w:tcPr>
            <w:tcW w:type="dxa" w:w="1417"/>
          </w:tcPr>
          <w:p>
            <w:pPr>
              <w:jc w:val="right"/>
            </w:pPr>
            <w:r>
              <w:rPr>
                <w:sz w:val="18"/>
              </w:rPr>
              <w:t>$197,10</w:t>
            </w:r>
          </w:p>
        </w:tc>
        <w:tc>
          <w:tcPr>
            <w:tcW w:type="dxa" w:w="1417"/>
          </w:tcPr>
          <w:p>
            <w:pPr>
              <w:jc w:val="right"/>
            </w:pPr>
            <w:r>
              <w:rPr>
                <w:sz w:val="18"/>
              </w:rPr>
              <w:t>45,36%</w:t>
            </w:r>
          </w:p>
        </w:tc>
      </w:tr>
      <w:tr>
        <w:tc>
          <w:tcPr>
            <w:tcW w:type="dxa" w:w="1417"/>
          </w:tcPr>
          <w:p>
            <w:pPr>
              <w:jc w:val="left"/>
            </w:pPr>
            <w:r>
              <w:rPr>
                <w:sz w:val="18"/>
              </w:rPr>
              <w:t>FUR-FU-10002045</w:t>
            </w:r>
          </w:p>
        </w:tc>
        <w:tc>
          <w:tcPr>
            <w:tcW w:type="dxa" w:w="1417"/>
          </w:tcPr>
          <w:p>
            <w:pPr>
              <w:jc w:val="left"/>
            </w:pPr>
            <w:r>
              <w:rPr>
                <w:sz w:val="18"/>
              </w:rPr>
              <w:t>Executive Impressions 14"</w:t>
            </w:r>
          </w:p>
        </w:tc>
        <w:tc>
          <w:tcPr>
            <w:tcW w:type="dxa" w:w="1417"/>
          </w:tcPr>
          <w:p>
            <w:pPr>
              <w:jc w:val="left"/>
            </w:pPr>
            <w:r>
              <w:rPr>
                <w:sz w:val="18"/>
              </w:rPr>
              <w:t>Furnishings</w:t>
            </w:r>
          </w:p>
        </w:tc>
        <w:tc>
          <w:tcPr>
            <w:tcW w:type="dxa" w:w="1417"/>
          </w:tcPr>
          <w:p>
            <w:pPr>
              <w:jc w:val="right"/>
            </w:pPr>
            <w:r>
              <w:rPr>
                <w:sz w:val="18"/>
              </w:rPr>
              <w:t>$377,91</w:t>
            </w:r>
          </w:p>
        </w:tc>
        <w:tc>
          <w:tcPr>
            <w:tcW w:type="dxa" w:w="1417"/>
          </w:tcPr>
          <w:p>
            <w:pPr>
              <w:jc w:val="right"/>
            </w:pPr>
            <w:r>
              <w:rPr>
                <w:sz w:val="18"/>
              </w:rPr>
              <w:t>$166,28</w:t>
            </w:r>
          </w:p>
        </w:tc>
        <w:tc>
          <w:tcPr>
            <w:tcW w:type="dxa" w:w="1417"/>
          </w:tcPr>
          <w:p>
            <w:pPr>
              <w:jc w:val="right"/>
            </w:pPr>
            <w:r>
              <w:rPr>
                <w:sz w:val="18"/>
              </w:rPr>
              <w:t>44,00%</w:t>
            </w:r>
          </w:p>
        </w:tc>
      </w:tr>
      <w:tr>
        <w:tc>
          <w:tcPr>
            <w:tcW w:type="dxa" w:w="1417"/>
          </w:tcPr>
          <w:p>
            <w:pPr>
              <w:jc w:val="left"/>
            </w:pPr>
            <w:r>
              <w:rPr>
                <w:sz w:val="18"/>
              </w:rPr>
              <w:t>FUR-FU-10000409</w:t>
            </w:r>
          </w:p>
        </w:tc>
        <w:tc>
          <w:tcPr>
            <w:tcW w:type="dxa" w:w="1417"/>
          </w:tcPr>
          <w:p>
            <w:pPr>
              <w:jc w:val="left"/>
            </w:pPr>
            <w:r>
              <w:rPr>
                <w:sz w:val="18"/>
              </w:rPr>
              <w:t>GE 4 Foot Flourescent Tube, 40 Watt</w:t>
            </w:r>
          </w:p>
        </w:tc>
        <w:tc>
          <w:tcPr>
            <w:tcW w:type="dxa" w:w="1417"/>
          </w:tcPr>
          <w:p>
            <w:pPr>
              <w:jc w:val="left"/>
            </w:pPr>
            <w:r>
              <w:rPr>
                <w:sz w:val="18"/>
              </w:rPr>
              <w:t>Furnishings</w:t>
            </w:r>
          </w:p>
        </w:tc>
        <w:tc>
          <w:tcPr>
            <w:tcW w:type="dxa" w:w="1417"/>
          </w:tcPr>
          <w:p>
            <w:pPr>
              <w:jc w:val="right"/>
            </w:pPr>
            <w:r>
              <w:rPr>
                <w:sz w:val="18"/>
              </w:rPr>
              <w:t>$98,87</w:t>
            </w:r>
          </w:p>
        </w:tc>
        <w:tc>
          <w:tcPr>
            <w:tcW w:type="dxa" w:w="1417"/>
          </w:tcPr>
          <w:p>
            <w:pPr>
              <w:jc w:val="right"/>
            </w:pPr>
            <w:r>
              <w:rPr>
                <w:sz w:val="18"/>
              </w:rPr>
              <w:t>$42,24</w:t>
            </w:r>
          </w:p>
        </w:tc>
        <w:tc>
          <w:tcPr>
            <w:tcW w:type="dxa" w:w="1417"/>
          </w:tcPr>
          <w:p>
            <w:pPr>
              <w:jc w:val="right"/>
            </w:pPr>
            <w:r>
              <w:rPr>
                <w:sz w:val="18"/>
              </w:rPr>
              <w:t>42,73%</w:t>
            </w:r>
          </w:p>
        </w:tc>
      </w:tr>
    </w:tbl>
    <w:p/>
    <w:p>
      <w:r>
        <w:rPr>
          <w:b/>
          <w:color w:val="0B6E0B"/>
          <w:sz w:val="22"/>
        </w:rPr>
        <w:t xml:space="preserve">Hàm ý kinh doanh: </w:t>
      </w:r>
      <w:r>
        <w:rPr>
          <w:sz w:val="22"/>
        </w:rPr>
        <w:t>Đây là nhóm Scale Selectively: biên rất cao (40-47%) nhưng doanh thu nhỏ. Có thể cải thiện discoverability và cross-sell có mục tiêu thay vì giảm giá đại trà.</w:t>
      </w:r>
    </w:p>
    <w:p/>
    <w:p>
      <w:r>
        <w:rPr>
          <w:b/>
        </w:rPr>
        <w:t>B4. Sản phẩm nào gây lỗ lớn nhất?</w:t>
      </w:r>
    </w:p>
    <w:tbl>
      <w:tblPr>
        <w:tblStyle w:val="LightGrid-Accent1"/>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rPr>
                <w:b/>
                <w:sz w:val="20"/>
              </w:rPr>
              <w:t>Tên sản phẩm</w:t>
            </w:r>
          </w:p>
        </w:tc>
        <w:tc>
          <w:tcPr>
            <w:tcW w:type="dxa" w:w="1701"/>
          </w:tcPr>
          <w:p>
            <w:pPr>
              <w:jc w:val="center"/>
            </w:pPr>
            <w:r>
              <w:rPr>
                <w:b/>
                <w:sz w:val="20"/>
              </w:rPr>
              <w:t>Sub-Cat</w:t>
            </w:r>
          </w:p>
        </w:tc>
        <w:tc>
          <w:tcPr>
            <w:tcW w:type="dxa" w:w="1701"/>
          </w:tcPr>
          <w:p>
            <w:pPr>
              <w:jc w:val="center"/>
            </w:pPr>
            <w:r>
              <w:rPr>
                <w:b/>
                <w:sz w:val="20"/>
              </w:rPr>
              <w:t>Doanh thu</w:t>
            </w:r>
          </w:p>
        </w:tc>
        <w:tc>
          <w:tcPr>
            <w:tcW w:type="dxa" w:w="1701"/>
          </w:tcPr>
          <w:p>
            <w:pPr>
              <w:jc w:val="center"/>
            </w:pPr>
            <w:r>
              <w:rPr>
                <w:b/>
                <w:sz w:val="20"/>
              </w:rPr>
              <w:t>Lợi nhuận</w:t>
            </w:r>
          </w:p>
        </w:tc>
        <w:tc>
          <w:tcPr>
            <w:tcW w:type="dxa" w:w="1701"/>
          </w:tcPr>
          <w:p>
            <w:pPr>
              <w:jc w:val="center"/>
            </w:pPr>
            <w:r>
              <w:rPr>
                <w:b/>
                <w:sz w:val="20"/>
              </w:rPr>
              <w:t>Biên %</w:t>
            </w:r>
          </w:p>
        </w:tc>
      </w:tr>
      <w:tr>
        <w:tc>
          <w:tcPr>
            <w:tcW w:type="dxa" w:w="1701"/>
          </w:tcPr>
          <w:p>
            <w:pPr>
              <w:jc w:val="left"/>
            </w:pPr>
            <w:r>
              <w:rPr>
                <w:sz w:val="18"/>
              </w:rPr>
              <w:t>Chromcraft Bull-Nose Wood Oval Conference Tables</w:t>
            </w:r>
          </w:p>
        </w:tc>
        <w:tc>
          <w:tcPr>
            <w:tcW w:type="dxa" w:w="1701"/>
          </w:tcPr>
          <w:p>
            <w:pPr>
              <w:jc w:val="left"/>
            </w:pPr>
            <w:r>
              <w:rPr>
                <w:sz w:val="18"/>
              </w:rPr>
              <w:t>Tables</w:t>
            </w:r>
          </w:p>
        </w:tc>
        <w:tc>
          <w:tcPr>
            <w:tcW w:type="dxa" w:w="1701"/>
          </w:tcPr>
          <w:p>
            <w:pPr>
              <w:jc w:val="right"/>
            </w:pPr>
            <w:r>
              <w:rPr>
                <w:sz w:val="18"/>
              </w:rPr>
              <w:t>$9.917,64</w:t>
            </w:r>
          </w:p>
        </w:tc>
        <w:tc>
          <w:tcPr>
            <w:tcW w:type="dxa" w:w="1701"/>
          </w:tcPr>
          <w:p>
            <w:pPr>
              <w:jc w:val="right"/>
            </w:pPr>
            <w:r>
              <w:rPr>
                <w:sz w:val="18"/>
              </w:rPr>
              <w:t>$-2.876,12</w:t>
            </w:r>
          </w:p>
        </w:tc>
        <w:tc>
          <w:tcPr>
            <w:tcW w:type="dxa" w:w="1701"/>
          </w:tcPr>
          <w:p>
            <w:pPr>
              <w:jc w:val="right"/>
            </w:pPr>
            <w:r>
              <w:rPr>
                <w:sz w:val="18"/>
              </w:rPr>
              <w:t>-29,00%</w:t>
            </w:r>
          </w:p>
        </w:tc>
      </w:tr>
      <w:tr>
        <w:tc>
          <w:tcPr>
            <w:tcW w:type="dxa" w:w="1701"/>
          </w:tcPr>
          <w:p>
            <w:pPr>
              <w:jc w:val="left"/>
            </w:pPr>
            <w:r>
              <w:rPr>
                <w:sz w:val="18"/>
              </w:rPr>
              <w:t>Bush Advantage Collection Racetrack Conference Table</w:t>
            </w:r>
          </w:p>
        </w:tc>
        <w:tc>
          <w:tcPr>
            <w:tcW w:type="dxa" w:w="1701"/>
          </w:tcPr>
          <w:p>
            <w:pPr>
              <w:jc w:val="left"/>
            </w:pPr>
            <w:r>
              <w:rPr>
                <w:sz w:val="18"/>
              </w:rPr>
              <w:t>Tables</w:t>
            </w:r>
          </w:p>
        </w:tc>
        <w:tc>
          <w:tcPr>
            <w:tcW w:type="dxa" w:w="1701"/>
          </w:tcPr>
          <w:p>
            <w:pPr>
              <w:jc w:val="right"/>
            </w:pPr>
            <w:r>
              <w:rPr>
                <w:sz w:val="18"/>
              </w:rPr>
              <w:t>$9.544,73</w:t>
            </w:r>
          </w:p>
        </w:tc>
        <w:tc>
          <w:tcPr>
            <w:tcW w:type="dxa" w:w="1701"/>
          </w:tcPr>
          <w:p>
            <w:pPr>
              <w:jc w:val="right"/>
            </w:pPr>
            <w:r>
              <w:rPr>
                <w:sz w:val="18"/>
              </w:rPr>
              <w:t>$-1.934,40</w:t>
            </w:r>
          </w:p>
        </w:tc>
        <w:tc>
          <w:tcPr>
            <w:tcW w:type="dxa" w:w="1701"/>
          </w:tcPr>
          <w:p>
            <w:pPr>
              <w:jc w:val="right"/>
            </w:pPr>
            <w:r>
              <w:rPr>
                <w:sz w:val="18"/>
              </w:rPr>
              <w:t>-20,27%</w:t>
            </w:r>
          </w:p>
        </w:tc>
      </w:tr>
      <w:tr>
        <w:tc>
          <w:tcPr>
            <w:tcW w:type="dxa" w:w="1701"/>
          </w:tcPr>
          <w:p>
            <w:pPr>
              <w:jc w:val="left"/>
            </w:pPr>
            <w:r>
              <w:rPr>
                <w:sz w:val="18"/>
              </w:rPr>
              <w:t>Balt Solid Wood Round Tables</w:t>
            </w:r>
          </w:p>
        </w:tc>
        <w:tc>
          <w:tcPr>
            <w:tcW w:type="dxa" w:w="1701"/>
          </w:tcPr>
          <w:p>
            <w:pPr>
              <w:jc w:val="left"/>
            </w:pPr>
            <w:r>
              <w:rPr>
                <w:sz w:val="18"/>
              </w:rPr>
              <w:t>Tables</w:t>
            </w:r>
          </w:p>
        </w:tc>
        <w:tc>
          <w:tcPr>
            <w:tcW w:type="dxa" w:w="1701"/>
          </w:tcPr>
          <w:p>
            <w:pPr>
              <w:jc w:val="right"/>
            </w:pPr>
            <w:r>
              <w:rPr>
                <w:sz w:val="18"/>
              </w:rPr>
              <w:t>$6.518,75</w:t>
            </w:r>
          </w:p>
        </w:tc>
        <w:tc>
          <w:tcPr>
            <w:tcW w:type="dxa" w:w="1701"/>
          </w:tcPr>
          <w:p>
            <w:pPr>
              <w:jc w:val="right"/>
            </w:pPr>
            <w:r>
              <w:rPr>
                <w:sz w:val="18"/>
              </w:rPr>
              <w:t>$-1.201,06</w:t>
            </w:r>
          </w:p>
        </w:tc>
        <w:tc>
          <w:tcPr>
            <w:tcW w:type="dxa" w:w="1701"/>
          </w:tcPr>
          <w:p>
            <w:pPr>
              <w:jc w:val="right"/>
            </w:pPr>
            <w:r>
              <w:rPr>
                <w:sz w:val="18"/>
              </w:rPr>
              <w:t>-18,42%</w:t>
            </w:r>
          </w:p>
        </w:tc>
      </w:tr>
      <w:tr>
        <w:tc>
          <w:tcPr>
            <w:tcW w:type="dxa" w:w="1701"/>
          </w:tcPr>
          <w:p>
            <w:pPr>
              <w:jc w:val="left"/>
            </w:pPr>
            <w:r>
              <w:rPr>
                <w:sz w:val="18"/>
              </w:rPr>
              <w:t>BoxOffice By Design Meeting Room Tables</w:t>
            </w:r>
          </w:p>
        </w:tc>
        <w:tc>
          <w:tcPr>
            <w:tcW w:type="dxa" w:w="1701"/>
          </w:tcPr>
          <w:p>
            <w:pPr>
              <w:jc w:val="left"/>
            </w:pPr>
            <w:r>
              <w:rPr>
                <w:sz w:val="18"/>
              </w:rPr>
              <w:t>Tables</w:t>
            </w:r>
          </w:p>
        </w:tc>
        <w:tc>
          <w:tcPr>
            <w:tcW w:type="dxa" w:w="1701"/>
          </w:tcPr>
          <w:p>
            <w:pPr>
              <w:jc w:val="right"/>
            </w:pPr>
            <w:r>
              <w:rPr>
                <w:sz w:val="18"/>
              </w:rPr>
              <w:t>$1.706,25</w:t>
            </w:r>
          </w:p>
        </w:tc>
        <w:tc>
          <w:tcPr>
            <w:tcW w:type="dxa" w:w="1701"/>
          </w:tcPr>
          <w:p>
            <w:pPr>
              <w:jc w:val="right"/>
            </w:pPr>
            <w:r>
              <w:rPr>
                <w:sz w:val="18"/>
              </w:rPr>
              <w:t>$-1.148,44</w:t>
            </w:r>
          </w:p>
        </w:tc>
        <w:tc>
          <w:tcPr>
            <w:tcW w:type="dxa" w:w="1701"/>
          </w:tcPr>
          <w:p>
            <w:pPr>
              <w:jc w:val="right"/>
            </w:pPr>
            <w:r>
              <w:rPr>
                <w:sz w:val="18"/>
              </w:rPr>
              <w:t>-67,31%</w:t>
            </w:r>
          </w:p>
        </w:tc>
      </w:tr>
      <w:tr>
        <w:tc>
          <w:tcPr>
            <w:tcW w:type="dxa" w:w="1701"/>
          </w:tcPr>
          <w:p>
            <w:pPr>
              <w:jc w:val="left"/>
            </w:pPr>
            <w:r>
              <w:rPr>
                <w:sz w:val="18"/>
              </w:rPr>
              <w:t>Riverside Furniture Oval Coffee Table</w:t>
            </w:r>
          </w:p>
        </w:tc>
        <w:tc>
          <w:tcPr>
            <w:tcW w:type="dxa" w:w="1701"/>
          </w:tcPr>
          <w:p>
            <w:pPr>
              <w:jc w:val="left"/>
            </w:pPr>
            <w:r>
              <w:rPr>
                <w:sz w:val="18"/>
              </w:rPr>
              <w:t>Tables</w:t>
            </w:r>
          </w:p>
        </w:tc>
        <w:tc>
          <w:tcPr>
            <w:tcW w:type="dxa" w:w="1701"/>
          </w:tcPr>
          <w:p>
            <w:pPr>
              <w:jc w:val="right"/>
            </w:pPr>
            <w:r>
              <w:rPr>
                <w:sz w:val="18"/>
              </w:rPr>
              <w:t>$4.446,18</w:t>
            </w:r>
          </w:p>
        </w:tc>
        <w:tc>
          <w:tcPr>
            <w:tcW w:type="dxa" w:w="1701"/>
          </w:tcPr>
          <w:p>
            <w:pPr>
              <w:jc w:val="right"/>
            </w:pPr>
            <w:r>
              <w:rPr>
                <w:sz w:val="18"/>
              </w:rPr>
              <w:t>$-1.147,40</w:t>
            </w:r>
          </w:p>
        </w:tc>
        <w:tc>
          <w:tcPr>
            <w:tcW w:type="dxa" w:w="1701"/>
          </w:tcPr>
          <w:p>
            <w:pPr>
              <w:jc w:val="right"/>
            </w:pPr>
            <w:r>
              <w:rPr>
                <w:sz w:val="18"/>
              </w:rPr>
              <w:t>-25,81%</w:t>
            </w:r>
          </w:p>
        </w:tc>
      </w:tr>
      <w:tr>
        <w:tc>
          <w:tcPr>
            <w:tcW w:type="dxa" w:w="1701"/>
          </w:tcPr>
          <w:p>
            <w:pPr>
              <w:jc w:val="left"/>
            </w:pPr>
            <w:r>
              <w:rPr>
                <w:sz w:val="18"/>
              </w:rPr>
              <w:t>Hon 2090 Pillow Soft Series Chairs</w:t>
            </w:r>
          </w:p>
        </w:tc>
        <w:tc>
          <w:tcPr>
            <w:tcW w:type="dxa" w:w="1701"/>
          </w:tcPr>
          <w:p>
            <w:pPr>
              <w:jc w:val="left"/>
            </w:pPr>
            <w:r>
              <w:rPr>
                <w:sz w:val="18"/>
              </w:rPr>
              <w:t>Chairs</w:t>
            </w:r>
          </w:p>
        </w:tc>
        <w:tc>
          <w:tcPr>
            <w:tcW w:type="dxa" w:w="1701"/>
          </w:tcPr>
          <w:p>
            <w:pPr>
              <w:jc w:val="right"/>
            </w:pPr>
            <w:r>
              <w:rPr>
                <w:sz w:val="18"/>
              </w:rPr>
              <w:t>$5.282,42</w:t>
            </w:r>
          </w:p>
        </w:tc>
        <w:tc>
          <w:tcPr>
            <w:tcW w:type="dxa" w:w="1701"/>
          </w:tcPr>
          <w:p>
            <w:pPr>
              <w:jc w:val="right"/>
            </w:pPr>
            <w:r>
              <w:rPr>
                <w:sz w:val="18"/>
              </w:rPr>
              <w:t>$-989,05</w:t>
            </w:r>
          </w:p>
        </w:tc>
        <w:tc>
          <w:tcPr>
            <w:tcW w:type="dxa" w:w="1701"/>
          </w:tcPr>
          <w:p>
            <w:pPr>
              <w:jc w:val="right"/>
            </w:pPr>
            <w:r>
              <w:rPr>
                <w:sz w:val="18"/>
              </w:rPr>
              <w:t>-18,72%</w:t>
            </w:r>
          </w:p>
        </w:tc>
      </w:tr>
      <w:tr>
        <w:tc>
          <w:tcPr>
            <w:tcW w:type="dxa" w:w="1701"/>
          </w:tcPr>
          <w:p>
            <w:pPr>
              <w:jc w:val="left"/>
            </w:pPr>
            <w:r>
              <w:rPr>
                <w:sz w:val="18"/>
              </w:rPr>
              <w:t>O'Sullivan 4-Shelf Bookcase</w:t>
            </w:r>
          </w:p>
        </w:tc>
        <w:tc>
          <w:tcPr>
            <w:tcW w:type="dxa" w:w="1701"/>
          </w:tcPr>
          <w:p>
            <w:pPr>
              <w:jc w:val="left"/>
            </w:pPr>
            <w:r>
              <w:rPr>
                <w:sz w:val="18"/>
              </w:rPr>
              <w:t>Bookcases</w:t>
            </w:r>
          </w:p>
        </w:tc>
        <w:tc>
          <w:tcPr>
            <w:tcW w:type="dxa" w:w="1701"/>
          </w:tcPr>
          <w:p>
            <w:pPr>
              <w:jc w:val="right"/>
            </w:pPr>
            <w:r>
              <w:rPr>
                <w:sz w:val="18"/>
              </w:rPr>
              <w:t>$2.740,20</w:t>
            </w:r>
          </w:p>
        </w:tc>
        <w:tc>
          <w:tcPr>
            <w:tcW w:type="dxa" w:w="1701"/>
          </w:tcPr>
          <w:p>
            <w:pPr>
              <w:jc w:val="right"/>
            </w:pPr>
            <w:r>
              <w:rPr>
                <w:sz w:val="18"/>
              </w:rPr>
              <w:t>$-975,10</w:t>
            </w:r>
          </w:p>
        </w:tc>
        <w:tc>
          <w:tcPr>
            <w:tcW w:type="dxa" w:w="1701"/>
          </w:tcPr>
          <w:p>
            <w:pPr>
              <w:jc w:val="right"/>
            </w:pPr>
            <w:r>
              <w:rPr>
                <w:sz w:val="18"/>
              </w:rPr>
              <w:t>-35,58%</w:t>
            </w:r>
          </w:p>
        </w:tc>
      </w:tr>
      <w:tr>
        <w:tc>
          <w:tcPr>
            <w:tcW w:type="dxa" w:w="1701"/>
          </w:tcPr>
          <w:p>
            <w:pPr>
              <w:jc w:val="left"/>
            </w:pPr>
            <w:r>
              <w:rPr>
                <w:sz w:val="18"/>
              </w:rPr>
              <w:t>Bretford Just In Time Work Tables</w:t>
            </w:r>
          </w:p>
        </w:tc>
        <w:tc>
          <w:tcPr>
            <w:tcW w:type="dxa" w:w="1701"/>
          </w:tcPr>
          <w:p>
            <w:pPr>
              <w:jc w:val="left"/>
            </w:pPr>
            <w:r>
              <w:rPr>
                <w:sz w:val="18"/>
              </w:rPr>
              <w:t>Tables</w:t>
            </w:r>
          </w:p>
        </w:tc>
        <w:tc>
          <w:tcPr>
            <w:tcW w:type="dxa" w:w="1701"/>
          </w:tcPr>
          <w:p>
            <w:pPr>
              <w:jc w:val="right"/>
            </w:pPr>
            <w:r>
              <w:rPr>
                <w:sz w:val="18"/>
              </w:rPr>
              <w:t>$5.634,90</w:t>
            </w:r>
          </w:p>
        </w:tc>
        <w:tc>
          <w:tcPr>
            <w:tcW w:type="dxa" w:w="1701"/>
          </w:tcPr>
          <w:p>
            <w:pPr>
              <w:jc w:val="right"/>
            </w:pPr>
            <w:r>
              <w:rPr>
                <w:sz w:val="18"/>
              </w:rPr>
              <w:t>$-964,19</w:t>
            </w:r>
          </w:p>
        </w:tc>
        <w:tc>
          <w:tcPr>
            <w:tcW w:type="dxa" w:w="1701"/>
          </w:tcPr>
          <w:p>
            <w:pPr>
              <w:jc w:val="right"/>
            </w:pPr>
            <w:r>
              <w:rPr>
                <w:sz w:val="18"/>
              </w:rPr>
              <w:t>-17,11%</w:t>
            </w:r>
          </w:p>
        </w:tc>
      </w:tr>
      <w:tr>
        <w:tc>
          <w:tcPr>
            <w:tcW w:type="dxa" w:w="1701"/>
          </w:tcPr>
          <w:p>
            <w:pPr>
              <w:jc w:val="left"/>
            </w:pPr>
            <w:r>
              <w:rPr>
                <w:sz w:val="18"/>
              </w:rPr>
              <w:t>Bevis Oval Conference Table, Walnut</w:t>
            </w:r>
          </w:p>
        </w:tc>
        <w:tc>
          <w:tcPr>
            <w:tcW w:type="dxa" w:w="1701"/>
          </w:tcPr>
          <w:p>
            <w:pPr>
              <w:jc w:val="left"/>
            </w:pPr>
            <w:r>
              <w:rPr>
                <w:sz w:val="18"/>
              </w:rPr>
              <w:t>Tables</w:t>
            </w:r>
          </w:p>
        </w:tc>
        <w:tc>
          <w:tcPr>
            <w:tcW w:type="dxa" w:w="1701"/>
          </w:tcPr>
          <w:p>
            <w:pPr>
              <w:jc w:val="right"/>
            </w:pPr>
            <w:r>
              <w:rPr>
                <w:sz w:val="18"/>
              </w:rPr>
              <w:t>$6.942,07</w:t>
            </w:r>
          </w:p>
        </w:tc>
        <w:tc>
          <w:tcPr>
            <w:tcW w:type="dxa" w:w="1701"/>
          </w:tcPr>
          <w:p>
            <w:pPr>
              <w:jc w:val="right"/>
            </w:pPr>
            <w:r>
              <w:rPr>
                <w:sz w:val="18"/>
              </w:rPr>
              <w:t>$-856,01</w:t>
            </w:r>
          </w:p>
        </w:tc>
        <w:tc>
          <w:tcPr>
            <w:tcW w:type="dxa" w:w="1701"/>
          </w:tcPr>
          <w:p>
            <w:pPr>
              <w:jc w:val="right"/>
            </w:pPr>
            <w:r>
              <w:rPr>
                <w:sz w:val="18"/>
              </w:rPr>
              <w:t>-12,33%</w:t>
            </w:r>
          </w:p>
        </w:tc>
      </w:tr>
      <w:tr>
        <w:tc>
          <w:tcPr>
            <w:tcW w:type="dxa" w:w="1701"/>
          </w:tcPr>
          <w:p>
            <w:pPr>
              <w:jc w:val="left"/>
            </w:pPr>
            <w:r>
              <w:rPr>
                <w:sz w:val="18"/>
              </w:rPr>
              <w:t>BPI Conference Tables</w:t>
            </w:r>
          </w:p>
        </w:tc>
        <w:tc>
          <w:tcPr>
            <w:tcW w:type="dxa" w:w="1701"/>
          </w:tcPr>
          <w:p>
            <w:pPr>
              <w:jc w:val="left"/>
            </w:pPr>
            <w:r>
              <w:rPr>
                <w:sz w:val="18"/>
              </w:rPr>
              <w:t>Tables</w:t>
            </w:r>
          </w:p>
        </w:tc>
        <w:tc>
          <w:tcPr>
            <w:tcW w:type="dxa" w:w="1701"/>
          </w:tcPr>
          <w:p>
            <w:pPr>
              <w:jc w:val="right"/>
            </w:pPr>
            <w:r>
              <w:rPr>
                <w:sz w:val="18"/>
              </w:rPr>
              <w:t>$2.241,87</w:t>
            </w:r>
          </w:p>
        </w:tc>
        <w:tc>
          <w:tcPr>
            <w:tcW w:type="dxa" w:w="1701"/>
          </w:tcPr>
          <w:p>
            <w:pPr>
              <w:jc w:val="right"/>
            </w:pPr>
            <w:r>
              <w:rPr>
                <w:sz w:val="18"/>
              </w:rPr>
              <w:t>$-795,97</w:t>
            </w:r>
          </w:p>
        </w:tc>
        <w:tc>
          <w:tcPr>
            <w:tcW w:type="dxa" w:w="1701"/>
          </w:tcPr>
          <w:p>
            <w:pPr>
              <w:jc w:val="right"/>
            </w:pPr>
            <w:r>
              <w:rPr>
                <w:sz w:val="18"/>
              </w:rPr>
              <w:t>-35,50%</w:t>
            </w:r>
          </w:p>
        </w:tc>
      </w:tr>
    </w:tbl>
    <w:p/>
    <w:p>
      <w:pPr>
        <w:jc w:val="center"/>
      </w:pPr>
      <w:r>
        <w:drawing>
          <wp:inline xmlns:a="http://schemas.openxmlformats.org/drawingml/2006/main" xmlns:pic="http://schemas.openxmlformats.org/drawingml/2006/picture">
            <wp:extent cx="5029200" cy="3019231"/>
            <wp:docPr id="4" name="Picture 4"/>
            <wp:cNvGraphicFramePr>
              <a:graphicFrameLocks noChangeAspect="1"/>
            </wp:cNvGraphicFramePr>
            <a:graphic>
              <a:graphicData uri="http://schemas.openxmlformats.org/drawingml/2006/picture">
                <pic:pic>
                  <pic:nvPicPr>
                    <pic:cNvPr id="0" name="top_loss_products.png"/>
                    <pic:cNvPicPr/>
                  </pic:nvPicPr>
                  <pic:blipFill>
                    <a:blip r:embed="rId12"/>
                    <a:stretch>
                      <a:fillRect/>
                    </a:stretch>
                  </pic:blipFill>
                  <pic:spPr>
                    <a:xfrm>
                      <a:off x="0" y="0"/>
                      <a:ext cx="5029200" cy="3019231"/>
                    </a:xfrm>
                    <a:prstGeom prst="rect"/>
                  </pic:spPr>
                </pic:pic>
              </a:graphicData>
            </a:graphic>
          </wp:inline>
        </w:drawing>
      </w:r>
    </w:p>
    <w:p>
      <w:pPr>
        <w:jc w:val="center"/>
      </w:pPr>
      <w:r>
        <w:rPr>
          <w:i/>
          <w:sz w:val="18"/>
        </w:rPr>
        <w:t>Hình 4: Top 10 sản phẩm gây lỗ lớn nhất</w:t>
      </w:r>
    </w:p>
    <w:p/>
    <w:p>
      <w:r>
        <w:rPr>
          <w:b/>
          <w:color w:val="1F497D"/>
          <w:sz w:val="22"/>
        </w:rPr>
        <w:t xml:space="preserve">Sự thật quan sát: </w:t>
      </w:r>
      <w:r>
        <w:rPr>
          <w:sz w:val="22"/>
        </w:rPr>
        <w:t>9/10 sản phẩm lỗ lớn nhất là Tables, chủ yếu bàn hội nghị. Tổng lỗ từ 10 sản phẩm này chiếm phần lớn tổng lỗ của sub-category Tables.</w:t>
      </w:r>
    </w:p>
    <w:p/>
    <w:p>
      <w:r>
        <w:rPr>
          <w:b/>
        </w:rPr>
        <w:t>B5. Tổ hợp region × sub-category nào tạo hoặc hủy lợi nhuận?</w:t>
      </w:r>
    </w:p>
    <w:tbl>
      <w:tblPr>
        <w:tblStyle w:val="LightGrid-Accent1"/>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jc w:val="center"/>
            </w:pPr>
            <w:r>
              <w:rPr>
                <w:b/>
                <w:sz w:val="20"/>
              </w:rPr>
              <w:t>Region</w:t>
            </w:r>
          </w:p>
        </w:tc>
        <w:tc>
          <w:tcPr>
            <w:tcW w:type="dxa" w:w="1215"/>
          </w:tcPr>
          <w:p>
            <w:pPr>
              <w:jc w:val="center"/>
            </w:pPr>
            <w:r>
              <w:rPr>
                <w:b/>
                <w:sz w:val="20"/>
              </w:rPr>
              <w:t>Sub-Category</w:t>
            </w:r>
          </w:p>
        </w:tc>
        <w:tc>
          <w:tcPr>
            <w:tcW w:type="dxa" w:w="1215"/>
          </w:tcPr>
          <w:p>
            <w:pPr>
              <w:jc w:val="center"/>
            </w:pPr>
            <w:r>
              <w:rPr>
                <w:b/>
                <w:sz w:val="20"/>
              </w:rPr>
              <w:t>Doanh thu</w:t>
            </w:r>
          </w:p>
        </w:tc>
        <w:tc>
          <w:tcPr>
            <w:tcW w:type="dxa" w:w="1215"/>
          </w:tcPr>
          <w:p>
            <w:pPr>
              <w:jc w:val="center"/>
            </w:pPr>
            <w:r>
              <w:rPr>
                <w:b/>
                <w:sz w:val="20"/>
              </w:rPr>
              <w:t>Lợi nhuận</w:t>
            </w:r>
          </w:p>
        </w:tc>
        <w:tc>
          <w:tcPr>
            <w:tcW w:type="dxa" w:w="1215"/>
          </w:tcPr>
          <w:p>
            <w:pPr>
              <w:jc w:val="center"/>
            </w:pPr>
            <w:r>
              <w:rPr>
                <w:b/>
                <w:sz w:val="20"/>
              </w:rPr>
              <w:t>Biên %</w:t>
            </w:r>
          </w:p>
        </w:tc>
        <w:tc>
          <w:tcPr>
            <w:tcW w:type="dxa" w:w="1215"/>
          </w:tcPr>
          <w:p>
            <w:pPr>
              <w:jc w:val="center"/>
            </w:pPr>
            <w:r>
              <w:rPr>
                <w:b/>
                <w:sz w:val="20"/>
              </w:rPr>
              <w:t>Disc %</w:t>
            </w:r>
          </w:p>
        </w:tc>
        <w:tc>
          <w:tcPr>
            <w:tcW w:type="dxa" w:w="1215"/>
          </w:tcPr>
          <w:p>
            <w:pPr>
              <w:jc w:val="center"/>
            </w:pPr>
            <w:r>
              <w:rPr>
                <w:b/>
                <w:sz w:val="20"/>
              </w:rPr>
              <w:t>Loss %</w:t>
            </w:r>
          </w:p>
        </w:tc>
      </w:tr>
      <w:tr>
        <w:tc>
          <w:tcPr>
            <w:tcW w:type="dxa" w:w="1215"/>
          </w:tcPr>
          <w:p>
            <w:pPr>
              <w:jc w:val="left"/>
            </w:pPr>
            <w:r>
              <w:rPr>
                <w:sz w:val="18"/>
              </w:rPr>
              <w:t>East</w:t>
            </w:r>
          </w:p>
        </w:tc>
        <w:tc>
          <w:tcPr>
            <w:tcW w:type="dxa" w:w="1215"/>
          </w:tcPr>
          <w:p>
            <w:pPr>
              <w:jc w:val="left"/>
            </w:pPr>
            <w:r>
              <w:rPr>
                <w:sz w:val="18"/>
              </w:rPr>
              <w:t>Tables</w:t>
            </w:r>
          </w:p>
        </w:tc>
        <w:tc>
          <w:tcPr>
            <w:tcW w:type="dxa" w:w="1215"/>
          </w:tcPr>
          <w:p>
            <w:pPr>
              <w:jc w:val="right"/>
            </w:pPr>
            <w:r>
              <w:rPr>
                <w:sz w:val="18"/>
              </w:rPr>
              <w:t>$39.139,81</w:t>
            </w:r>
          </w:p>
        </w:tc>
        <w:tc>
          <w:tcPr>
            <w:tcW w:type="dxa" w:w="1215"/>
          </w:tcPr>
          <w:p>
            <w:pPr>
              <w:jc w:val="right"/>
            </w:pPr>
            <w:r>
              <w:rPr>
                <w:sz w:val="18"/>
              </w:rPr>
              <w:t>$-11.025,38</w:t>
            </w:r>
          </w:p>
        </w:tc>
        <w:tc>
          <w:tcPr>
            <w:tcW w:type="dxa" w:w="1215"/>
          </w:tcPr>
          <w:p>
            <w:pPr>
              <w:jc w:val="right"/>
            </w:pPr>
            <w:r>
              <w:rPr>
                <w:sz w:val="18"/>
              </w:rPr>
              <w:t>-28,17%</w:t>
            </w:r>
          </w:p>
        </w:tc>
        <w:tc>
          <w:tcPr>
            <w:tcW w:type="dxa" w:w="1215"/>
          </w:tcPr>
          <w:p>
            <w:pPr>
              <w:jc w:val="right"/>
            </w:pPr>
            <w:r>
              <w:rPr>
                <w:sz w:val="18"/>
              </w:rPr>
              <w:t>37,37%</w:t>
            </w:r>
          </w:p>
        </w:tc>
        <w:tc>
          <w:tcPr>
            <w:tcW w:type="dxa" w:w="1215"/>
          </w:tcPr>
          <w:p>
            <w:pPr>
              <w:jc w:val="right"/>
            </w:pPr>
            <w:r>
              <w:rPr>
                <w:sz w:val="18"/>
              </w:rPr>
              <w:t>97,50%</w:t>
            </w:r>
          </w:p>
        </w:tc>
      </w:tr>
      <w:tr>
        <w:tc>
          <w:tcPr>
            <w:tcW w:type="dxa" w:w="1215"/>
          </w:tcPr>
          <w:p>
            <w:pPr>
              <w:jc w:val="left"/>
            </w:pPr>
            <w:r>
              <w:rPr>
                <w:sz w:val="18"/>
              </w:rPr>
              <w:t>South</w:t>
            </w:r>
          </w:p>
        </w:tc>
        <w:tc>
          <w:tcPr>
            <w:tcW w:type="dxa" w:w="1215"/>
          </w:tcPr>
          <w:p>
            <w:pPr>
              <w:jc w:val="left"/>
            </w:pPr>
            <w:r>
              <w:rPr>
                <w:sz w:val="18"/>
              </w:rPr>
              <w:t>Tables</w:t>
            </w:r>
          </w:p>
        </w:tc>
        <w:tc>
          <w:tcPr>
            <w:tcW w:type="dxa" w:w="1215"/>
          </w:tcPr>
          <w:p>
            <w:pPr>
              <w:jc w:val="right"/>
            </w:pPr>
            <w:r>
              <w:rPr>
                <w:sz w:val="18"/>
              </w:rPr>
              <w:t>$43.916,19</w:t>
            </w:r>
          </w:p>
        </w:tc>
        <w:tc>
          <w:tcPr>
            <w:tcW w:type="dxa" w:w="1215"/>
          </w:tcPr>
          <w:p>
            <w:pPr>
              <w:jc w:val="right"/>
            </w:pPr>
            <w:r>
              <w:rPr>
                <w:sz w:val="18"/>
              </w:rPr>
              <w:t>$-4.623,06</w:t>
            </w:r>
          </w:p>
        </w:tc>
        <w:tc>
          <w:tcPr>
            <w:tcW w:type="dxa" w:w="1215"/>
          </w:tcPr>
          <w:p>
            <w:pPr>
              <w:jc w:val="right"/>
            </w:pPr>
            <w:r>
              <w:rPr>
                <w:sz w:val="18"/>
              </w:rPr>
              <w:t>-10,53%</w:t>
            </w:r>
          </w:p>
        </w:tc>
        <w:tc>
          <w:tcPr>
            <w:tcW w:type="dxa" w:w="1215"/>
          </w:tcPr>
          <w:p>
            <w:pPr>
              <w:jc w:val="right"/>
            </w:pPr>
            <w:r>
              <w:rPr>
                <w:sz w:val="18"/>
              </w:rPr>
              <w:t>22,25%</w:t>
            </w:r>
          </w:p>
        </w:tc>
        <w:tc>
          <w:tcPr>
            <w:tcW w:type="dxa" w:w="1215"/>
          </w:tcPr>
          <w:p>
            <w:pPr>
              <w:jc w:val="right"/>
            </w:pPr>
            <w:r>
              <w:rPr>
                <w:sz w:val="18"/>
              </w:rPr>
              <w:t>52,94%</w:t>
            </w:r>
          </w:p>
        </w:tc>
      </w:tr>
      <w:tr>
        <w:tc>
          <w:tcPr>
            <w:tcW w:type="dxa" w:w="1215"/>
          </w:tcPr>
          <w:p>
            <w:pPr>
              <w:jc w:val="left"/>
            </w:pPr>
            <w:r>
              <w:rPr>
                <w:sz w:val="18"/>
              </w:rPr>
              <w:t>Central</w:t>
            </w:r>
          </w:p>
        </w:tc>
        <w:tc>
          <w:tcPr>
            <w:tcW w:type="dxa" w:w="1215"/>
          </w:tcPr>
          <w:p>
            <w:pPr>
              <w:jc w:val="left"/>
            </w:pPr>
            <w:r>
              <w:rPr>
                <w:sz w:val="18"/>
              </w:rPr>
              <w:t>Furnishings</w:t>
            </w:r>
          </w:p>
        </w:tc>
        <w:tc>
          <w:tcPr>
            <w:tcW w:type="dxa" w:w="1215"/>
          </w:tcPr>
          <w:p>
            <w:pPr>
              <w:jc w:val="right"/>
            </w:pPr>
            <w:r>
              <w:rPr>
                <w:sz w:val="18"/>
              </w:rPr>
              <w:t>$15.254,37</w:t>
            </w:r>
          </w:p>
        </w:tc>
        <w:tc>
          <w:tcPr>
            <w:tcW w:type="dxa" w:w="1215"/>
          </w:tcPr>
          <w:p>
            <w:pPr>
              <w:jc w:val="right"/>
            </w:pPr>
            <w:r>
              <w:rPr>
                <w:sz w:val="18"/>
              </w:rPr>
              <w:t>$-3.906,22</w:t>
            </w:r>
          </w:p>
        </w:tc>
        <w:tc>
          <w:tcPr>
            <w:tcW w:type="dxa" w:w="1215"/>
          </w:tcPr>
          <w:p>
            <w:pPr>
              <w:jc w:val="right"/>
            </w:pPr>
            <w:r>
              <w:rPr>
                <w:sz w:val="18"/>
              </w:rPr>
              <w:t>-25,61%</w:t>
            </w:r>
          </w:p>
        </w:tc>
        <w:tc>
          <w:tcPr>
            <w:tcW w:type="dxa" w:w="1215"/>
          </w:tcPr>
          <w:p>
            <w:pPr>
              <w:jc w:val="right"/>
            </w:pPr>
            <w:r>
              <w:rPr>
                <w:sz w:val="18"/>
              </w:rPr>
              <w:t>40,39%</w:t>
            </w:r>
          </w:p>
        </w:tc>
        <w:tc>
          <w:tcPr>
            <w:tcW w:type="dxa" w:w="1215"/>
          </w:tcPr>
          <w:p>
            <w:pPr>
              <w:jc w:val="right"/>
            </w:pPr>
            <w:r>
              <w:rPr>
                <w:sz w:val="18"/>
              </w:rPr>
              <w:t>67,32%</w:t>
            </w:r>
          </w:p>
        </w:tc>
      </w:tr>
      <w:tr>
        <w:tc>
          <w:tcPr>
            <w:tcW w:type="dxa" w:w="1215"/>
          </w:tcPr>
          <w:p>
            <w:pPr>
              <w:jc w:val="left"/>
            </w:pPr>
            <w:r>
              <w:rPr>
                <w:sz w:val="18"/>
              </w:rPr>
              <w:t>Central</w:t>
            </w:r>
          </w:p>
        </w:tc>
        <w:tc>
          <w:tcPr>
            <w:tcW w:type="dxa" w:w="1215"/>
          </w:tcPr>
          <w:p>
            <w:pPr>
              <w:jc w:val="left"/>
            </w:pPr>
            <w:r>
              <w:rPr>
                <w:sz w:val="18"/>
              </w:rPr>
              <w:t>Tables</w:t>
            </w:r>
          </w:p>
        </w:tc>
        <w:tc>
          <w:tcPr>
            <w:tcW w:type="dxa" w:w="1215"/>
          </w:tcPr>
          <w:p>
            <w:pPr>
              <w:jc w:val="right"/>
            </w:pPr>
            <w:r>
              <w:rPr>
                <w:sz w:val="18"/>
              </w:rPr>
              <w:t>$39.154,97</w:t>
            </w:r>
          </w:p>
        </w:tc>
        <w:tc>
          <w:tcPr>
            <w:tcW w:type="dxa" w:w="1215"/>
          </w:tcPr>
          <w:p>
            <w:pPr>
              <w:jc w:val="right"/>
            </w:pPr>
            <w:r>
              <w:rPr>
                <w:sz w:val="18"/>
              </w:rPr>
              <w:t>$-3.559,65</w:t>
            </w:r>
          </w:p>
        </w:tc>
        <w:tc>
          <w:tcPr>
            <w:tcW w:type="dxa" w:w="1215"/>
          </w:tcPr>
          <w:p>
            <w:pPr>
              <w:jc w:val="right"/>
            </w:pPr>
            <w:r>
              <w:rPr>
                <w:sz w:val="18"/>
              </w:rPr>
              <w:t>-9,09%</w:t>
            </w:r>
          </w:p>
        </w:tc>
        <w:tc>
          <w:tcPr>
            <w:tcW w:type="dxa" w:w="1215"/>
          </w:tcPr>
          <w:p>
            <w:pPr>
              <w:jc w:val="right"/>
            </w:pPr>
            <w:r>
              <w:rPr>
                <w:sz w:val="18"/>
              </w:rPr>
              <w:t>26,25%</w:t>
            </w:r>
          </w:p>
        </w:tc>
        <w:tc>
          <w:tcPr>
            <w:tcW w:type="dxa" w:w="1215"/>
          </w:tcPr>
          <w:p>
            <w:pPr>
              <w:jc w:val="right"/>
            </w:pPr>
            <w:r>
              <w:rPr>
                <w:sz w:val="18"/>
              </w:rPr>
              <w:t>68,06%</w:t>
            </w:r>
          </w:p>
        </w:tc>
      </w:tr>
      <w:tr>
        <w:tc>
          <w:tcPr>
            <w:tcW w:type="dxa" w:w="1215"/>
          </w:tcPr>
          <w:p>
            <w:pPr>
              <w:jc w:val="left"/>
            </w:pPr>
            <w:r>
              <w:rPr>
                <w:sz w:val="18"/>
              </w:rPr>
              <w:t>Central</w:t>
            </w:r>
          </w:p>
        </w:tc>
        <w:tc>
          <w:tcPr>
            <w:tcW w:type="dxa" w:w="1215"/>
          </w:tcPr>
          <w:p>
            <w:pPr>
              <w:jc w:val="left"/>
            </w:pPr>
            <w:r>
              <w:rPr>
                <w:sz w:val="18"/>
              </w:rPr>
              <w:t>Bookcases</w:t>
            </w:r>
          </w:p>
        </w:tc>
        <w:tc>
          <w:tcPr>
            <w:tcW w:type="dxa" w:w="1215"/>
          </w:tcPr>
          <w:p>
            <w:pPr>
              <w:jc w:val="right"/>
            </w:pPr>
            <w:r>
              <w:rPr>
                <w:sz w:val="18"/>
              </w:rPr>
              <w:t>$24.157,18</w:t>
            </w:r>
          </w:p>
        </w:tc>
        <w:tc>
          <w:tcPr>
            <w:tcW w:type="dxa" w:w="1215"/>
          </w:tcPr>
          <w:p>
            <w:pPr>
              <w:jc w:val="right"/>
            </w:pPr>
            <w:r>
              <w:rPr>
                <w:sz w:val="18"/>
              </w:rPr>
              <w:t>$-1.997,90</w:t>
            </w:r>
          </w:p>
        </w:tc>
        <w:tc>
          <w:tcPr>
            <w:tcW w:type="dxa" w:w="1215"/>
          </w:tcPr>
          <w:p>
            <w:pPr>
              <w:jc w:val="right"/>
            </w:pPr>
            <w:r>
              <w:rPr>
                <w:sz w:val="18"/>
              </w:rPr>
              <w:t>-8,27%</w:t>
            </w:r>
          </w:p>
        </w:tc>
        <w:tc>
          <w:tcPr>
            <w:tcW w:type="dxa" w:w="1215"/>
          </w:tcPr>
          <w:p>
            <w:pPr>
              <w:jc w:val="right"/>
            </w:pPr>
            <w:r>
              <w:rPr>
                <w:sz w:val="18"/>
              </w:rPr>
              <w:t>23,28%</w:t>
            </w:r>
          </w:p>
        </w:tc>
        <w:tc>
          <w:tcPr>
            <w:tcW w:type="dxa" w:w="1215"/>
          </w:tcPr>
          <w:p>
            <w:pPr>
              <w:jc w:val="right"/>
            </w:pPr>
            <w:r>
              <w:rPr>
                <w:sz w:val="18"/>
              </w:rPr>
              <w:t>72,00%</w:t>
            </w:r>
          </w:p>
        </w:tc>
      </w:tr>
      <w:tr>
        <w:tc>
          <w:tcPr>
            <w:tcW w:type="dxa" w:w="1215"/>
          </w:tcPr>
          <w:p>
            <w:pPr>
              <w:jc w:val="left"/>
            </w:pPr>
            <w:r>
              <w:rPr>
                <w:sz w:val="18"/>
              </w:rPr>
              <w:t>West</w:t>
            </w:r>
          </w:p>
        </w:tc>
        <w:tc>
          <w:tcPr>
            <w:tcW w:type="dxa" w:w="1215"/>
          </w:tcPr>
          <w:p>
            <w:pPr>
              <w:jc w:val="left"/>
            </w:pPr>
            <w:r>
              <w:rPr>
                <w:sz w:val="18"/>
              </w:rPr>
              <w:t>Bookcases</w:t>
            </w:r>
          </w:p>
        </w:tc>
        <w:tc>
          <w:tcPr>
            <w:tcW w:type="dxa" w:w="1215"/>
          </w:tcPr>
          <w:p>
            <w:pPr>
              <w:jc w:val="right"/>
            </w:pPr>
            <w:r>
              <w:rPr>
                <w:sz w:val="18"/>
              </w:rPr>
              <w:t>$36.004,12</w:t>
            </w:r>
          </w:p>
        </w:tc>
        <w:tc>
          <w:tcPr>
            <w:tcW w:type="dxa" w:w="1215"/>
          </w:tcPr>
          <w:p>
            <w:pPr>
              <w:jc w:val="right"/>
            </w:pPr>
            <w:r>
              <w:rPr>
                <w:sz w:val="18"/>
              </w:rPr>
              <w:t>$-1.646,51</w:t>
            </w:r>
          </w:p>
        </w:tc>
        <w:tc>
          <w:tcPr>
            <w:tcW w:type="dxa" w:w="1215"/>
          </w:tcPr>
          <w:p>
            <w:pPr>
              <w:jc w:val="right"/>
            </w:pPr>
            <w:r>
              <w:rPr>
                <w:sz w:val="18"/>
              </w:rPr>
              <w:t>-4,57%</w:t>
            </w:r>
          </w:p>
        </w:tc>
        <w:tc>
          <w:tcPr>
            <w:tcW w:type="dxa" w:w="1215"/>
          </w:tcPr>
          <w:p>
            <w:pPr>
              <w:jc w:val="right"/>
            </w:pPr>
            <w:r>
              <w:rPr>
                <w:sz w:val="18"/>
              </w:rPr>
              <w:t>22,87%</w:t>
            </w:r>
          </w:p>
        </w:tc>
        <w:tc>
          <w:tcPr>
            <w:tcW w:type="dxa" w:w="1215"/>
          </w:tcPr>
          <w:p>
            <w:pPr>
              <w:jc w:val="right"/>
            </w:pPr>
            <w:r>
              <w:rPr>
                <w:sz w:val="18"/>
              </w:rPr>
              <w:t>40,00%</w:t>
            </w:r>
          </w:p>
        </w:tc>
      </w:tr>
      <w:tr>
        <w:tc>
          <w:tcPr>
            <w:tcW w:type="dxa" w:w="1215"/>
          </w:tcPr>
          <w:p>
            <w:pPr>
              <w:jc w:val="left"/>
            </w:pPr>
            <w:r>
              <w:rPr>
                <w:sz w:val="18"/>
              </w:rPr>
              <w:t>East</w:t>
            </w:r>
          </w:p>
        </w:tc>
        <w:tc>
          <w:tcPr>
            <w:tcW w:type="dxa" w:w="1215"/>
          </w:tcPr>
          <w:p>
            <w:pPr>
              <w:jc w:val="left"/>
            </w:pPr>
            <w:r>
              <w:rPr>
                <w:sz w:val="18"/>
              </w:rPr>
              <w:t>Bookcases</w:t>
            </w:r>
          </w:p>
        </w:tc>
        <w:tc>
          <w:tcPr>
            <w:tcW w:type="dxa" w:w="1215"/>
          </w:tcPr>
          <w:p>
            <w:pPr>
              <w:jc w:val="right"/>
            </w:pPr>
            <w:r>
              <w:rPr>
                <w:sz w:val="18"/>
              </w:rPr>
              <w:t>$43.819,33</w:t>
            </w:r>
          </w:p>
        </w:tc>
        <w:tc>
          <w:tcPr>
            <w:tcW w:type="dxa" w:w="1215"/>
          </w:tcPr>
          <w:p>
            <w:pPr>
              <w:jc w:val="right"/>
            </w:pPr>
            <w:r>
              <w:rPr>
                <w:sz w:val="18"/>
              </w:rPr>
              <w:t>$-1.167,63</w:t>
            </w:r>
          </w:p>
        </w:tc>
        <w:tc>
          <w:tcPr>
            <w:tcW w:type="dxa" w:w="1215"/>
          </w:tcPr>
          <w:p>
            <w:pPr>
              <w:jc w:val="right"/>
            </w:pPr>
            <w:r>
              <w:rPr>
                <w:sz w:val="18"/>
              </w:rPr>
              <w:t>-2,66%</w:t>
            </w:r>
          </w:p>
        </w:tc>
        <w:tc>
          <w:tcPr>
            <w:tcW w:type="dxa" w:w="1215"/>
          </w:tcPr>
          <w:p>
            <w:pPr>
              <w:jc w:val="right"/>
            </w:pPr>
            <w:r>
              <w:rPr>
                <w:sz w:val="18"/>
              </w:rPr>
              <w:t>22,00%</w:t>
            </w:r>
          </w:p>
        </w:tc>
        <w:tc>
          <w:tcPr>
            <w:tcW w:type="dxa" w:w="1215"/>
          </w:tcPr>
          <w:p>
            <w:pPr>
              <w:jc w:val="right"/>
            </w:pPr>
            <w:r>
              <w:rPr>
                <w:sz w:val="18"/>
              </w:rPr>
              <w:t>47,14%</w:t>
            </w:r>
          </w:p>
        </w:tc>
      </w:tr>
      <w:tr>
        <w:tc>
          <w:tcPr>
            <w:tcW w:type="dxa" w:w="1215"/>
          </w:tcPr>
          <w:p>
            <w:pPr>
              <w:jc w:val="left"/>
            </w:pPr>
            <w:r>
              <w:rPr>
                <w:sz w:val="18"/>
              </w:rPr>
              <w:t>South</w:t>
            </w:r>
          </w:p>
        </w:tc>
        <w:tc>
          <w:tcPr>
            <w:tcW w:type="dxa" w:w="1215"/>
          </w:tcPr>
          <w:p>
            <w:pPr>
              <w:jc w:val="left"/>
            </w:pPr>
            <w:r>
              <w:rPr>
                <w:sz w:val="18"/>
              </w:rPr>
              <w:t>Bookcases</w:t>
            </w:r>
          </w:p>
        </w:tc>
        <w:tc>
          <w:tcPr>
            <w:tcW w:type="dxa" w:w="1215"/>
          </w:tcPr>
          <w:p>
            <w:pPr>
              <w:jc w:val="right"/>
            </w:pPr>
            <w:r>
              <w:rPr>
                <w:sz w:val="18"/>
              </w:rPr>
              <w:t>$10.899,36</w:t>
            </w:r>
          </w:p>
        </w:tc>
        <w:tc>
          <w:tcPr>
            <w:tcW w:type="dxa" w:w="1215"/>
          </w:tcPr>
          <w:p>
            <w:pPr>
              <w:jc w:val="right"/>
            </w:pPr>
            <w:r>
              <w:rPr>
                <w:sz w:val="18"/>
              </w:rPr>
              <w:t>$1.339,49</w:t>
            </w:r>
          </w:p>
        </w:tc>
        <w:tc>
          <w:tcPr>
            <w:tcW w:type="dxa" w:w="1215"/>
          </w:tcPr>
          <w:p>
            <w:pPr>
              <w:jc w:val="right"/>
            </w:pPr>
            <w:r>
              <w:rPr>
                <w:sz w:val="18"/>
              </w:rPr>
              <w:t>12,29%</w:t>
            </w:r>
          </w:p>
        </w:tc>
        <w:tc>
          <w:tcPr>
            <w:tcW w:type="dxa" w:w="1215"/>
          </w:tcPr>
          <w:p>
            <w:pPr>
              <w:jc w:val="right"/>
            </w:pPr>
            <w:r>
              <w:rPr>
                <w:sz w:val="18"/>
              </w:rPr>
              <w:t>10,00%</w:t>
            </w:r>
          </w:p>
        </w:tc>
        <w:tc>
          <w:tcPr>
            <w:tcW w:type="dxa" w:w="1215"/>
          </w:tcPr>
          <w:p>
            <w:pPr>
              <w:jc w:val="right"/>
            </w:pPr>
            <w:r>
              <w:rPr>
                <w:sz w:val="18"/>
              </w:rPr>
              <w:t>28,57%</w:t>
            </w:r>
          </w:p>
        </w:tc>
      </w:tr>
      <w:tr>
        <w:tc>
          <w:tcPr>
            <w:tcW w:type="dxa" w:w="1215"/>
          </w:tcPr>
          <w:p>
            <w:pPr>
              <w:jc w:val="left"/>
            </w:pPr>
            <w:r>
              <w:rPr>
                <w:sz w:val="18"/>
              </w:rPr>
              <w:t>West</w:t>
            </w:r>
          </w:p>
        </w:tc>
        <w:tc>
          <w:tcPr>
            <w:tcW w:type="dxa" w:w="1215"/>
          </w:tcPr>
          <w:p>
            <w:pPr>
              <w:jc w:val="left"/>
            </w:pPr>
            <w:r>
              <w:rPr>
                <w:sz w:val="18"/>
              </w:rPr>
              <w:t>Tables</w:t>
            </w:r>
          </w:p>
        </w:tc>
        <w:tc>
          <w:tcPr>
            <w:tcW w:type="dxa" w:w="1215"/>
          </w:tcPr>
          <w:p>
            <w:pPr>
              <w:jc w:val="right"/>
            </w:pPr>
            <w:r>
              <w:rPr>
                <w:sz w:val="18"/>
              </w:rPr>
              <w:t>$84.754,56</w:t>
            </w:r>
          </w:p>
        </w:tc>
        <w:tc>
          <w:tcPr>
            <w:tcW w:type="dxa" w:w="1215"/>
          </w:tcPr>
          <w:p>
            <w:pPr>
              <w:jc w:val="right"/>
            </w:pPr>
            <w:r>
              <w:rPr>
                <w:sz w:val="18"/>
              </w:rPr>
              <w:t>$1.482,61</w:t>
            </w:r>
          </w:p>
        </w:tc>
        <w:tc>
          <w:tcPr>
            <w:tcW w:type="dxa" w:w="1215"/>
          </w:tcPr>
          <w:p>
            <w:pPr>
              <w:jc w:val="right"/>
            </w:pPr>
            <w:r>
              <w:rPr>
                <w:sz w:val="18"/>
              </w:rPr>
              <w:t>1,75%</w:t>
            </w:r>
          </w:p>
        </w:tc>
        <w:tc>
          <w:tcPr>
            <w:tcW w:type="dxa" w:w="1215"/>
          </w:tcPr>
          <w:p>
            <w:pPr>
              <w:jc w:val="right"/>
            </w:pPr>
            <w:r>
              <w:rPr>
                <w:sz w:val="18"/>
              </w:rPr>
              <w:t>20,00%</w:t>
            </w:r>
          </w:p>
        </w:tc>
        <w:tc>
          <w:tcPr>
            <w:tcW w:type="dxa" w:w="1215"/>
          </w:tcPr>
          <w:p>
            <w:pPr>
              <w:jc w:val="right"/>
            </w:pPr>
            <w:r>
              <w:rPr>
                <w:sz w:val="18"/>
              </w:rPr>
              <w:t>42,24%</w:t>
            </w:r>
          </w:p>
        </w:tc>
      </w:tr>
      <w:tr>
        <w:tc>
          <w:tcPr>
            <w:tcW w:type="dxa" w:w="1215"/>
          </w:tcPr>
          <w:p>
            <w:pPr>
              <w:jc w:val="left"/>
            </w:pPr>
            <w:r>
              <w:rPr>
                <w:sz w:val="18"/>
              </w:rPr>
              <w:t>South</w:t>
            </w:r>
          </w:p>
        </w:tc>
        <w:tc>
          <w:tcPr>
            <w:tcW w:type="dxa" w:w="1215"/>
          </w:tcPr>
          <w:p>
            <w:pPr>
              <w:jc w:val="left"/>
            </w:pPr>
            <w:r>
              <w:rPr>
                <w:sz w:val="18"/>
              </w:rPr>
              <w:t>Furnishings</w:t>
            </w:r>
          </w:p>
        </w:tc>
        <w:tc>
          <w:tcPr>
            <w:tcW w:type="dxa" w:w="1215"/>
          </w:tcPr>
          <w:p>
            <w:pPr>
              <w:jc w:val="right"/>
            </w:pPr>
            <w:r>
              <w:rPr>
                <w:sz w:val="18"/>
              </w:rPr>
              <w:t>$17.306,68</w:t>
            </w:r>
          </w:p>
        </w:tc>
        <w:tc>
          <w:tcPr>
            <w:tcW w:type="dxa" w:w="1215"/>
          </w:tcPr>
          <w:p>
            <w:pPr>
              <w:jc w:val="right"/>
            </w:pPr>
            <w:r>
              <w:rPr>
                <w:sz w:val="18"/>
              </w:rPr>
              <w:t>$3.442,68</w:t>
            </w:r>
          </w:p>
        </w:tc>
        <w:tc>
          <w:tcPr>
            <w:tcW w:type="dxa" w:w="1215"/>
          </w:tcPr>
          <w:p>
            <w:pPr>
              <w:jc w:val="right"/>
            </w:pPr>
            <w:r>
              <w:rPr>
                <w:sz w:val="18"/>
              </w:rPr>
              <w:t>19,89%</w:t>
            </w:r>
          </w:p>
        </w:tc>
        <w:tc>
          <w:tcPr>
            <w:tcW w:type="dxa" w:w="1215"/>
          </w:tcPr>
          <w:p>
            <w:pPr>
              <w:jc w:val="right"/>
            </w:pPr>
            <w:r>
              <w:rPr>
                <w:sz w:val="18"/>
              </w:rPr>
              <w:t>10,67%</w:t>
            </w:r>
          </w:p>
        </w:tc>
        <w:tc>
          <w:tcPr>
            <w:tcW w:type="dxa" w:w="1215"/>
          </w:tcPr>
          <w:p>
            <w:pPr>
              <w:jc w:val="right"/>
            </w:pPr>
            <w:r>
              <w:rPr>
                <w:sz w:val="18"/>
              </w:rPr>
              <w:t>4,24%</w:t>
            </w:r>
          </w:p>
        </w:tc>
      </w:tr>
    </w:tbl>
    <w:p/>
    <w:p>
      <w:pPr>
        <w:jc w:val="center"/>
      </w:pPr>
      <w:r>
        <w:drawing>
          <wp:inline xmlns:a="http://schemas.openxmlformats.org/drawingml/2006/main" xmlns:pic="http://schemas.openxmlformats.org/drawingml/2006/picture">
            <wp:extent cx="5029200" cy="3281861"/>
            <wp:docPr id="5" name="Picture 5"/>
            <wp:cNvGraphicFramePr>
              <a:graphicFrameLocks noChangeAspect="1"/>
            </wp:cNvGraphicFramePr>
            <a:graphic>
              <a:graphicData uri="http://schemas.openxmlformats.org/drawingml/2006/picture">
                <pic:pic>
                  <pic:nvPicPr>
                    <pic:cNvPr id="0" name="region_sub_category_heatmap.png"/>
                    <pic:cNvPicPr/>
                  </pic:nvPicPr>
                  <pic:blipFill>
                    <a:blip r:embed="rId13"/>
                    <a:stretch>
                      <a:fillRect/>
                    </a:stretch>
                  </pic:blipFill>
                  <pic:spPr>
                    <a:xfrm>
                      <a:off x="0" y="0"/>
                      <a:ext cx="5029200" cy="3281861"/>
                    </a:xfrm>
                    <a:prstGeom prst="rect"/>
                  </pic:spPr>
                </pic:pic>
              </a:graphicData>
            </a:graphic>
          </wp:inline>
        </w:drawing>
      </w:r>
    </w:p>
    <w:p>
      <w:pPr>
        <w:jc w:val="center"/>
      </w:pPr>
      <w:r>
        <w:rPr>
          <w:i/>
          <w:sz w:val="18"/>
        </w:rPr>
        <w:t>Hình 5: Heatmap lợi nhuận theo region × sub-category</w:t>
      </w:r>
    </w:p>
    <w:p/>
    <w:p>
      <w:r>
        <w:rPr>
          <w:b/>
          <w:color w:val="0B6E0B"/>
          <w:sz w:val="22"/>
        </w:rPr>
        <w:t xml:space="preserve">Hàm ý kinh doanh: </w:t>
      </w:r>
      <w:r>
        <w:rPr>
          <w:sz w:val="22"/>
        </w:rPr>
        <w:t>East × Tables là tổ hợp lỗ nặng nhất (-$11.025). Central lỗ ở 3/4 sub-categories. Ưu tiên review top loss combinations và ô region × sub-category âm sâu trước.</w:t>
      </w:r>
    </w:p>
    <w:p>
      <w:r>
        <w:br w:type="page"/>
      </w:r>
    </w:p>
    <w:p>
      <w:pPr>
        <w:jc w:val="center"/>
      </w:pPr>
      <w:r>
        <w:drawing>
          <wp:inline xmlns:a="http://schemas.openxmlformats.org/drawingml/2006/main" xmlns:pic="http://schemas.openxmlformats.org/drawingml/2006/picture">
            <wp:extent cx="5029200" cy="2992091"/>
            <wp:docPr id="6" name="Picture 6"/>
            <wp:cNvGraphicFramePr>
              <a:graphicFrameLocks noChangeAspect="1"/>
            </wp:cNvGraphicFramePr>
            <a:graphic>
              <a:graphicData uri="http://schemas.openxmlformats.org/drawingml/2006/picture">
                <pic:pic>
                  <pic:nvPicPr>
                    <pic:cNvPr id="0" name="product_sales_profit_scatter.png"/>
                    <pic:cNvPicPr/>
                  </pic:nvPicPr>
                  <pic:blipFill>
                    <a:blip r:embed="rId14"/>
                    <a:stretch>
                      <a:fillRect/>
                    </a:stretch>
                  </pic:blipFill>
                  <pic:spPr>
                    <a:xfrm>
                      <a:off x="0" y="0"/>
                      <a:ext cx="5029200" cy="2992091"/>
                    </a:xfrm>
                    <a:prstGeom prst="rect"/>
                  </pic:spPr>
                </pic:pic>
              </a:graphicData>
            </a:graphic>
          </wp:inline>
        </w:drawing>
      </w:r>
    </w:p>
    <w:p>
      <w:pPr>
        <w:jc w:val="center"/>
      </w:pPr>
      <w:r>
        <w:rPr>
          <w:i/>
          <w:sz w:val="18"/>
        </w:rPr>
        <w:t>Hình 6: Phân bố sản phẩm theo doanh thu và lợi nhuận (đường zero-profit rõ ràng)</w:t>
      </w:r>
    </w:p>
    <w:p>
      <w:r>
        <w:br w:type="page"/>
      </w:r>
    </w:p>
    <w:p>
      <w:pPr>
        <w:pStyle w:val="Heading2"/>
      </w:pPr>
      <w:r>
        <w:t>4.4. Rủi ro discount và pricing (Nhóm C)</w:t>
      </w:r>
    </w:p>
    <w:p>
      <w:r>
        <w:rPr>
          <w:b/>
        </w:rPr>
        <w:t>C1. Profit và loss rate khác nhau thế nào theo discount band?</w:t>
      </w:r>
    </w:p>
    <w:tbl>
      <w:tblPr>
        <w:tblStyle w:val="LightGrid-Accent1"/>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rPr>
                <w:b/>
                <w:sz w:val="20"/>
              </w:rPr>
              <w:t>Discount Band</w:t>
            </w:r>
          </w:p>
        </w:tc>
        <w:tc>
          <w:tcPr>
            <w:tcW w:type="dxa" w:w="1701"/>
          </w:tcPr>
          <w:p>
            <w:pPr>
              <w:jc w:val="center"/>
            </w:pPr>
            <w:r>
              <w:rPr>
                <w:b/>
                <w:sz w:val="20"/>
              </w:rPr>
              <w:t>Doanh thu</w:t>
            </w:r>
          </w:p>
        </w:tc>
        <w:tc>
          <w:tcPr>
            <w:tcW w:type="dxa" w:w="1701"/>
          </w:tcPr>
          <w:p>
            <w:pPr>
              <w:jc w:val="center"/>
            </w:pPr>
            <w:r>
              <w:rPr>
                <w:b/>
                <w:sz w:val="20"/>
              </w:rPr>
              <w:t>Lợi nhuận</w:t>
            </w:r>
          </w:p>
        </w:tc>
        <w:tc>
          <w:tcPr>
            <w:tcW w:type="dxa" w:w="1701"/>
          </w:tcPr>
          <w:p>
            <w:pPr>
              <w:jc w:val="center"/>
            </w:pPr>
            <w:r>
              <w:rPr>
                <w:b/>
                <w:sz w:val="20"/>
              </w:rPr>
              <w:t>Biên %</w:t>
            </w:r>
          </w:p>
        </w:tc>
        <w:tc>
          <w:tcPr>
            <w:tcW w:type="dxa" w:w="1701"/>
          </w:tcPr>
          <w:p>
            <w:pPr>
              <w:jc w:val="center"/>
            </w:pPr>
            <w:r>
              <w:rPr>
                <w:b/>
                <w:sz w:val="20"/>
              </w:rPr>
              <w:t>Dòng lỗ %</w:t>
            </w:r>
          </w:p>
        </w:tc>
      </w:tr>
      <w:tr>
        <w:tc>
          <w:tcPr>
            <w:tcW w:type="dxa" w:w="1701"/>
          </w:tcPr>
          <w:p>
            <w:pPr>
              <w:jc w:val="right"/>
            </w:pPr>
            <w:r>
              <w:rPr>
                <w:sz w:val="18"/>
              </w:rPr>
              <w:t>0%</w:t>
            </w:r>
          </w:p>
        </w:tc>
        <w:tc>
          <w:tcPr>
            <w:tcW w:type="dxa" w:w="1701"/>
          </w:tcPr>
          <w:p>
            <w:pPr>
              <w:jc w:val="right"/>
            </w:pPr>
            <w:r>
              <w:rPr>
                <w:sz w:val="18"/>
              </w:rPr>
              <w:t>$256.025,27</w:t>
            </w:r>
          </w:p>
        </w:tc>
        <w:tc>
          <w:tcPr>
            <w:tcW w:type="dxa" w:w="1701"/>
          </w:tcPr>
          <w:p>
            <w:pPr>
              <w:jc w:val="right"/>
            </w:pPr>
            <w:r>
              <w:rPr>
                <w:sz w:val="18"/>
              </w:rPr>
              <w:t>$58.133,08</w:t>
            </w:r>
          </w:p>
        </w:tc>
        <w:tc>
          <w:tcPr>
            <w:tcW w:type="dxa" w:w="1701"/>
          </w:tcPr>
          <w:p>
            <w:pPr>
              <w:jc w:val="right"/>
            </w:pPr>
            <w:r>
              <w:rPr>
                <w:sz w:val="18"/>
              </w:rPr>
              <w:t>22,71%</w:t>
            </w:r>
          </w:p>
        </w:tc>
        <w:tc>
          <w:tcPr>
            <w:tcW w:type="dxa" w:w="1701"/>
          </w:tcPr>
          <w:p>
            <w:pPr>
              <w:jc w:val="right"/>
            </w:pPr>
            <w:r>
              <w:rPr>
                <w:sz w:val="18"/>
              </w:rPr>
              <w:t>0,00%</w:t>
            </w:r>
          </w:p>
        </w:tc>
      </w:tr>
      <w:tr>
        <w:tc>
          <w:tcPr>
            <w:tcW w:type="dxa" w:w="1701"/>
          </w:tcPr>
          <w:p>
            <w:pPr>
              <w:jc w:val="right"/>
            </w:pPr>
            <w:r>
              <w:rPr>
                <w:sz w:val="18"/>
              </w:rPr>
              <w:t>1-10%</w:t>
            </w:r>
          </w:p>
        </w:tc>
        <w:tc>
          <w:tcPr>
            <w:tcW w:type="dxa" w:w="1701"/>
          </w:tcPr>
          <w:p>
            <w:pPr>
              <w:jc w:val="right"/>
            </w:pPr>
            <w:r>
              <w:rPr>
                <w:sz w:val="18"/>
              </w:rPr>
              <w:t>$46.634,25</w:t>
            </w:r>
          </w:p>
        </w:tc>
        <w:tc>
          <w:tcPr>
            <w:tcW w:type="dxa" w:w="1701"/>
          </w:tcPr>
          <w:p>
            <w:pPr>
              <w:jc w:val="right"/>
            </w:pPr>
            <w:r>
              <w:rPr>
                <w:sz w:val="18"/>
              </w:rPr>
              <w:t>$7.111,01</w:t>
            </w:r>
          </w:p>
        </w:tc>
        <w:tc>
          <w:tcPr>
            <w:tcW w:type="dxa" w:w="1701"/>
          </w:tcPr>
          <w:p>
            <w:pPr>
              <w:jc w:val="right"/>
            </w:pPr>
            <w:r>
              <w:rPr>
                <w:sz w:val="18"/>
              </w:rPr>
              <w:t>15,25%</w:t>
            </w:r>
          </w:p>
        </w:tc>
        <w:tc>
          <w:tcPr>
            <w:tcW w:type="dxa" w:w="1701"/>
          </w:tcPr>
          <w:p>
            <w:pPr>
              <w:jc w:val="right"/>
            </w:pPr>
            <w:r>
              <w:rPr>
                <w:sz w:val="18"/>
              </w:rPr>
              <w:t>5,26%</w:t>
            </w:r>
          </w:p>
        </w:tc>
      </w:tr>
      <w:tr>
        <w:tc>
          <w:tcPr>
            <w:tcW w:type="dxa" w:w="1701"/>
          </w:tcPr>
          <w:p>
            <w:pPr>
              <w:jc w:val="right"/>
            </w:pPr>
            <w:r>
              <w:rPr>
                <w:sz w:val="18"/>
              </w:rPr>
              <w:t>11-20%</w:t>
            </w:r>
          </w:p>
        </w:tc>
        <w:tc>
          <w:tcPr>
            <w:tcW w:type="dxa" w:w="1701"/>
          </w:tcPr>
          <w:p>
            <w:pPr>
              <w:jc w:val="right"/>
            </w:pPr>
            <w:r>
              <w:rPr>
                <w:sz w:val="18"/>
              </w:rPr>
              <w:t>$244.189,54</w:t>
            </w:r>
          </w:p>
        </w:tc>
        <w:tc>
          <w:tcPr>
            <w:tcW w:type="dxa" w:w="1701"/>
          </w:tcPr>
          <w:p>
            <w:pPr>
              <w:jc w:val="right"/>
            </w:pPr>
            <w:r>
              <w:rPr>
                <w:sz w:val="18"/>
              </w:rPr>
              <w:t>$7.684,94</w:t>
            </w:r>
          </w:p>
        </w:tc>
        <w:tc>
          <w:tcPr>
            <w:tcW w:type="dxa" w:w="1701"/>
          </w:tcPr>
          <w:p>
            <w:pPr>
              <w:jc w:val="right"/>
            </w:pPr>
            <w:r>
              <w:rPr>
                <w:sz w:val="18"/>
              </w:rPr>
              <w:t>3,15%</w:t>
            </w:r>
          </w:p>
        </w:tc>
        <w:tc>
          <w:tcPr>
            <w:tcW w:type="dxa" w:w="1701"/>
          </w:tcPr>
          <w:p>
            <w:pPr>
              <w:jc w:val="right"/>
            </w:pPr>
            <w:r>
              <w:rPr>
                <w:sz w:val="18"/>
              </w:rPr>
              <w:t>27,44%</w:t>
            </w:r>
          </w:p>
        </w:tc>
      </w:tr>
      <w:tr>
        <w:tc>
          <w:tcPr>
            <w:tcW w:type="dxa" w:w="1701"/>
          </w:tcPr>
          <w:p>
            <w:pPr>
              <w:jc w:val="right"/>
            </w:pPr>
            <w:r>
              <w:rPr>
                <w:sz w:val="18"/>
              </w:rPr>
              <w:t>21-30%</w:t>
            </w:r>
          </w:p>
        </w:tc>
        <w:tc>
          <w:tcPr>
            <w:tcW w:type="dxa" w:w="1701"/>
          </w:tcPr>
          <w:p>
            <w:pPr>
              <w:jc w:val="right"/>
            </w:pPr>
            <w:r>
              <w:rPr>
                <w:sz w:val="18"/>
              </w:rPr>
              <w:t>$99.470,35</w:t>
            </w:r>
          </w:p>
        </w:tc>
        <w:tc>
          <w:tcPr>
            <w:tcW w:type="dxa" w:w="1701"/>
          </w:tcPr>
          <w:p>
            <w:pPr>
              <w:jc w:val="right"/>
            </w:pPr>
            <w:r>
              <w:rPr>
                <w:sz w:val="18"/>
              </w:rPr>
              <w:t>$-10.695,32</w:t>
            </w:r>
          </w:p>
        </w:tc>
        <w:tc>
          <w:tcPr>
            <w:tcW w:type="dxa" w:w="1701"/>
          </w:tcPr>
          <w:p>
            <w:pPr>
              <w:jc w:val="right"/>
            </w:pPr>
            <w:r>
              <w:rPr>
                <w:sz w:val="18"/>
              </w:rPr>
              <w:t>-10,75%</w:t>
            </w:r>
          </w:p>
        </w:tc>
        <w:tc>
          <w:tcPr>
            <w:tcW w:type="dxa" w:w="1701"/>
          </w:tcPr>
          <w:p>
            <w:pPr>
              <w:jc w:val="right"/>
            </w:pPr>
            <w:r>
              <w:rPr>
                <w:sz w:val="18"/>
              </w:rPr>
              <w:t>93,24%</w:t>
            </w:r>
          </w:p>
        </w:tc>
      </w:tr>
      <w:tr>
        <w:tc>
          <w:tcPr>
            <w:tcW w:type="dxa" w:w="1701"/>
          </w:tcPr>
          <w:p>
            <w:pPr>
              <w:jc w:val="right"/>
            </w:pPr>
            <w:r>
              <w:rPr>
                <w:sz w:val="18"/>
              </w:rPr>
              <w:t>&gt;30%</w:t>
            </w:r>
          </w:p>
        </w:tc>
        <w:tc>
          <w:tcPr>
            <w:tcW w:type="dxa" w:w="1701"/>
          </w:tcPr>
          <w:p>
            <w:pPr>
              <w:jc w:val="right"/>
            </w:pPr>
            <w:r>
              <w:rPr>
                <w:sz w:val="18"/>
              </w:rPr>
              <w:t>$95.680,39</w:t>
            </w:r>
          </w:p>
        </w:tc>
        <w:tc>
          <w:tcPr>
            <w:tcW w:type="dxa" w:w="1701"/>
          </w:tcPr>
          <w:p>
            <w:pPr>
              <w:jc w:val="right"/>
            </w:pPr>
            <w:r>
              <w:rPr>
                <w:sz w:val="18"/>
              </w:rPr>
              <w:t>$-43.782,44</w:t>
            </w:r>
          </w:p>
        </w:tc>
        <w:tc>
          <w:tcPr>
            <w:tcW w:type="dxa" w:w="1701"/>
          </w:tcPr>
          <w:p>
            <w:pPr>
              <w:jc w:val="right"/>
            </w:pPr>
            <w:r>
              <w:rPr>
                <w:sz w:val="18"/>
              </w:rPr>
              <w:t>-45,76%</w:t>
            </w:r>
          </w:p>
        </w:tc>
        <w:tc>
          <w:tcPr>
            <w:tcW w:type="dxa" w:w="1701"/>
          </w:tcPr>
          <w:p>
            <w:pPr>
              <w:jc w:val="right"/>
            </w:pPr>
            <w:r>
              <w:rPr>
                <w:sz w:val="18"/>
              </w:rPr>
              <w:t>100,00%</w:t>
            </w:r>
          </w:p>
        </w:tc>
      </w:tr>
    </w:tbl>
    <w:p/>
    <w:p>
      <w:pPr>
        <w:jc w:val="center"/>
      </w:pPr>
      <w:r>
        <w:drawing>
          <wp:inline xmlns:a="http://schemas.openxmlformats.org/drawingml/2006/main" xmlns:pic="http://schemas.openxmlformats.org/drawingml/2006/picture">
            <wp:extent cx="5029200" cy="3100337"/>
            <wp:docPr id="7" name="Picture 7"/>
            <wp:cNvGraphicFramePr>
              <a:graphicFrameLocks noChangeAspect="1"/>
            </wp:cNvGraphicFramePr>
            <a:graphic>
              <a:graphicData uri="http://schemas.openxmlformats.org/drawingml/2006/picture">
                <pic:pic>
                  <pic:nvPicPr>
                    <pic:cNvPr id="0" name="discount_band_margin.png"/>
                    <pic:cNvPicPr/>
                  </pic:nvPicPr>
                  <pic:blipFill>
                    <a:blip r:embed="rId15"/>
                    <a:stretch>
                      <a:fillRect/>
                    </a:stretch>
                  </pic:blipFill>
                  <pic:spPr>
                    <a:xfrm>
                      <a:off x="0" y="0"/>
                      <a:ext cx="5029200" cy="3100337"/>
                    </a:xfrm>
                    <a:prstGeom prst="rect"/>
                  </pic:spPr>
                </pic:pic>
              </a:graphicData>
            </a:graphic>
          </wp:inline>
        </w:drawing>
      </w:r>
    </w:p>
    <w:p>
      <w:pPr>
        <w:jc w:val="center"/>
      </w:pPr>
      <w:r>
        <w:rPr>
          <w:i/>
          <w:sz w:val="18"/>
        </w:rPr>
        <w:t>Hình 7: Biên lợi nhuận theo discount band</w:t>
      </w:r>
    </w:p>
    <w:p/>
    <w:p>
      <w:r>
        <w:rPr>
          <w:b/>
          <w:color w:val="1F497D"/>
          <w:sz w:val="22"/>
        </w:rPr>
        <w:t xml:space="preserve">Sự thật quan sát: </w:t>
      </w:r>
      <w:r>
        <w:rPr>
          <w:sz w:val="22"/>
        </w:rPr>
        <w:t>Discount 0% biên 22,71%, tỷ lệ lỗ 0%. Discount ≥30% biên -45,76%, 100% lỗ. Nhóm discount ≥30% chiếm 26,30% doanh thu nhưng tạo lỗ -$54.477,76 — tương đương gấp 3 lần tổng lợi nhuận toàn dataset.</w:t>
      </w:r>
    </w:p>
    <w:p/>
    <w:p>
      <w:r>
        <w:rPr>
          <w:b/>
        </w:rPr>
        <w:t>C2. Ngưỡng discount đầu tiên có aggregate profit âm:</w:t>
      </w:r>
    </w:p>
    <w:p>
      <w:r>
        <w:t>Discount 30,00% là mức đầu tiên có tổng profit âm trong bảng exact discount, với profit $-10.695,32. Nhóm discount ≥30% có profit $-54.477,76 và loss-line rate 97,23%.</w:t>
      </w:r>
    </w:p>
    <w:p>
      <w:r>
        <w:rPr>
          <w:b/>
          <w:color w:val="0B6E0B"/>
          <w:sz w:val="22"/>
        </w:rPr>
        <w:t xml:space="preserve">Hàm ý kinh doanh: </w:t>
      </w:r>
      <w:r>
        <w:rPr>
          <w:sz w:val="22"/>
        </w:rPr>
        <w:t>Discount ≥30% nên là exception cần phê duyệt margin, không phải công cụ bán hàng thường xuyên.</w:t>
      </w:r>
    </w:p>
    <w:p/>
    <w:p>
      <w:r>
        <w:rPr>
          <w:b/>
        </w:rPr>
        <w:t>C3. Nhóm nào phơi nhiễm discount cao nhất?</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Sub-Category</w:t>
            </w:r>
          </w:p>
        </w:tc>
        <w:tc>
          <w:tcPr>
            <w:tcW w:type="dxa" w:w="1417"/>
          </w:tcPr>
          <w:p>
            <w:pPr>
              <w:jc w:val="center"/>
            </w:pPr>
            <w:r>
              <w:rPr>
                <w:b/>
                <w:sz w:val="20"/>
              </w:rPr>
              <w:t>Region</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Disc %</w:t>
            </w:r>
          </w:p>
        </w:tc>
        <w:tc>
          <w:tcPr>
            <w:tcW w:type="dxa" w:w="1417"/>
          </w:tcPr>
          <w:p>
            <w:pPr>
              <w:jc w:val="center"/>
            </w:pPr>
            <w:r>
              <w:rPr>
                <w:b/>
                <w:sz w:val="20"/>
              </w:rPr>
              <w:t>Loss %</w:t>
            </w:r>
          </w:p>
        </w:tc>
      </w:tr>
      <w:tr>
        <w:tc>
          <w:tcPr>
            <w:tcW w:type="dxa" w:w="1417"/>
          </w:tcPr>
          <w:p>
            <w:pPr>
              <w:jc w:val="left"/>
            </w:pPr>
            <w:r>
              <w:rPr>
                <w:sz w:val="18"/>
              </w:rPr>
              <w:t>Tables</w:t>
            </w:r>
          </w:p>
        </w:tc>
        <w:tc>
          <w:tcPr>
            <w:tcW w:type="dxa" w:w="1417"/>
          </w:tcPr>
          <w:p>
            <w:pPr>
              <w:jc w:val="left"/>
            </w:pPr>
            <w:r>
              <w:rPr>
                <w:sz w:val="18"/>
              </w:rPr>
              <w:t>East</w:t>
            </w:r>
          </w:p>
        </w:tc>
        <w:tc>
          <w:tcPr>
            <w:tcW w:type="dxa" w:w="1417"/>
          </w:tcPr>
          <w:p>
            <w:pPr>
              <w:jc w:val="right"/>
            </w:pPr>
            <w:r>
              <w:rPr>
                <w:sz w:val="18"/>
              </w:rPr>
              <w:t>$39.139,81</w:t>
            </w:r>
          </w:p>
        </w:tc>
        <w:tc>
          <w:tcPr>
            <w:tcW w:type="dxa" w:w="1417"/>
          </w:tcPr>
          <w:p>
            <w:pPr>
              <w:jc w:val="right"/>
            </w:pPr>
            <w:r>
              <w:rPr>
                <w:sz w:val="18"/>
              </w:rPr>
              <w:t>$-11.025,38</w:t>
            </w:r>
          </w:p>
        </w:tc>
        <w:tc>
          <w:tcPr>
            <w:tcW w:type="dxa" w:w="1417"/>
          </w:tcPr>
          <w:p>
            <w:pPr>
              <w:jc w:val="right"/>
            </w:pPr>
            <w:r>
              <w:rPr>
                <w:sz w:val="18"/>
              </w:rPr>
              <w:t>37,37%</w:t>
            </w:r>
          </w:p>
        </w:tc>
        <w:tc>
          <w:tcPr>
            <w:tcW w:type="dxa" w:w="1417"/>
          </w:tcPr>
          <w:p>
            <w:pPr>
              <w:jc w:val="right"/>
            </w:pPr>
            <w:r>
              <w:rPr>
                <w:sz w:val="18"/>
              </w:rPr>
              <w:t>97,50%</w:t>
            </w:r>
          </w:p>
        </w:tc>
      </w:tr>
      <w:tr>
        <w:tc>
          <w:tcPr>
            <w:tcW w:type="dxa" w:w="1417"/>
          </w:tcPr>
          <w:p>
            <w:pPr>
              <w:jc w:val="left"/>
            </w:pPr>
            <w:r>
              <w:rPr>
                <w:sz w:val="18"/>
              </w:rPr>
              <w:t>Tables</w:t>
            </w:r>
          </w:p>
        </w:tc>
        <w:tc>
          <w:tcPr>
            <w:tcW w:type="dxa" w:w="1417"/>
          </w:tcPr>
          <w:p>
            <w:pPr>
              <w:jc w:val="left"/>
            </w:pPr>
            <w:r>
              <w:rPr>
                <w:sz w:val="18"/>
              </w:rPr>
              <w:t>South</w:t>
            </w:r>
          </w:p>
        </w:tc>
        <w:tc>
          <w:tcPr>
            <w:tcW w:type="dxa" w:w="1417"/>
          </w:tcPr>
          <w:p>
            <w:pPr>
              <w:jc w:val="right"/>
            </w:pPr>
            <w:r>
              <w:rPr>
                <w:sz w:val="18"/>
              </w:rPr>
              <w:t>$21.381,06</w:t>
            </w:r>
          </w:p>
        </w:tc>
        <w:tc>
          <w:tcPr>
            <w:tcW w:type="dxa" w:w="1417"/>
          </w:tcPr>
          <w:p>
            <w:pPr>
              <w:jc w:val="right"/>
            </w:pPr>
            <w:r>
              <w:rPr>
                <w:sz w:val="18"/>
              </w:rPr>
              <w:t>$-8.840,78</w:t>
            </w:r>
          </w:p>
        </w:tc>
        <w:tc>
          <w:tcPr>
            <w:tcW w:type="dxa" w:w="1417"/>
          </w:tcPr>
          <w:p>
            <w:pPr>
              <w:jc w:val="right"/>
            </w:pPr>
            <w:r>
              <w:rPr>
                <w:sz w:val="18"/>
              </w:rPr>
              <w:t>42,04%</w:t>
            </w:r>
          </w:p>
        </w:tc>
        <w:tc>
          <w:tcPr>
            <w:tcW w:type="dxa" w:w="1417"/>
          </w:tcPr>
          <w:p>
            <w:pPr>
              <w:jc w:val="right"/>
            </w:pPr>
            <w:r>
              <w:rPr>
                <w:sz w:val="18"/>
              </w:rPr>
              <w:t>100,00%</w:t>
            </w:r>
          </w:p>
        </w:tc>
      </w:tr>
      <w:tr>
        <w:tc>
          <w:tcPr>
            <w:tcW w:type="dxa" w:w="1417"/>
          </w:tcPr>
          <w:p>
            <w:pPr>
              <w:jc w:val="left"/>
            </w:pPr>
            <w:r>
              <w:rPr>
                <w:sz w:val="18"/>
              </w:rPr>
              <w:t>Tables</w:t>
            </w:r>
          </w:p>
        </w:tc>
        <w:tc>
          <w:tcPr>
            <w:tcW w:type="dxa" w:w="1417"/>
          </w:tcPr>
          <w:p>
            <w:pPr>
              <w:jc w:val="left"/>
            </w:pPr>
            <w:r>
              <w:rPr>
                <w:sz w:val="18"/>
              </w:rPr>
              <w:t>Central</w:t>
            </w:r>
          </w:p>
        </w:tc>
        <w:tc>
          <w:tcPr>
            <w:tcW w:type="dxa" w:w="1417"/>
          </w:tcPr>
          <w:p>
            <w:pPr>
              <w:jc w:val="right"/>
            </w:pPr>
            <w:r>
              <w:rPr>
                <w:sz w:val="18"/>
              </w:rPr>
              <w:t>$22.311,33</w:t>
            </w:r>
          </w:p>
        </w:tc>
        <w:tc>
          <w:tcPr>
            <w:tcW w:type="dxa" w:w="1417"/>
          </w:tcPr>
          <w:p>
            <w:pPr>
              <w:jc w:val="right"/>
            </w:pPr>
            <w:r>
              <w:rPr>
                <w:sz w:val="18"/>
              </w:rPr>
              <w:t>$-6.526,42</w:t>
            </w:r>
          </w:p>
        </w:tc>
        <w:tc>
          <w:tcPr>
            <w:tcW w:type="dxa" w:w="1417"/>
          </w:tcPr>
          <w:p>
            <w:pPr>
              <w:jc w:val="right"/>
            </w:pPr>
            <w:r>
              <w:rPr>
                <w:sz w:val="18"/>
              </w:rPr>
              <w:t>37,06%</w:t>
            </w:r>
          </w:p>
        </w:tc>
        <w:tc>
          <w:tcPr>
            <w:tcW w:type="dxa" w:w="1417"/>
          </w:tcPr>
          <w:p>
            <w:pPr>
              <w:jc w:val="right"/>
            </w:pPr>
            <w:r>
              <w:rPr>
                <w:sz w:val="18"/>
              </w:rPr>
              <w:t>96,08%</w:t>
            </w:r>
          </w:p>
        </w:tc>
      </w:tr>
      <w:tr>
        <w:tc>
          <w:tcPr>
            <w:tcW w:type="dxa" w:w="1417"/>
          </w:tcPr>
          <w:p>
            <w:pPr>
              <w:jc w:val="left"/>
            </w:pPr>
            <w:r>
              <w:rPr>
                <w:sz w:val="18"/>
              </w:rPr>
              <w:t>Furnishings</w:t>
            </w:r>
          </w:p>
        </w:tc>
        <w:tc>
          <w:tcPr>
            <w:tcW w:type="dxa" w:w="1417"/>
          </w:tcPr>
          <w:p>
            <w:pPr>
              <w:jc w:val="left"/>
            </w:pPr>
            <w:r>
              <w:rPr>
                <w:sz w:val="18"/>
              </w:rPr>
              <w:t>Central</w:t>
            </w:r>
          </w:p>
        </w:tc>
        <w:tc>
          <w:tcPr>
            <w:tcW w:type="dxa" w:w="1417"/>
          </w:tcPr>
          <w:p>
            <w:pPr>
              <w:jc w:val="right"/>
            </w:pPr>
            <w:r>
              <w:rPr>
                <w:sz w:val="18"/>
              </w:rPr>
              <w:t>$6.644,70</w:t>
            </w:r>
          </w:p>
        </w:tc>
        <w:tc>
          <w:tcPr>
            <w:tcW w:type="dxa" w:w="1417"/>
          </w:tcPr>
          <w:p>
            <w:pPr>
              <w:jc w:val="right"/>
            </w:pPr>
            <w:r>
              <w:rPr>
                <w:sz w:val="18"/>
              </w:rPr>
              <w:t>$-5.944,66</w:t>
            </w:r>
          </w:p>
        </w:tc>
        <w:tc>
          <w:tcPr>
            <w:tcW w:type="dxa" w:w="1417"/>
          </w:tcPr>
          <w:p>
            <w:pPr>
              <w:jc w:val="right"/>
            </w:pPr>
            <w:r>
              <w:rPr>
                <w:sz w:val="18"/>
              </w:rPr>
              <w:t>60,00%</w:t>
            </w:r>
          </w:p>
        </w:tc>
        <w:tc>
          <w:tcPr>
            <w:tcW w:type="dxa" w:w="1417"/>
          </w:tcPr>
          <w:p>
            <w:pPr>
              <w:jc w:val="right"/>
            </w:pPr>
            <w:r>
              <w:rPr>
                <w:sz w:val="18"/>
              </w:rPr>
              <w:t>100,00%</w:t>
            </w:r>
          </w:p>
        </w:tc>
      </w:tr>
      <w:tr>
        <w:tc>
          <w:tcPr>
            <w:tcW w:type="dxa" w:w="1417"/>
          </w:tcPr>
          <w:p>
            <w:pPr>
              <w:jc w:val="left"/>
            </w:pPr>
            <w:r>
              <w:rPr>
                <w:sz w:val="18"/>
              </w:rPr>
              <w:t>Tables</w:t>
            </w:r>
          </w:p>
        </w:tc>
        <w:tc>
          <w:tcPr>
            <w:tcW w:type="dxa" w:w="1417"/>
          </w:tcPr>
          <w:p>
            <w:pPr>
              <w:jc w:val="left"/>
            </w:pPr>
            <w:r>
              <w:rPr>
                <w:sz w:val="18"/>
              </w:rPr>
              <w:t>West</w:t>
            </w:r>
          </w:p>
        </w:tc>
        <w:tc>
          <w:tcPr>
            <w:tcW w:type="dxa" w:w="1417"/>
          </w:tcPr>
          <w:p>
            <w:pPr>
              <w:jc w:val="right"/>
            </w:pPr>
            <w:r>
              <w:rPr>
                <w:sz w:val="18"/>
              </w:rPr>
              <w:t>$7.124,34</w:t>
            </w:r>
          </w:p>
        </w:tc>
        <w:tc>
          <w:tcPr>
            <w:tcW w:type="dxa" w:w="1417"/>
          </w:tcPr>
          <w:p>
            <w:pPr>
              <w:jc w:val="right"/>
            </w:pPr>
            <w:r>
              <w:rPr>
                <w:sz w:val="18"/>
              </w:rPr>
              <w:t>$-4.305,64</w:t>
            </w:r>
          </w:p>
        </w:tc>
        <w:tc>
          <w:tcPr>
            <w:tcW w:type="dxa" w:w="1417"/>
          </w:tcPr>
          <w:p>
            <w:pPr>
              <w:jc w:val="right"/>
            </w:pPr>
            <w:r>
              <w:rPr>
                <w:sz w:val="18"/>
              </w:rPr>
              <w:t>50,00%</w:t>
            </w:r>
          </w:p>
        </w:tc>
        <w:tc>
          <w:tcPr>
            <w:tcW w:type="dxa" w:w="1417"/>
          </w:tcPr>
          <w:p>
            <w:pPr>
              <w:jc w:val="right"/>
            </w:pPr>
            <w:r>
              <w:rPr>
                <w:sz w:val="18"/>
              </w:rPr>
              <w:t>100,00%</w:t>
            </w:r>
          </w:p>
        </w:tc>
      </w:tr>
      <w:tr>
        <w:tc>
          <w:tcPr>
            <w:tcW w:type="dxa" w:w="1417"/>
          </w:tcPr>
          <w:p>
            <w:pPr>
              <w:jc w:val="left"/>
            </w:pPr>
            <w:r>
              <w:rPr>
                <w:sz w:val="18"/>
              </w:rPr>
              <w:t>Bookcases</w:t>
            </w:r>
          </w:p>
        </w:tc>
        <w:tc>
          <w:tcPr>
            <w:tcW w:type="dxa" w:w="1417"/>
          </w:tcPr>
          <w:p>
            <w:pPr>
              <w:jc w:val="left"/>
            </w:pPr>
            <w:r>
              <w:rPr>
                <w:sz w:val="18"/>
              </w:rPr>
              <w:t>East</w:t>
            </w:r>
          </w:p>
        </w:tc>
        <w:tc>
          <w:tcPr>
            <w:tcW w:type="dxa" w:w="1417"/>
          </w:tcPr>
          <w:p>
            <w:pPr>
              <w:jc w:val="right"/>
            </w:pPr>
            <w:r>
              <w:rPr>
                <w:sz w:val="18"/>
              </w:rPr>
              <w:t>$7.308,46</w:t>
            </w:r>
          </w:p>
        </w:tc>
        <w:tc>
          <w:tcPr>
            <w:tcW w:type="dxa" w:w="1417"/>
          </w:tcPr>
          <w:p>
            <w:pPr>
              <w:jc w:val="right"/>
            </w:pPr>
            <w:r>
              <w:rPr>
                <w:sz w:val="18"/>
              </w:rPr>
              <w:t>$-4.255,81</w:t>
            </w:r>
          </w:p>
        </w:tc>
        <w:tc>
          <w:tcPr>
            <w:tcW w:type="dxa" w:w="1417"/>
          </w:tcPr>
          <w:p>
            <w:pPr>
              <w:jc w:val="right"/>
            </w:pPr>
            <w:r>
              <w:rPr>
                <w:sz w:val="18"/>
              </w:rPr>
              <w:t>50,00%</w:t>
            </w:r>
          </w:p>
        </w:tc>
        <w:tc>
          <w:tcPr>
            <w:tcW w:type="dxa" w:w="1417"/>
          </w:tcPr>
          <w:p>
            <w:pPr>
              <w:jc w:val="right"/>
            </w:pPr>
            <w:r>
              <w:rPr>
                <w:sz w:val="18"/>
              </w:rPr>
              <w:t>100,00%</w:t>
            </w:r>
          </w:p>
        </w:tc>
      </w:tr>
      <w:tr>
        <w:tc>
          <w:tcPr>
            <w:tcW w:type="dxa" w:w="1417"/>
          </w:tcPr>
          <w:p>
            <w:pPr>
              <w:jc w:val="left"/>
            </w:pPr>
            <w:r>
              <w:rPr>
                <w:sz w:val="18"/>
              </w:rPr>
              <w:t>Chairs</w:t>
            </w:r>
          </w:p>
        </w:tc>
        <w:tc>
          <w:tcPr>
            <w:tcW w:type="dxa" w:w="1417"/>
          </w:tcPr>
          <w:p>
            <w:pPr>
              <w:jc w:val="left"/>
            </w:pPr>
            <w:r>
              <w:rPr>
                <w:sz w:val="18"/>
              </w:rPr>
              <w:t>Central</w:t>
            </w:r>
          </w:p>
        </w:tc>
        <w:tc>
          <w:tcPr>
            <w:tcW w:type="dxa" w:w="1417"/>
          </w:tcPr>
          <w:p>
            <w:pPr>
              <w:jc w:val="right"/>
            </w:pPr>
            <w:r>
              <w:rPr>
                <w:sz w:val="18"/>
              </w:rPr>
              <w:t>$41.135,63</w:t>
            </w:r>
          </w:p>
        </w:tc>
        <w:tc>
          <w:tcPr>
            <w:tcW w:type="dxa" w:w="1417"/>
          </w:tcPr>
          <w:p>
            <w:pPr>
              <w:jc w:val="right"/>
            </w:pPr>
            <w:r>
              <w:rPr>
                <w:sz w:val="18"/>
              </w:rPr>
              <w:t>$-4.094,34</w:t>
            </w:r>
          </w:p>
        </w:tc>
        <w:tc>
          <w:tcPr>
            <w:tcW w:type="dxa" w:w="1417"/>
          </w:tcPr>
          <w:p>
            <w:pPr>
              <w:jc w:val="right"/>
            </w:pPr>
            <w:r>
              <w:rPr>
                <w:sz w:val="18"/>
              </w:rPr>
              <w:t>30,00%</w:t>
            </w:r>
          </w:p>
        </w:tc>
        <w:tc>
          <w:tcPr>
            <w:tcW w:type="dxa" w:w="1417"/>
          </w:tcPr>
          <w:p>
            <w:pPr>
              <w:jc w:val="right"/>
            </w:pPr>
            <w:r>
              <w:rPr>
                <w:sz w:val="18"/>
              </w:rPr>
              <w:t>94,95%</w:t>
            </w:r>
          </w:p>
        </w:tc>
      </w:tr>
      <w:tr>
        <w:tc>
          <w:tcPr>
            <w:tcW w:type="dxa" w:w="1417"/>
          </w:tcPr>
          <w:p>
            <w:pPr>
              <w:jc w:val="left"/>
            </w:pPr>
            <w:r>
              <w:rPr>
                <w:sz w:val="18"/>
              </w:rPr>
              <w:t>Bookcases</w:t>
            </w:r>
          </w:p>
        </w:tc>
        <w:tc>
          <w:tcPr>
            <w:tcW w:type="dxa" w:w="1417"/>
          </w:tcPr>
          <w:p>
            <w:pPr>
              <w:jc w:val="left"/>
            </w:pPr>
            <w:r>
              <w:rPr>
                <w:sz w:val="18"/>
              </w:rPr>
              <w:t>West</w:t>
            </w:r>
          </w:p>
        </w:tc>
        <w:tc>
          <w:tcPr>
            <w:tcW w:type="dxa" w:w="1417"/>
          </w:tcPr>
          <w:p>
            <w:pPr>
              <w:jc w:val="right"/>
            </w:pPr>
            <w:r>
              <w:rPr>
                <w:sz w:val="18"/>
              </w:rPr>
              <w:t>$2.459,38</w:t>
            </w:r>
          </w:p>
        </w:tc>
        <w:tc>
          <w:tcPr>
            <w:tcW w:type="dxa" w:w="1417"/>
          </w:tcPr>
          <w:p>
            <w:pPr>
              <w:jc w:val="right"/>
            </w:pPr>
            <w:r>
              <w:rPr>
                <w:sz w:val="18"/>
              </w:rPr>
              <w:t>$-3.894,94</w:t>
            </w:r>
          </w:p>
        </w:tc>
        <w:tc>
          <w:tcPr>
            <w:tcW w:type="dxa" w:w="1417"/>
          </w:tcPr>
          <w:p>
            <w:pPr>
              <w:jc w:val="right"/>
            </w:pPr>
            <w:r>
              <w:rPr>
                <w:sz w:val="18"/>
              </w:rPr>
              <w:t>70,00%</w:t>
            </w:r>
          </w:p>
        </w:tc>
        <w:tc>
          <w:tcPr>
            <w:tcW w:type="dxa" w:w="1417"/>
          </w:tcPr>
          <w:p>
            <w:pPr>
              <w:jc w:val="right"/>
            </w:pPr>
            <w:r>
              <w:rPr>
                <w:sz w:val="18"/>
              </w:rPr>
              <w:t>100,00%</w:t>
            </w:r>
          </w:p>
        </w:tc>
      </w:tr>
    </w:tbl>
    <w:p/>
    <w:p>
      <w:pPr>
        <w:jc w:val="center"/>
      </w:pPr>
      <w:r>
        <w:drawing>
          <wp:inline xmlns:a="http://schemas.openxmlformats.org/drawingml/2006/main" xmlns:pic="http://schemas.openxmlformats.org/drawingml/2006/picture">
            <wp:extent cx="5029200" cy="2388941"/>
            <wp:docPr id="8" name="Picture 8"/>
            <wp:cNvGraphicFramePr>
              <a:graphicFrameLocks noChangeAspect="1"/>
            </wp:cNvGraphicFramePr>
            <a:graphic>
              <a:graphicData uri="http://schemas.openxmlformats.org/drawingml/2006/picture">
                <pic:pic>
                  <pic:nvPicPr>
                    <pic:cNvPr id="0" name="discount_threshold_worklist.png"/>
                    <pic:cNvPicPr/>
                  </pic:nvPicPr>
                  <pic:blipFill>
                    <a:blip r:embed="rId16"/>
                    <a:stretch>
                      <a:fillRect/>
                    </a:stretch>
                  </pic:blipFill>
                  <pic:spPr>
                    <a:xfrm>
                      <a:off x="0" y="0"/>
                      <a:ext cx="5029200" cy="2388941"/>
                    </a:xfrm>
                    <a:prstGeom prst="rect"/>
                  </pic:spPr>
                </pic:pic>
              </a:graphicData>
            </a:graphic>
          </wp:inline>
        </w:drawing>
      </w:r>
    </w:p>
    <w:p>
      <w:pPr>
        <w:jc w:val="center"/>
      </w:pPr>
      <w:r>
        <w:rPr>
          <w:i/>
          <w:sz w:val="18"/>
        </w:rPr>
        <w:t>Hình 8: Worklist rủi ro discount — sub-category × region với discount ≥30%</w:t>
      </w:r>
    </w:p>
    <w:p/>
    <w:p>
      <w:r>
        <w:rPr>
          <w:b/>
        </w:rPr>
        <w:t>C4. Có pattern lỗ nào xảy ra dù không discount cao không?</w:t>
      </w:r>
    </w:p>
    <w:tbl>
      <w:tblPr>
        <w:tblStyle w:val="LightGrid-Accent1"/>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jc w:val="center"/>
            </w:pPr>
            <w:r>
              <w:rPr>
                <w:b/>
                <w:sz w:val="20"/>
              </w:rPr>
              <w:t>Sub-Cat</w:t>
            </w:r>
          </w:p>
        </w:tc>
        <w:tc>
          <w:tcPr>
            <w:tcW w:type="dxa" w:w="1215"/>
          </w:tcPr>
          <w:p>
            <w:pPr>
              <w:jc w:val="center"/>
            </w:pPr>
            <w:r>
              <w:rPr>
                <w:b/>
                <w:sz w:val="20"/>
              </w:rPr>
              <w:t>Region</w:t>
            </w:r>
          </w:p>
        </w:tc>
        <w:tc>
          <w:tcPr>
            <w:tcW w:type="dxa" w:w="1215"/>
          </w:tcPr>
          <w:p>
            <w:pPr>
              <w:jc w:val="center"/>
            </w:pPr>
            <w:r>
              <w:rPr>
                <w:b/>
                <w:sz w:val="20"/>
              </w:rPr>
              <w:t>State</w:t>
            </w:r>
          </w:p>
        </w:tc>
        <w:tc>
          <w:tcPr>
            <w:tcW w:type="dxa" w:w="1215"/>
          </w:tcPr>
          <w:p>
            <w:pPr>
              <w:jc w:val="center"/>
            </w:pPr>
            <w:r>
              <w:rPr>
                <w:b/>
                <w:sz w:val="20"/>
              </w:rPr>
              <w:t>Doanh thu</w:t>
            </w:r>
          </w:p>
        </w:tc>
        <w:tc>
          <w:tcPr>
            <w:tcW w:type="dxa" w:w="1215"/>
          </w:tcPr>
          <w:p>
            <w:pPr>
              <w:jc w:val="center"/>
            </w:pPr>
            <w:r>
              <w:rPr>
                <w:b/>
                <w:sz w:val="20"/>
              </w:rPr>
              <w:t>Lợi nhuận</w:t>
            </w:r>
          </w:p>
        </w:tc>
        <w:tc>
          <w:tcPr>
            <w:tcW w:type="dxa" w:w="1215"/>
          </w:tcPr>
          <w:p>
            <w:pPr>
              <w:jc w:val="center"/>
            </w:pPr>
            <w:r>
              <w:rPr>
                <w:b/>
                <w:sz w:val="20"/>
              </w:rPr>
              <w:t>Disc %</w:t>
            </w:r>
          </w:p>
        </w:tc>
        <w:tc>
          <w:tcPr>
            <w:tcW w:type="dxa" w:w="1215"/>
          </w:tcPr>
          <w:p>
            <w:pPr>
              <w:jc w:val="center"/>
            </w:pPr>
            <w:r>
              <w:rPr>
                <w:b/>
                <w:sz w:val="20"/>
              </w:rPr>
              <w:t>Loss %</w:t>
            </w:r>
          </w:p>
        </w:tc>
      </w:tr>
      <w:tr>
        <w:tc>
          <w:tcPr>
            <w:tcW w:type="dxa" w:w="1215"/>
          </w:tcPr>
          <w:p>
            <w:pPr>
              <w:jc w:val="left"/>
            </w:pPr>
            <w:r>
              <w:rPr>
                <w:sz w:val="18"/>
              </w:rPr>
              <w:t>Tables</w:t>
            </w:r>
          </w:p>
        </w:tc>
        <w:tc>
          <w:tcPr>
            <w:tcW w:type="dxa" w:w="1215"/>
          </w:tcPr>
          <w:p>
            <w:pPr>
              <w:jc w:val="left"/>
            </w:pPr>
            <w:r>
              <w:rPr>
                <w:sz w:val="18"/>
              </w:rPr>
              <w:t>West</w:t>
            </w:r>
          </w:p>
        </w:tc>
        <w:tc>
          <w:tcPr>
            <w:tcW w:type="dxa" w:w="1215"/>
          </w:tcPr>
          <w:p>
            <w:pPr>
              <w:jc w:val="left"/>
            </w:pPr>
            <w:r>
              <w:rPr>
                <w:sz w:val="18"/>
              </w:rPr>
              <w:t>California</w:t>
            </w:r>
          </w:p>
        </w:tc>
        <w:tc>
          <w:tcPr>
            <w:tcW w:type="dxa" w:w="1215"/>
          </w:tcPr>
          <w:p>
            <w:pPr>
              <w:jc w:val="right"/>
            </w:pPr>
            <w:r>
              <w:rPr>
                <w:sz w:val="18"/>
              </w:rPr>
              <w:t>$16.759,50</w:t>
            </w:r>
          </w:p>
        </w:tc>
        <w:tc>
          <w:tcPr>
            <w:tcW w:type="dxa" w:w="1215"/>
          </w:tcPr>
          <w:p>
            <w:pPr>
              <w:jc w:val="right"/>
            </w:pPr>
            <w:r>
              <w:rPr>
                <w:sz w:val="18"/>
              </w:rPr>
              <w:t>$-1.651,02</w:t>
            </w:r>
          </w:p>
        </w:tc>
        <w:tc>
          <w:tcPr>
            <w:tcW w:type="dxa" w:w="1215"/>
          </w:tcPr>
          <w:p>
            <w:pPr>
              <w:jc w:val="right"/>
            </w:pPr>
            <w:r>
              <w:rPr>
                <w:sz w:val="18"/>
              </w:rPr>
              <w:t>20%</w:t>
            </w:r>
          </w:p>
        </w:tc>
        <w:tc>
          <w:tcPr>
            <w:tcW w:type="dxa" w:w="1215"/>
          </w:tcPr>
          <w:p>
            <w:pPr>
              <w:jc w:val="right"/>
            </w:pPr>
            <w:r>
              <w:rPr>
                <w:sz w:val="18"/>
              </w:rPr>
              <w:t>100%</w:t>
            </w:r>
          </w:p>
        </w:tc>
      </w:tr>
      <w:tr>
        <w:tc>
          <w:tcPr>
            <w:tcW w:type="dxa" w:w="1215"/>
          </w:tcPr>
          <w:p>
            <w:pPr>
              <w:jc w:val="left"/>
            </w:pPr>
            <w:r>
              <w:rPr>
                <w:sz w:val="18"/>
              </w:rPr>
              <w:t>Chairs</w:t>
            </w:r>
          </w:p>
        </w:tc>
        <w:tc>
          <w:tcPr>
            <w:tcW w:type="dxa" w:w="1215"/>
          </w:tcPr>
          <w:p>
            <w:pPr>
              <w:jc w:val="left"/>
            </w:pPr>
            <w:r>
              <w:rPr>
                <w:sz w:val="18"/>
              </w:rPr>
              <w:t>West</w:t>
            </w:r>
          </w:p>
        </w:tc>
        <w:tc>
          <w:tcPr>
            <w:tcW w:type="dxa" w:w="1215"/>
          </w:tcPr>
          <w:p>
            <w:pPr>
              <w:jc w:val="left"/>
            </w:pPr>
            <w:r>
              <w:rPr>
                <w:sz w:val="18"/>
              </w:rPr>
              <w:t>California</w:t>
            </w:r>
          </w:p>
        </w:tc>
        <w:tc>
          <w:tcPr>
            <w:tcW w:type="dxa" w:w="1215"/>
          </w:tcPr>
          <w:p>
            <w:pPr>
              <w:jc w:val="right"/>
            </w:pPr>
            <w:r>
              <w:rPr>
                <w:sz w:val="18"/>
              </w:rPr>
              <w:t>$12.346,45</w:t>
            </w:r>
          </w:p>
        </w:tc>
        <w:tc>
          <w:tcPr>
            <w:tcW w:type="dxa" w:w="1215"/>
          </w:tcPr>
          <w:p>
            <w:pPr>
              <w:jc w:val="right"/>
            </w:pPr>
            <w:r>
              <w:rPr>
                <w:sz w:val="18"/>
              </w:rPr>
              <w:t>$-1.462,45</w:t>
            </w:r>
          </w:p>
        </w:tc>
        <w:tc>
          <w:tcPr>
            <w:tcW w:type="dxa" w:w="1215"/>
          </w:tcPr>
          <w:p>
            <w:pPr>
              <w:jc w:val="right"/>
            </w:pPr>
            <w:r>
              <w:rPr>
                <w:sz w:val="18"/>
              </w:rPr>
              <w:t>20%</w:t>
            </w:r>
          </w:p>
        </w:tc>
        <w:tc>
          <w:tcPr>
            <w:tcW w:type="dxa" w:w="1215"/>
          </w:tcPr>
          <w:p>
            <w:pPr>
              <w:jc w:val="right"/>
            </w:pPr>
            <w:r>
              <w:rPr>
                <w:sz w:val="18"/>
              </w:rPr>
              <w:t>100%</w:t>
            </w:r>
          </w:p>
        </w:tc>
      </w:tr>
      <w:tr>
        <w:tc>
          <w:tcPr>
            <w:tcW w:type="dxa" w:w="1215"/>
          </w:tcPr>
          <w:p>
            <w:pPr>
              <w:jc w:val="left"/>
            </w:pPr>
            <w:r>
              <w:rPr>
                <w:sz w:val="18"/>
              </w:rPr>
              <w:t>Chairs</w:t>
            </w:r>
          </w:p>
        </w:tc>
        <w:tc>
          <w:tcPr>
            <w:tcW w:type="dxa" w:w="1215"/>
          </w:tcPr>
          <w:p>
            <w:pPr>
              <w:jc w:val="left"/>
            </w:pPr>
            <w:r>
              <w:rPr>
                <w:sz w:val="18"/>
              </w:rPr>
              <w:t>South</w:t>
            </w:r>
          </w:p>
        </w:tc>
        <w:tc>
          <w:tcPr>
            <w:tcW w:type="dxa" w:w="1215"/>
          </w:tcPr>
          <w:p>
            <w:pPr>
              <w:jc w:val="left"/>
            </w:pPr>
            <w:r>
              <w:rPr>
                <w:sz w:val="18"/>
              </w:rPr>
              <w:t>Florida</w:t>
            </w:r>
          </w:p>
        </w:tc>
        <w:tc>
          <w:tcPr>
            <w:tcW w:type="dxa" w:w="1215"/>
          </w:tcPr>
          <w:p>
            <w:pPr>
              <w:jc w:val="right"/>
            </w:pPr>
            <w:r>
              <w:rPr>
                <w:sz w:val="18"/>
              </w:rPr>
              <w:t>$3.641,06</w:t>
            </w:r>
          </w:p>
        </w:tc>
        <w:tc>
          <w:tcPr>
            <w:tcW w:type="dxa" w:w="1215"/>
          </w:tcPr>
          <w:p>
            <w:pPr>
              <w:jc w:val="right"/>
            </w:pPr>
            <w:r>
              <w:rPr>
                <w:sz w:val="18"/>
              </w:rPr>
              <w:t>$-478,34</w:t>
            </w:r>
          </w:p>
        </w:tc>
        <w:tc>
          <w:tcPr>
            <w:tcW w:type="dxa" w:w="1215"/>
          </w:tcPr>
          <w:p>
            <w:pPr>
              <w:jc w:val="right"/>
            </w:pPr>
            <w:r>
              <w:rPr>
                <w:sz w:val="18"/>
              </w:rPr>
              <w:t>20%</w:t>
            </w:r>
          </w:p>
        </w:tc>
        <w:tc>
          <w:tcPr>
            <w:tcW w:type="dxa" w:w="1215"/>
          </w:tcPr>
          <w:p>
            <w:pPr>
              <w:jc w:val="right"/>
            </w:pPr>
            <w:r>
              <w:rPr>
                <w:sz w:val="18"/>
              </w:rPr>
              <w:t>100%</w:t>
            </w:r>
          </w:p>
        </w:tc>
      </w:tr>
      <w:tr>
        <w:tc>
          <w:tcPr>
            <w:tcW w:type="dxa" w:w="1215"/>
          </w:tcPr>
          <w:p>
            <w:pPr>
              <w:jc w:val="left"/>
            </w:pPr>
            <w:r>
              <w:rPr>
                <w:sz w:val="18"/>
              </w:rPr>
              <w:t>Bookcases</w:t>
            </w:r>
          </w:p>
        </w:tc>
        <w:tc>
          <w:tcPr>
            <w:tcW w:type="dxa" w:w="1215"/>
          </w:tcPr>
          <w:p>
            <w:pPr>
              <w:jc w:val="left"/>
            </w:pPr>
            <w:r>
              <w:rPr>
                <w:sz w:val="18"/>
              </w:rPr>
              <w:t>East</w:t>
            </w:r>
          </w:p>
        </w:tc>
        <w:tc>
          <w:tcPr>
            <w:tcW w:type="dxa" w:w="1215"/>
          </w:tcPr>
          <w:p>
            <w:pPr>
              <w:jc w:val="left"/>
            </w:pPr>
            <w:r>
              <w:rPr>
                <w:sz w:val="18"/>
              </w:rPr>
              <w:t>New York</w:t>
            </w:r>
          </w:p>
        </w:tc>
        <w:tc>
          <w:tcPr>
            <w:tcW w:type="dxa" w:w="1215"/>
          </w:tcPr>
          <w:p>
            <w:pPr>
              <w:jc w:val="right"/>
            </w:pPr>
            <w:r>
              <w:rPr>
                <w:sz w:val="18"/>
              </w:rPr>
              <w:t>$11.247,98</w:t>
            </w:r>
          </w:p>
        </w:tc>
        <w:tc>
          <w:tcPr>
            <w:tcW w:type="dxa" w:w="1215"/>
          </w:tcPr>
          <w:p>
            <w:pPr>
              <w:jc w:val="right"/>
            </w:pPr>
            <w:r>
              <w:rPr>
                <w:sz w:val="18"/>
              </w:rPr>
              <w:t>$-466,22</w:t>
            </w:r>
          </w:p>
        </w:tc>
        <w:tc>
          <w:tcPr>
            <w:tcW w:type="dxa" w:w="1215"/>
          </w:tcPr>
          <w:p>
            <w:pPr>
              <w:jc w:val="right"/>
            </w:pPr>
            <w:r>
              <w:rPr>
                <w:sz w:val="18"/>
              </w:rPr>
              <w:t>20%</w:t>
            </w:r>
          </w:p>
        </w:tc>
        <w:tc>
          <w:tcPr>
            <w:tcW w:type="dxa" w:w="1215"/>
          </w:tcPr>
          <w:p>
            <w:pPr>
              <w:jc w:val="right"/>
            </w:pPr>
            <w:r>
              <w:rPr>
                <w:sz w:val="18"/>
              </w:rPr>
              <w:t>100%</w:t>
            </w:r>
          </w:p>
        </w:tc>
      </w:tr>
      <w:tr>
        <w:tc>
          <w:tcPr>
            <w:tcW w:type="dxa" w:w="1215"/>
          </w:tcPr>
          <w:p>
            <w:pPr>
              <w:jc w:val="left"/>
            </w:pPr>
            <w:r>
              <w:rPr>
                <w:sz w:val="18"/>
              </w:rPr>
              <w:t>Bookcases</w:t>
            </w:r>
          </w:p>
        </w:tc>
        <w:tc>
          <w:tcPr>
            <w:tcW w:type="dxa" w:w="1215"/>
          </w:tcPr>
          <w:p>
            <w:pPr>
              <w:jc w:val="left"/>
            </w:pPr>
            <w:r>
              <w:rPr>
                <w:sz w:val="18"/>
              </w:rPr>
              <w:t>West</w:t>
            </w:r>
          </w:p>
        </w:tc>
        <w:tc>
          <w:tcPr>
            <w:tcW w:type="dxa" w:w="1215"/>
          </w:tcPr>
          <w:p>
            <w:pPr>
              <w:jc w:val="left"/>
            </w:pPr>
            <w:r>
              <w:rPr>
                <w:sz w:val="18"/>
              </w:rPr>
              <w:t>California</w:t>
            </w:r>
          </w:p>
        </w:tc>
        <w:tc>
          <w:tcPr>
            <w:tcW w:type="dxa" w:w="1215"/>
          </w:tcPr>
          <w:p>
            <w:pPr>
              <w:jc w:val="right"/>
            </w:pPr>
            <w:r>
              <w:rPr>
                <w:sz w:val="18"/>
              </w:rPr>
              <w:t>$5.881,15</w:t>
            </w:r>
          </w:p>
        </w:tc>
        <w:tc>
          <w:tcPr>
            <w:tcW w:type="dxa" w:w="1215"/>
          </w:tcPr>
          <w:p>
            <w:pPr>
              <w:jc w:val="right"/>
            </w:pPr>
            <w:r>
              <w:rPr>
                <w:sz w:val="18"/>
              </w:rPr>
              <w:t>$-328,70</w:t>
            </w:r>
          </w:p>
        </w:tc>
        <w:tc>
          <w:tcPr>
            <w:tcW w:type="dxa" w:w="1215"/>
          </w:tcPr>
          <w:p>
            <w:pPr>
              <w:jc w:val="right"/>
            </w:pPr>
            <w:r>
              <w:rPr>
                <w:sz w:val="18"/>
              </w:rPr>
              <w:t>15%</w:t>
            </w:r>
          </w:p>
        </w:tc>
        <w:tc>
          <w:tcPr>
            <w:tcW w:type="dxa" w:w="1215"/>
          </w:tcPr>
          <w:p>
            <w:pPr>
              <w:jc w:val="right"/>
            </w:pPr>
            <w:r>
              <w:rPr>
                <w:sz w:val="18"/>
              </w:rPr>
              <w:t>100%</w:t>
            </w:r>
          </w:p>
        </w:tc>
      </w:tr>
    </w:tbl>
    <w:p/>
    <w:p>
      <w:r>
        <w:rPr>
          <w:b/>
          <w:color w:val="8B6D0B"/>
          <w:sz w:val="22"/>
        </w:rPr>
        <w:t xml:space="preserve">Giả thuyết có bằng chứng: </w:t>
      </w:r>
      <w:r>
        <w:rPr>
          <w:sz w:val="22"/>
        </w:rPr>
        <w:t>Những dòng lỗ ở discount ≤20% gợi ý vấn đề khác ngoài discount — có thể do chi phí sản phẩm cao hoặc chi phí vận chuyển. Tuy nhiên, cần thêm dữ liệu COGS/freight để kết luận nguyên nhân.</w:t>
      </w:r>
    </w:p>
    <w:p>
      <w:r>
        <w:br w:type="page"/>
      </w:r>
    </w:p>
    <w:p>
      <w:pPr>
        <w:pStyle w:val="Heading2"/>
      </w:pPr>
      <w:r>
        <w:t>4.5. Hiệu quả địa lý (Nhóm D)</w:t>
      </w:r>
    </w:p>
    <w:p>
      <w:r>
        <w:rPr>
          <w:b/>
        </w:rPr>
        <w:t>D1-D2. Hiệu quả theo vùng (region):</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Vùng</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c>
          <w:tcPr>
            <w:tcW w:type="dxa" w:w="1417"/>
          </w:tcPr>
          <w:p>
            <w:pPr>
              <w:jc w:val="center"/>
            </w:pPr>
            <w:r>
              <w:rPr>
                <w:b/>
                <w:sz w:val="20"/>
              </w:rPr>
              <w:t>Disc %</w:t>
            </w:r>
          </w:p>
        </w:tc>
        <w:tc>
          <w:tcPr>
            <w:tcW w:type="dxa" w:w="1417"/>
          </w:tcPr>
          <w:p>
            <w:pPr>
              <w:jc w:val="center"/>
            </w:pPr>
            <w:r>
              <w:rPr>
                <w:b/>
                <w:sz w:val="20"/>
              </w:rPr>
              <w:t>Loss %</w:t>
            </w:r>
          </w:p>
        </w:tc>
      </w:tr>
      <w:tr>
        <w:tc>
          <w:tcPr>
            <w:tcW w:type="dxa" w:w="1417"/>
          </w:tcPr>
          <w:p>
            <w:pPr>
              <w:jc w:val="left"/>
            </w:pPr>
            <w:r>
              <w:rPr>
                <w:sz w:val="18"/>
              </w:rPr>
              <w:t>West</w:t>
            </w:r>
          </w:p>
        </w:tc>
        <w:tc>
          <w:tcPr>
            <w:tcW w:type="dxa" w:w="1417"/>
          </w:tcPr>
          <w:p>
            <w:pPr>
              <w:jc w:val="right"/>
            </w:pPr>
            <w:r>
              <w:rPr>
                <w:sz w:val="18"/>
              </w:rPr>
              <w:t>$252.612,74</w:t>
            </w:r>
          </w:p>
        </w:tc>
        <w:tc>
          <w:tcPr>
            <w:tcW w:type="dxa" w:w="1417"/>
          </w:tcPr>
          <w:p>
            <w:pPr>
              <w:jc w:val="right"/>
            </w:pPr>
            <w:r>
              <w:rPr>
                <w:sz w:val="18"/>
              </w:rPr>
              <w:t>$11.504,95</w:t>
            </w:r>
          </w:p>
        </w:tc>
        <w:tc>
          <w:tcPr>
            <w:tcW w:type="dxa" w:w="1417"/>
          </w:tcPr>
          <w:p>
            <w:pPr>
              <w:jc w:val="right"/>
            </w:pPr>
            <w:r>
              <w:rPr>
                <w:sz w:val="18"/>
              </w:rPr>
              <w:t>4,55%</w:t>
            </w:r>
          </w:p>
        </w:tc>
        <w:tc>
          <w:tcPr>
            <w:tcW w:type="dxa" w:w="1417"/>
          </w:tcPr>
          <w:p>
            <w:pPr>
              <w:jc w:val="right"/>
            </w:pPr>
            <w:r>
              <w:rPr>
                <w:sz w:val="18"/>
              </w:rPr>
              <w:t>13,14%</w:t>
            </w:r>
          </w:p>
        </w:tc>
        <w:tc>
          <w:tcPr>
            <w:tcW w:type="dxa" w:w="1417"/>
          </w:tcPr>
          <w:p>
            <w:pPr>
              <w:jc w:val="right"/>
            </w:pPr>
            <w:r>
              <w:rPr>
                <w:sz w:val="18"/>
              </w:rPr>
              <w:t>21,92%</w:t>
            </w:r>
          </w:p>
        </w:tc>
      </w:tr>
      <w:tr>
        <w:tc>
          <w:tcPr>
            <w:tcW w:type="dxa" w:w="1417"/>
          </w:tcPr>
          <w:p>
            <w:pPr>
              <w:jc w:val="left"/>
            </w:pPr>
            <w:r>
              <w:rPr>
                <w:sz w:val="18"/>
              </w:rPr>
              <w:t>East</w:t>
            </w:r>
          </w:p>
        </w:tc>
        <w:tc>
          <w:tcPr>
            <w:tcW w:type="dxa" w:w="1417"/>
          </w:tcPr>
          <w:p>
            <w:pPr>
              <w:jc w:val="right"/>
            </w:pPr>
            <w:r>
              <w:rPr>
                <w:sz w:val="18"/>
              </w:rPr>
              <w:t>$208.291,20</w:t>
            </w:r>
          </w:p>
        </w:tc>
        <w:tc>
          <w:tcPr>
            <w:tcW w:type="dxa" w:w="1417"/>
          </w:tcPr>
          <w:p>
            <w:pPr>
              <w:jc w:val="right"/>
            </w:pPr>
            <w:r>
              <w:rPr>
                <w:sz w:val="18"/>
              </w:rPr>
              <w:t>$3.046,17</w:t>
            </w:r>
          </w:p>
        </w:tc>
        <w:tc>
          <w:tcPr>
            <w:tcW w:type="dxa" w:w="1417"/>
          </w:tcPr>
          <w:p>
            <w:pPr>
              <w:jc w:val="right"/>
            </w:pPr>
            <w:r>
              <w:rPr>
                <w:sz w:val="18"/>
              </w:rPr>
              <w:t>1,46%</w:t>
            </w:r>
          </w:p>
        </w:tc>
        <w:tc>
          <w:tcPr>
            <w:tcW w:type="dxa" w:w="1417"/>
          </w:tcPr>
          <w:p>
            <w:pPr>
              <w:jc w:val="right"/>
            </w:pPr>
            <w:r>
              <w:rPr>
                <w:sz w:val="18"/>
              </w:rPr>
              <w:t>15,41%</w:t>
            </w:r>
          </w:p>
        </w:tc>
        <w:tc>
          <w:tcPr>
            <w:tcW w:type="dxa" w:w="1417"/>
          </w:tcPr>
          <w:p>
            <w:pPr>
              <w:jc w:val="right"/>
            </w:pPr>
            <w:r>
              <w:rPr>
                <w:sz w:val="18"/>
              </w:rPr>
              <w:t>30,62%</w:t>
            </w:r>
          </w:p>
        </w:tc>
      </w:tr>
      <w:tr>
        <w:tc>
          <w:tcPr>
            <w:tcW w:type="dxa" w:w="1417"/>
          </w:tcPr>
          <w:p>
            <w:pPr>
              <w:jc w:val="left"/>
            </w:pPr>
            <w:r>
              <w:rPr>
                <w:sz w:val="18"/>
              </w:rPr>
              <w:t>Central</w:t>
            </w:r>
          </w:p>
        </w:tc>
        <w:tc>
          <w:tcPr>
            <w:tcW w:type="dxa" w:w="1417"/>
          </w:tcPr>
          <w:p>
            <w:pPr>
              <w:jc w:val="right"/>
            </w:pPr>
            <w:r>
              <w:rPr>
                <w:sz w:val="18"/>
              </w:rPr>
              <w:t>$163.797,16</w:t>
            </w:r>
          </w:p>
        </w:tc>
        <w:tc>
          <w:tcPr>
            <w:tcW w:type="dxa" w:w="1417"/>
          </w:tcPr>
          <w:p>
            <w:pPr>
              <w:jc w:val="right"/>
            </w:pPr>
            <w:r>
              <w:rPr>
                <w:sz w:val="18"/>
              </w:rPr>
              <w:t>$-2.871,05</w:t>
            </w:r>
          </w:p>
        </w:tc>
        <w:tc>
          <w:tcPr>
            <w:tcW w:type="dxa" w:w="1417"/>
          </w:tcPr>
          <w:p>
            <w:pPr>
              <w:jc w:val="right"/>
            </w:pPr>
            <w:r>
              <w:rPr>
                <w:sz w:val="18"/>
              </w:rPr>
              <w:t>-1,75%</w:t>
            </w:r>
          </w:p>
        </w:tc>
        <w:tc>
          <w:tcPr>
            <w:tcW w:type="dxa" w:w="1417"/>
          </w:tcPr>
          <w:p>
            <w:pPr>
              <w:jc w:val="right"/>
            </w:pPr>
            <w:r>
              <w:rPr>
                <w:sz w:val="18"/>
              </w:rPr>
              <w:t>29,74%</w:t>
            </w:r>
          </w:p>
        </w:tc>
        <w:tc>
          <w:tcPr>
            <w:tcW w:type="dxa" w:w="1417"/>
          </w:tcPr>
          <w:p>
            <w:pPr>
              <w:jc w:val="right"/>
            </w:pPr>
            <w:r>
              <w:rPr>
                <w:sz w:val="18"/>
              </w:rPr>
              <w:t>65,90%</w:t>
            </w:r>
          </w:p>
        </w:tc>
      </w:tr>
      <w:tr>
        <w:tc>
          <w:tcPr>
            <w:tcW w:type="dxa" w:w="1417"/>
          </w:tcPr>
          <w:p>
            <w:pPr>
              <w:jc w:val="left"/>
            </w:pPr>
            <w:r>
              <w:rPr>
                <w:sz w:val="18"/>
              </w:rPr>
              <w:t>South</w:t>
            </w:r>
          </w:p>
        </w:tc>
        <w:tc>
          <w:tcPr>
            <w:tcW w:type="dxa" w:w="1417"/>
          </w:tcPr>
          <w:p>
            <w:pPr>
              <w:jc w:val="right"/>
            </w:pPr>
            <w:r>
              <w:rPr>
                <w:sz w:val="18"/>
              </w:rPr>
              <w:t>$117.298,68</w:t>
            </w:r>
          </w:p>
        </w:tc>
        <w:tc>
          <w:tcPr>
            <w:tcW w:type="dxa" w:w="1417"/>
          </w:tcPr>
          <w:p>
            <w:pPr>
              <w:jc w:val="right"/>
            </w:pPr>
            <w:r>
              <w:rPr>
                <w:sz w:val="18"/>
              </w:rPr>
              <w:t>$6.771,21</w:t>
            </w:r>
          </w:p>
        </w:tc>
        <w:tc>
          <w:tcPr>
            <w:tcW w:type="dxa" w:w="1417"/>
          </w:tcPr>
          <w:p>
            <w:pPr>
              <w:jc w:val="right"/>
            </w:pPr>
            <w:r>
              <w:rPr>
                <w:sz w:val="18"/>
              </w:rPr>
              <w:t>5,77%</w:t>
            </w:r>
          </w:p>
        </w:tc>
        <w:tc>
          <w:tcPr>
            <w:tcW w:type="dxa" w:w="1417"/>
          </w:tcPr>
          <w:p>
            <w:pPr>
              <w:jc w:val="right"/>
            </w:pPr>
            <w:r>
              <w:rPr>
                <w:sz w:val="18"/>
              </w:rPr>
              <w:t>12,15%</w:t>
            </w:r>
          </w:p>
        </w:tc>
        <w:tc>
          <w:tcPr>
            <w:tcW w:type="dxa" w:w="1417"/>
          </w:tcPr>
          <w:p>
            <w:pPr>
              <w:jc w:val="right"/>
            </w:pPr>
            <w:r>
              <w:rPr>
                <w:sz w:val="18"/>
              </w:rPr>
              <w:t>17,47%</w:t>
            </w:r>
          </w:p>
        </w:tc>
      </w:tr>
    </w:tbl>
    <w:p/>
    <w:p>
      <w:r>
        <w:rPr>
          <w:b/>
          <w:color w:val="1F497D"/>
          <w:sz w:val="22"/>
        </w:rPr>
        <w:t xml:space="preserve">Sự thật quan sát: </w:t>
      </w:r>
      <w:r>
        <w:rPr>
          <w:sz w:val="22"/>
        </w:rPr>
        <w:t>West biên 4,55%; South biên 5,77% — hai vùng lợi nhuận mạnh. East biên 1,46% — cần review. Central lỗ -$2.871 với discount trung bình cao 29,74% và tỷ lệ dòng lỗ 65,90% — vùng rủi ro chính.</w:t>
      </w:r>
    </w:p>
    <w:p/>
    <w:p>
      <w:r>
        <w:rPr>
          <w:b/>
        </w:rPr>
        <w:t>D2. Bảng ưu tiên tiểu bang — Top 10 state cần worklist quản trị:</w:t>
      </w:r>
    </w:p>
    <w:tbl>
      <w:tblPr>
        <w:tblStyle w:val="LightGrid-Accent1"/>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pPr>
              <w:jc w:val="center"/>
            </w:pPr>
            <w:r>
              <w:rPr>
                <w:b/>
                <w:sz w:val="20"/>
              </w:rPr>
              <w:t>State</w:t>
            </w:r>
          </w:p>
        </w:tc>
        <w:tc>
          <w:tcPr>
            <w:tcW w:type="dxa" w:w="1063"/>
          </w:tcPr>
          <w:p>
            <w:pPr>
              <w:jc w:val="center"/>
            </w:pPr>
            <w:r>
              <w:rPr>
                <w:b/>
                <w:sz w:val="20"/>
              </w:rPr>
              <w:t>Region</w:t>
            </w:r>
          </w:p>
        </w:tc>
        <w:tc>
          <w:tcPr>
            <w:tcW w:type="dxa" w:w="1063"/>
          </w:tcPr>
          <w:p>
            <w:pPr>
              <w:jc w:val="center"/>
            </w:pPr>
            <w:r>
              <w:rPr>
                <w:b/>
                <w:sz w:val="20"/>
              </w:rPr>
              <w:t>Doanh thu</w:t>
            </w:r>
          </w:p>
        </w:tc>
        <w:tc>
          <w:tcPr>
            <w:tcW w:type="dxa" w:w="1063"/>
          </w:tcPr>
          <w:p>
            <w:pPr>
              <w:jc w:val="center"/>
            </w:pPr>
            <w:r>
              <w:rPr>
                <w:b/>
                <w:sz w:val="20"/>
              </w:rPr>
              <w:t>Lợi nhuận</w:t>
            </w:r>
          </w:p>
        </w:tc>
        <w:tc>
          <w:tcPr>
            <w:tcW w:type="dxa" w:w="1063"/>
          </w:tcPr>
          <w:p>
            <w:pPr>
              <w:jc w:val="center"/>
            </w:pPr>
            <w:r>
              <w:rPr>
                <w:b/>
                <w:sz w:val="20"/>
              </w:rPr>
              <w:t>Biên %</w:t>
            </w:r>
          </w:p>
        </w:tc>
        <w:tc>
          <w:tcPr>
            <w:tcW w:type="dxa" w:w="1063"/>
          </w:tcPr>
          <w:p>
            <w:pPr>
              <w:jc w:val="center"/>
            </w:pPr>
            <w:r>
              <w:rPr>
                <w:b/>
                <w:sz w:val="20"/>
              </w:rPr>
              <w:t>Disc %</w:t>
            </w:r>
          </w:p>
        </w:tc>
        <w:tc>
          <w:tcPr>
            <w:tcW w:type="dxa" w:w="1063"/>
          </w:tcPr>
          <w:p>
            <w:pPr>
              <w:jc w:val="center"/>
            </w:pPr>
            <w:r>
              <w:rPr>
                <w:b/>
                <w:sz w:val="20"/>
              </w:rPr>
              <w:t>Loss %</w:t>
            </w:r>
          </w:p>
        </w:tc>
        <w:tc>
          <w:tcPr>
            <w:tcW w:type="dxa" w:w="1063"/>
          </w:tcPr>
          <w:p>
            <w:pPr>
              <w:jc w:val="center"/>
            </w:pPr>
            <w:r>
              <w:rPr>
                <w:b/>
                <w:sz w:val="20"/>
              </w:rPr>
              <w:t>Priority</w:t>
            </w:r>
          </w:p>
        </w:tc>
      </w:tr>
      <w:tr>
        <w:tc>
          <w:tcPr>
            <w:tcW w:type="dxa" w:w="1063"/>
          </w:tcPr>
          <w:p>
            <w:pPr>
              <w:jc w:val="left"/>
            </w:pPr>
            <w:r>
              <w:rPr>
                <w:sz w:val="18"/>
              </w:rPr>
              <w:t>Texas</w:t>
            </w:r>
          </w:p>
        </w:tc>
        <w:tc>
          <w:tcPr>
            <w:tcW w:type="dxa" w:w="1063"/>
          </w:tcPr>
          <w:p>
            <w:pPr>
              <w:jc w:val="left"/>
            </w:pPr>
            <w:r>
              <w:rPr>
                <w:sz w:val="18"/>
              </w:rPr>
              <w:t>Central</w:t>
            </w:r>
          </w:p>
        </w:tc>
        <w:tc>
          <w:tcPr>
            <w:tcW w:type="dxa" w:w="1063"/>
          </w:tcPr>
          <w:p>
            <w:pPr>
              <w:jc w:val="right"/>
            </w:pPr>
            <w:r>
              <w:rPr>
                <w:sz w:val="18"/>
              </w:rPr>
              <w:t>$60.593,29</w:t>
            </w:r>
          </w:p>
        </w:tc>
        <w:tc>
          <w:tcPr>
            <w:tcW w:type="dxa" w:w="1063"/>
          </w:tcPr>
          <w:p>
            <w:pPr>
              <w:jc w:val="right"/>
            </w:pPr>
            <w:r>
              <w:rPr>
                <w:sz w:val="18"/>
              </w:rPr>
              <w:t>$-10.436,14</w:t>
            </w:r>
          </w:p>
        </w:tc>
        <w:tc>
          <w:tcPr>
            <w:tcW w:type="dxa" w:w="1063"/>
          </w:tcPr>
          <w:p>
            <w:pPr>
              <w:jc w:val="right"/>
            </w:pPr>
            <w:r>
              <w:rPr>
                <w:sz w:val="18"/>
              </w:rPr>
              <w:t>-17,22%</w:t>
            </w:r>
          </w:p>
        </w:tc>
        <w:tc>
          <w:tcPr>
            <w:tcW w:type="dxa" w:w="1063"/>
          </w:tcPr>
          <w:p>
            <w:pPr>
              <w:jc w:val="right"/>
            </w:pPr>
            <w:r>
              <w:rPr>
                <w:sz w:val="18"/>
              </w:rPr>
              <w:t>42,30%</w:t>
            </w:r>
          </w:p>
        </w:tc>
        <w:tc>
          <w:tcPr>
            <w:tcW w:type="dxa" w:w="1063"/>
          </w:tcPr>
          <w:p>
            <w:pPr>
              <w:jc w:val="right"/>
            </w:pPr>
            <w:r>
              <w:rPr>
                <w:sz w:val="18"/>
              </w:rPr>
              <w:t>97,03%</w:t>
            </w:r>
          </w:p>
        </w:tc>
        <w:tc>
          <w:tcPr>
            <w:tcW w:type="dxa" w:w="1063"/>
          </w:tcPr>
          <w:p>
            <w:pPr>
              <w:jc w:val="right"/>
            </w:pPr>
            <w:r>
              <w:rPr>
                <w:sz w:val="18"/>
              </w:rPr>
              <w:t>5</w:t>
            </w:r>
          </w:p>
        </w:tc>
      </w:tr>
      <w:tr>
        <w:tc>
          <w:tcPr>
            <w:tcW w:type="dxa" w:w="1063"/>
          </w:tcPr>
          <w:p>
            <w:pPr>
              <w:jc w:val="left"/>
            </w:pPr>
            <w:r>
              <w:rPr>
                <w:sz w:val="18"/>
              </w:rPr>
              <w:t>Illinois</w:t>
            </w:r>
          </w:p>
        </w:tc>
        <w:tc>
          <w:tcPr>
            <w:tcW w:type="dxa" w:w="1063"/>
          </w:tcPr>
          <w:p>
            <w:pPr>
              <w:jc w:val="left"/>
            </w:pPr>
            <w:r>
              <w:rPr>
                <w:sz w:val="18"/>
              </w:rPr>
              <w:t>Central</w:t>
            </w:r>
          </w:p>
        </w:tc>
        <w:tc>
          <w:tcPr>
            <w:tcW w:type="dxa" w:w="1063"/>
          </w:tcPr>
          <w:p>
            <w:pPr>
              <w:jc w:val="right"/>
            </w:pPr>
            <w:r>
              <w:rPr>
                <w:sz w:val="18"/>
              </w:rPr>
              <w:t>$28.274,52</w:t>
            </w:r>
          </w:p>
        </w:tc>
        <w:tc>
          <w:tcPr>
            <w:tcW w:type="dxa" w:w="1063"/>
          </w:tcPr>
          <w:p>
            <w:pPr>
              <w:jc w:val="right"/>
            </w:pPr>
            <w:r>
              <w:rPr>
                <w:sz w:val="18"/>
              </w:rPr>
              <w:t>$-9.076,29</w:t>
            </w:r>
          </w:p>
        </w:tc>
        <w:tc>
          <w:tcPr>
            <w:tcW w:type="dxa" w:w="1063"/>
          </w:tcPr>
          <w:p>
            <w:pPr>
              <w:jc w:val="right"/>
            </w:pPr>
            <w:r>
              <w:rPr>
                <w:sz w:val="18"/>
              </w:rPr>
              <w:t>-32,10%</w:t>
            </w:r>
          </w:p>
        </w:tc>
        <w:tc>
          <w:tcPr>
            <w:tcW w:type="dxa" w:w="1063"/>
          </w:tcPr>
          <w:p>
            <w:pPr>
              <w:jc w:val="right"/>
            </w:pPr>
            <w:r>
              <w:rPr>
                <w:sz w:val="18"/>
              </w:rPr>
              <w:t>46,83%</w:t>
            </w:r>
          </w:p>
        </w:tc>
        <w:tc>
          <w:tcPr>
            <w:tcW w:type="dxa" w:w="1063"/>
          </w:tcPr>
          <w:p>
            <w:pPr>
              <w:jc w:val="right"/>
            </w:pPr>
            <w:r>
              <w:rPr>
                <w:sz w:val="18"/>
              </w:rPr>
              <w:t>98,37%</w:t>
            </w:r>
          </w:p>
        </w:tc>
        <w:tc>
          <w:tcPr>
            <w:tcW w:type="dxa" w:w="1063"/>
          </w:tcPr>
          <w:p>
            <w:pPr>
              <w:jc w:val="right"/>
            </w:pPr>
            <w:r>
              <w:rPr>
                <w:sz w:val="18"/>
              </w:rPr>
              <w:t>5</w:t>
            </w:r>
          </w:p>
        </w:tc>
      </w:tr>
      <w:tr>
        <w:tc>
          <w:tcPr>
            <w:tcW w:type="dxa" w:w="1063"/>
          </w:tcPr>
          <w:p>
            <w:pPr>
              <w:jc w:val="left"/>
            </w:pPr>
            <w:r>
              <w:rPr>
                <w:sz w:val="18"/>
              </w:rPr>
              <w:t>Pennsylvania</w:t>
            </w:r>
          </w:p>
        </w:tc>
        <w:tc>
          <w:tcPr>
            <w:tcW w:type="dxa" w:w="1063"/>
          </w:tcPr>
          <w:p>
            <w:pPr>
              <w:jc w:val="left"/>
            </w:pPr>
            <w:r>
              <w:rPr>
                <w:sz w:val="18"/>
              </w:rPr>
              <w:t>East</w:t>
            </w:r>
          </w:p>
        </w:tc>
        <w:tc>
          <w:tcPr>
            <w:tcW w:type="dxa" w:w="1063"/>
          </w:tcPr>
          <w:p>
            <w:pPr>
              <w:jc w:val="right"/>
            </w:pPr>
            <w:r>
              <w:rPr>
                <w:sz w:val="18"/>
              </w:rPr>
              <w:t>$39.354,93</w:t>
            </w:r>
          </w:p>
        </w:tc>
        <w:tc>
          <w:tcPr>
            <w:tcW w:type="dxa" w:w="1063"/>
          </w:tcPr>
          <w:p>
            <w:pPr>
              <w:jc w:val="right"/>
            </w:pPr>
            <w:r>
              <w:rPr>
                <w:sz w:val="18"/>
              </w:rPr>
              <w:t>$-7.196,72</w:t>
            </w:r>
          </w:p>
        </w:tc>
        <w:tc>
          <w:tcPr>
            <w:tcW w:type="dxa" w:w="1063"/>
          </w:tcPr>
          <w:p>
            <w:pPr>
              <w:jc w:val="right"/>
            </w:pPr>
            <w:r>
              <w:rPr>
                <w:sz w:val="18"/>
              </w:rPr>
              <w:t>-18,29%</w:t>
            </w:r>
          </w:p>
        </w:tc>
        <w:tc>
          <w:tcPr>
            <w:tcW w:type="dxa" w:w="1063"/>
          </w:tcPr>
          <w:p>
            <w:pPr>
              <w:jc w:val="right"/>
            </w:pPr>
            <w:r>
              <w:rPr>
                <w:sz w:val="18"/>
              </w:rPr>
              <w:t>27,68%</w:t>
            </w:r>
          </w:p>
        </w:tc>
        <w:tc>
          <w:tcPr>
            <w:tcW w:type="dxa" w:w="1063"/>
          </w:tcPr>
          <w:p>
            <w:pPr>
              <w:jc w:val="right"/>
            </w:pPr>
            <w:r>
              <w:rPr>
                <w:sz w:val="18"/>
              </w:rPr>
              <w:t>52,00%</w:t>
            </w:r>
          </w:p>
        </w:tc>
        <w:tc>
          <w:tcPr>
            <w:tcW w:type="dxa" w:w="1063"/>
          </w:tcPr>
          <w:p>
            <w:pPr>
              <w:jc w:val="right"/>
            </w:pPr>
            <w:r>
              <w:rPr>
                <w:sz w:val="18"/>
              </w:rPr>
              <w:t>5</w:t>
            </w:r>
          </w:p>
        </w:tc>
      </w:tr>
      <w:tr>
        <w:tc>
          <w:tcPr>
            <w:tcW w:type="dxa" w:w="1063"/>
          </w:tcPr>
          <w:p>
            <w:pPr>
              <w:jc w:val="left"/>
            </w:pPr>
            <w:r>
              <w:rPr>
                <w:sz w:val="18"/>
              </w:rPr>
              <w:t>Ohio</w:t>
            </w:r>
          </w:p>
        </w:tc>
        <w:tc>
          <w:tcPr>
            <w:tcW w:type="dxa" w:w="1063"/>
          </w:tcPr>
          <w:p>
            <w:pPr>
              <w:jc w:val="left"/>
            </w:pPr>
            <w:r>
              <w:rPr>
                <w:sz w:val="18"/>
              </w:rPr>
              <w:t>East</w:t>
            </w:r>
          </w:p>
        </w:tc>
        <w:tc>
          <w:tcPr>
            <w:tcW w:type="dxa" w:w="1063"/>
          </w:tcPr>
          <w:p>
            <w:pPr>
              <w:jc w:val="right"/>
            </w:pPr>
            <w:r>
              <w:rPr>
                <w:sz w:val="18"/>
              </w:rPr>
              <w:t>$24.199,15</w:t>
            </w:r>
          </w:p>
        </w:tc>
        <w:tc>
          <w:tcPr>
            <w:tcW w:type="dxa" w:w="1063"/>
          </w:tcPr>
          <w:p>
            <w:pPr>
              <w:jc w:val="right"/>
            </w:pPr>
            <w:r>
              <w:rPr>
                <w:sz w:val="18"/>
              </w:rPr>
              <w:t>$-4.206,32</w:t>
            </w:r>
          </w:p>
        </w:tc>
        <w:tc>
          <w:tcPr>
            <w:tcW w:type="dxa" w:w="1063"/>
          </w:tcPr>
          <w:p>
            <w:pPr>
              <w:jc w:val="right"/>
            </w:pPr>
            <w:r>
              <w:rPr>
                <w:sz w:val="18"/>
              </w:rPr>
              <w:t>-17,38%</w:t>
            </w:r>
          </w:p>
        </w:tc>
        <w:tc>
          <w:tcPr>
            <w:tcW w:type="dxa" w:w="1063"/>
          </w:tcPr>
          <w:p>
            <w:pPr>
              <w:jc w:val="right"/>
            </w:pPr>
            <w:r>
              <w:rPr>
                <w:sz w:val="18"/>
              </w:rPr>
              <w:t>28,49%</w:t>
            </w:r>
          </w:p>
        </w:tc>
        <w:tc>
          <w:tcPr>
            <w:tcW w:type="dxa" w:w="1063"/>
          </w:tcPr>
          <w:p>
            <w:pPr>
              <w:jc w:val="right"/>
            </w:pPr>
            <w:r>
              <w:rPr>
                <w:sz w:val="18"/>
              </w:rPr>
              <w:t>56,99%</w:t>
            </w:r>
          </w:p>
        </w:tc>
        <w:tc>
          <w:tcPr>
            <w:tcW w:type="dxa" w:w="1063"/>
          </w:tcPr>
          <w:p>
            <w:pPr>
              <w:jc w:val="right"/>
            </w:pPr>
            <w:r>
              <w:rPr>
                <w:sz w:val="18"/>
              </w:rPr>
              <w:t>5</w:t>
            </w:r>
          </w:p>
        </w:tc>
      </w:tr>
      <w:tr>
        <w:tc>
          <w:tcPr>
            <w:tcW w:type="dxa" w:w="1063"/>
          </w:tcPr>
          <w:p>
            <w:pPr>
              <w:jc w:val="left"/>
            </w:pPr>
            <w:r>
              <w:rPr>
                <w:sz w:val="18"/>
              </w:rPr>
              <w:t>North Carolina</w:t>
            </w:r>
          </w:p>
        </w:tc>
        <w:tc>
          <w:tcPr>
            <w:tcW w:type="dxa" w:w="1063"/>
          </w:tcPr>
          <w:p>
            <w:pPr>
              <w:jc w:val="left"/>
            </w:pPr>
            <w:r>
              <w:rPr>
                <w:sz w:val="18"/>
              </w:rPr>
              <w:t>South</w:t>
            </w:r>
          </w:p>
        </w:tc>
        <w:tc>
          <w:tcPr>
            <w:tcW w:type="dxa" w:w="1063"/>
          </w:tcPr>
          <w:p>
            <w:pPr>
              <w:jc w:val="right"/>
            </w:pPr>
            <w:r>
              <w:rPr>
                <w:sz w:val="18"/>
              </w:rPr>
              <w:t>$15.155,48</w:t>
            </w:r>
          </w:p>
        </w:tc>
        <w:tc>
          <w:tcPr>
            <w:tcW w:type="dxa" w:w="1063"/>
          </w:tcPr>
          <w:p>
            <w:pPr>
              <w:jc w:val="right"/>
            </w:pPr>
            <w:r>
              <w:rPr>
                <w:sz w:val="18"/>
              </w:rPr>
              <w:t>$-3.486,46</w:t>
            </w:r>
          </w:p>
        </w:tc>
        <w:tc>
          <w:tcPr>
            <w:tcW w:type="dxa" w:w="1063"/>
          </w:tcPr>
          <w:p>
            <w:pPr>
              <w:jc w:val="right"/>
            </w:pPr>
            <w:r>
              <w:rPr>
                <w:sz w:val="18"/>
              </w:rPr>
              <w:t>-23,00%</w:t>
            </w:r>
          </w:p>
        </w:tc>
        <w:tc>
          <w:tcPr>
            <w:tcW w:type="dxa" w:w="1063"/>
          </w:tcPr>
          <w:p>
            <w:pPr>
              <w:jc w:val="right"/>
            </w:pPr>
            <w:r>
              <w:rPr>
                <w:sz w:val="18"/>
              </w:rPr>
              <w:t>23,81%</w:t>
            </w:r>
          </w:p>
        </w:tc>
        <w:tc>
          <w:tcPr>
            <w:tcW w:type="dxa" w:w="1063"/>
          </w:tcPr>
          <w:p>
            <w:pPr>
              <w:jc w:val="right"/>
            </w:pPr>
            <w:r>
              <w:rPr>
                <w:sz w:val="18"/>
              </w:rPr>
              <w:t>33,33%</w:t>
            </w:r>
          </w:p>
        </w:tc>
        <w:tc>
          <w:tcPr>
            <w:tcW w:type="dxa" w:w="1063"/>
          </w:tcPr>
          <w:p>
            <w:pPr>
              <w:jc w:val="right"/>
            </w:pPr>
            <w:r>
              <w:rPr>
                <w:sz w:val="18"/>
              </w:rPr>
              <w:t>5</w:t>
            </w:r>
          </w:p>
        </w:tc>
      </w:tr>
      <w:tr>
        <w:tc>
          <w:tcPr>
            <w:tcW w:type="dxa" w:w="1063"/>
          </w:tcPr>
          <w:p>
            <w:pPr>
              <w:jc w:val="left"/>
            </w:pPr>
            <w:r>
              <w:rPr>
                <w:sz w:val="18"/>
              </w:rPr>
              <w:t>Arizona</w:t>
            </w:r>
          </w:p>
        </w:tc>
        <w:tc>
          <w:tcPr>
            <w:tcW w:type="dxa" w:w="1063"/>
          </w:tcPr>
          <w:p>
            <w:pPr>
              <w:jc w:val="left"/>
            </w:pPr>
            <w:r>
              <w:rPr>
                <w:sz w:val="18"/>
              </w:rPr>
              <w:t>West</w:t>
            </w:r>
          </w:p>
        </w:tc>
        <w:tc>
          <w:tcPr>
            <w:tcW w:type="dxa" w:w="1063"/>
          </w:tcPr>
          <w:p>
            <w:pPr>
              <w:jc w:val="right"/>
            </w:pPr>
            <w:r>
              <w:rPr>
                <w:sz w:val="18"/>
              </w:rPr>
              <w:t>$13.525,29</w:t>
            </w:r>
          </w:p>
        </w:tc>
        <w:tc>
          <w:tcPr>
            <w:tcW w:type="dxa" w:w="1063"/>
          </w:tcPr>
          <w:p>
            <w:pPr>
              <w:jc w:val="right"/>
            </w:pPr>
            <w:r>
              <w:rPr>
                <w:sz w:val="18"/>
              </w:rPr>
              <w:t>$-2.744,92</w:t>
            </w:r>
          </w:p>
        </w:tc>
        <w:tc>
          <w:tcPr>
            <w:tcW w:type="dxa" w:w="1063"/>
          </w:tcPr>
          <w:p>
            <w:pPr>
              <w:jc w:val="right"/>
            </w:pPr>
            <w:r>
              <w:rPr>
                <w:sz w:val="18"/>
              </w:rPr>
              <w:t>-20,29%</w:t>
            </w:r>
          </w:p>
        </w:tc>
        <w:tc>
          <w:tcPr>
            <w:tcW w:type="dxa" w:w="1063"/>
          </w:tcPr>
          <w:p>
            <w:pPr>
              <w:jc w:val="right"/>
            </w:pPr>
            <w:r>
              <w:rPr>
                <w:sz w:val="18"/>
              </w:rPr>
              <w:t>28,57%</w:t>
            </w:r>
          </w:p>
        </w:tc>
        <w:tc>
          <w:tcPr>
            <w:tcW w:type="dxa" w:w="1063"/>
          </w:tcPr>
          <w:p>
            <w:pPr>
              <w:jc w:val="right"/>
            </w:pPr>
            <w:r>
              <w:rPr>
                <w:sz w:val="18"/>
              </w:rPr>
              <w:t>42,86%</w:t>
            </w:r>
          </w:p>
        </w:tc>
        <w:tc>
          <w:tcPr>
            <w:tcW w:type="dxa" w:w="1063"/>
          </w:tcPr>
          <w:p>
            <w:pPr>
              <w:jc w:val="right"/>
            </w:pPr>
            <w:r>
              <w:rPr>
                <w:sz w:val="18"/>
              </w:rPr>
              <w:t>5</w:t>
            </w:r>
          </w:p>
        </w:tc>
      </w:tr>
      <w:tr>
        <w:tc>
          <w:tcPr>
            <w:tcW w:type="dxa" w:w="1063"/>
          </w:tcPr>
          <w:p>
            <w:pPr>
              <w:jc w:val="left"/>
            </w:pPr>
            <w:r>
              <w:rPr>
                <w:sz w:val="18"/>
              </w:rPr>
              <w:t>Colorado</w:t>
            </w:r>
          </w:p>
        </w:tc>
        <w:tc>
          <w:tcPr>
            <w:tcW w:type="dxa" w:w="1063"/>
          </w:tcPr>
          <w:p>
            <w:pPr>
              <w:jc w:val="left"/>
            </w:pPr>
            <w:r>
              <w:rPr>
                <w:sz w:val="18"/>
              </w:rPr>
              <w:t>West</w:t>
            </w:r>
          </w:p>
        </w:tc>
        <w:tc>
          <w:tcPr>
            <w:tcW w:type="dxa" w:w="1063"/>
          </w:tcPr>
          <w:p>
            <w:pPr>
              <w:jc w:val="right"/>
            </w:pPr>
            <w:r>
              <w:rPr>
                <w:sz w:val="18"/>
              </w:rPr>
              <w:t>$13.243,04</w:t>
            </w:r>
          </w:p>
        </w:tc>
        <w:tc>
          <w:tcPr>
            <w:tcW w:type="dxa" w:w="1063"/>
          </w:tcPr>
          <w:p>
            <w:pPr>
              <w:jc w:val="right"/>
            </w:pPr>
            <w:r>
              <w:rPr>
                <w:sz w:val="18"/>
              </w:rPr>
              <w:t>$-2.683,13</w:t>
            </w:r>
          </w:p>
        </w:tc>
        <w:tc>
          <w:tcPr>
            <w:tcW w:type="dxa" w:w="1063"/>
          </w:tcPr>
          <w:p>
            <w:pPr>
              <w:jc w:val="right"/>
            </w:pPr>
            <w:r>
              <w:rPr>
                <w:sz w:val="18"/>
              </w:rPr>
              <w:t>-20,26%</w:t>
            </w:r>
          </w:p>
        </w:tc>
        <w:tc>
          <w:tcPr>
            <w:tcW w:type="dxa" w:w="1063"/>
          </w:tcPr>
          <w:p>
            <w:pPr>
              <w:jc w:val="right"/>
            </w:pPr>
            <w:r>
              <w:rPr>
                <w:sz w:val="18"/>
              </w:rPr>
              <w:t>31,18%</w:t>
            </w:r>
          </w:p>
        </w:tc>
        <w:tc>
          <w:tcPr>
            <w:tcW w:type="dxa" w:w="1063"/>
          </w:tcPr>
          <w:p>
            <w:pPr>
              <w:jc w:val="right"/>
            </w:pPr>
            <w:r>
              <w:rPr>
                <w:sz w:val="18"/>
              </w:rPr>
              <w:t>35,29%</w:t>
            </w:r>
          </w:p>
        </w:tc>
        <w:tc>
          <w:tcPr>
            <w:tcW w:type="dxa" w:w="1063"/>
          </w:tcPr>
          <w:p>
            <w:pPr>
              <w:jc w:val="right"/>
            </w:pPr>
            <w:r>
              <w:rPr>
                <w:sz w:val="18"/>
              </w:rPr>
              <w:t>4</w:t>
            </w:r>
          </w:p>
        </w:tc>
      </w:tr>
      <w:tr>
        <w:tc>
          <w:tcPr>
            <w:tcW w:type="dxa" w:w="1063"/>
          </w:tcPr>
          <w:p>
            <w:pPr>
              <w:jc w:val="left"/>
            </w:pPr>
            <w:r>
              <w:rPr>
                <w:sz w:val="18"/>
              </w:rPr>
              <w:t>Florida</w:t>
            </w:r>
          </w:p>
        </w:tc>
        <w:tc>
          <w:tcPr>
            <w:tcW w:type="dxa" w:w="1063"/>
          </w:tcPr>
          <w:p>
            <w:pPr>
              <w:jc w:val="left"/>
            </w:pPr>
            <w:r>
              <w:rPr>
                <w:sz w:val="18"/>
              </w:rPr>
              <w:t>South</w:t>
            </w:r>
          </w:p>
        </w:tc>
        <w:tc>
          <w:tcPr>
            <w:tcW w:type="dxa" w:w="1063"/>
          </w:tcPr>
          <w:p>
            <w:pPr>
              <w:jc w:val="right"/>
            </w:pPr>
            <w:r>
              <w:rPr>
                <w:sz w:val="18"/>
              </w:rPr>
              <w:t>$22.987,04</w:t>
            </w:r>
          </w:p>
        </w:tc>
        <w:tc>
          <w:tcPr>
            <w:tcW w:type="dxa" w:w="1063"/>
          </w:tcPr>
          <w:p>
            <w:pPr>
              <w:jc w:val="right"/>
            </w:pPr>
            <w:r>
              <w:rPr>
                <w:sz w:val="18"/>
              </w:rPr>
              <w:t>$-2.254,98</w:t>
            </w:r>
          </w:p>
        </w:tc>
        <w:tc>
          <w:tcPr>
            <w:tcW w:type="dxa" w:w="1063"/>
          </w:tcPr>
          <w:p>
            <w:pPr>
              <w:jc w:val="right"/>
            </w:pPr>
            <w:r>
              <w:rPr>
                <w:sz w:val="18"/>
              </w:rPr>
              <w:t>-9,81%</w:t>
            </w:r>
          </w:p>
        </w:tc>
        <w:tc>
          <w:tcPr>
            <w:tcW w:type="dxa" w:w="1063"/>
          </w:tcPr>
          <w:p>
            <w:pPr>
              <w:jc w:val="right"/>
            </w:pPr>
            <w:r>
              <w:rPr>
                <w:sz w:val="18"/>
              </w:rPr>
              <w:t>23,24%</w:t>
            </w:r>
          </w:p>
        </w:tc>
        <w:tc>
          <w:tcPr>
            <w:tcW w:type="dxa" w:w="1063"/>
          </w:tcPr>
          <w:p>
            <w:pPr>
              <w:jc w:val="right"/>
            </w:pPr>
            <w:r>
              <w:rPr>
                <w:sz w:val="18"/>
              </w:rPr>
              <w:t>32,94%</w:t>
            </w:r>
          </w:p>
        </w:tc>
        <w:tc>
          <w:tcPr>
            <w:tcW w:type="dxa" w:w="1063"/>
          </w:tcPr>
          <w:p>
            <w:pPr>
              <w:jc w:val="right"/>
            </w:pPr>
            <w:r>
              <w:rPr>
                <w:sz w:val="18"/>
              </w:rPr>
              <w:t>4</w:t>
            </w:r>
          </w:p>
        </w:tc>
      </w:tr>
      <w:tr>
        <w:tc>
          <w:tcPr>
            <w:tcW w:type="dxa" w:w="1063"/>
          </w:tcPr>
          <w:p>
            <w:pPr>
              <w:jc w:val="left"/>
            </w:pPr>
            <w:r>
              <w:rPr>
                <w:sz w:val="18"/>
              </w:rPr>
              <w:t>Tennessee</w:t>
            </w:r>
          </w:p>
        </w:tc>
        <w:tc>
          <w:tcPr>
            <w:tcW w:type="dxa" w:w="1063"/>
          </w:tcPr>
          <w:p>
            <w:pPr>
              <w:jc w:val="left"/>
            </w:pPr>
            <w:r>
              <w:rPr>
                <w:sz w:val="18"/>
              </w:rPr>
              <w:t>South</w:t>
            </w:r>
          </w:p>
        </w:tc>
        <w:tc>
          <w:tcPr>
            <w:tcW w:type="dxa" w:w="1063"/>
          </w:tcPr>
          <w:p>
            <w:pPr>
              <w:jc w:val="right"/>
            </w:pPr>
            <w:r>
              <w:rPr>
                <w:sz w:val="18"/>
              </w:rPr>
              <w:t>$13.506,73</w:t>
            </w:r>
          </w:p>
        </w:tc>
        <w:tc>
          <w:tcPr>
            <w:tcW w:type="dxa" w:w="1063"/>
          </w:tcPr>
          <w:p>
            <w:pPr>
              <w:jc w:val="right"/>
            </w:pPr>
            <w:r>
              <w:rPr>
                <w:sz w:val="18"/>
              </w:rPr>
              <w:t>$-2.208,63</w:t>
            </w:r>
          </w:p>
        </w:tc>
        <w:tc>
          <w:tcPr>
            <w:tcW w:type="dxa" w:w="1063"/>
          </w:tcPr>
          <w:p>
            <w:pPr>
              <w:jc w:val="right"/>
            </w:pPr>
            <w:r>
              <w:rPr>
                <w:sz w:val="18"/>
              </w:rPr>
              <w:t>-16,35%</w:t>
            </w:r>
          </w:p>
        </w:tc>
        <w:tc>
          <w:tcPr>
            <w:tcW w:type="dxa" w:w="1063"/>
          </w:tcPr>
          <w:p>
            <w:pPr>
              <w:jc w:val="right"/>
            </w:pPr>
            <w:r>
              <w:rPr>
                <w:sz w:val="18"/>
              </w:rPr>
              <w:t>23,56%</w:t>
            </w:r>
          </w:p>
        </w:tc>
        <w:tc>
          <w:tcPr>
            <w:tcW w:type="dxa" w:w="1063"/>
          </w:tcPr>
          <w:p>
            <w:pPr>
              <w:jc w:val="right"/>
            </w:pPr>
            <w:r>
              <w:rPr>
                <w:sz w:val="18"/>
              </w:rPr>
              <w:t>35,56%</w:t>
            </w:r>
          </w:p>
        </w:tc>
        <w:tc>
          <w:tcPr>
            <w:tcW w:type="dxa" w:w="1063"/>
          </w:tcPr>
          <w:p>
            <w:pPr>
              <w:jc w:val="right"/>
            </w:pPr>
            <w:r>
              <w:rPr>
                <w:sz w:val="18"/>
              </w:rPr>
              <w:t>4</w:t>
            </w:r>
          </w:p>
        </w:tc>
      </w:tr>
      <w:tr>
        <w:tc>
          <w:tcPr>
            <w:tcW w:type="dxa" w:w="1063"/>
          </w:tcPr>
          <w:p>
            <w:pPr>
              <w:jc w:val="left"/>
            </w:pPr>
            <w:r>
              <w:rPr>
                <w:sz w:val="18"/>
              </w:rPr>
              <w:t>Oregon</w:t>
            </w:r>
          </w:p>
        </w:tc>
        <w:tc>
          <w:tcPr>
            <w:tcW w:type="dxa" w:w="1063"/>
          </w:tcPr>
          <w:p>
            <w:pPr>
              <w:jc w:val="left"/>
            </w:pPr>
            <w:r>
              <w:rPr>
                <w:sz w:val="18"/>
              </w:rPr>
              <w:t>West</w:t>
            </w:r>
          </w:p>
        </w:tc>
        <w:tc>
          <w:tcPr>
            <w:tcW w:type="dxa" w:w="1063"/>
          </w:tcPr>
          <w:p>
            <w:pPr>
              <w:jc w:val="right"/>
            </w:pPr>
            <w:r>
              <w:rPr>
                <w:sz w:val="18"/>
              </w:rPr>
              <w:t>$6.338,13</w:t>
            </w:r>
          </w:p>
        </w:tc>
        <w:tc>
          <w:tcPr>
            <w:tcW w:type="dxa" w:w="1063"/>
          </w:tcPr>
          <w:p>
            <w:pPr>
              <w:jc w:val="right"/>
            </w:pPr>
            <w:r>
              <w:rPr>
                <w:sz w:val="18"/>
              </w:rPr>
              <w:t>$-1.487,58</w:t>
            </w:r>
          </w:p>
        </w:tc>
        <w:tc>
          <w:tcPr>
            <w:tcW w:type="dxa" w:w="1063"/>
          </w:tcPr>
          <w:p>
            <w:pPr>
              <w:jc w:val="right"/>
            </w:pPr>
            <w:r>
              <w:rPr>
                <w:sz w:val="18"/>
              </w:rPr>
              <w:t>-23,47%</w:t>
            </w:r>
          </w:p>
        </w:tc>
        <w:tc>
          <w:tcPr>
            <w:tcW w:type="dxa" w:w="1063"/>
          </w:tcPr>
          <w:p>
            <w:pPr>
              <w:jc w:val="right"/>
            </w:pPr>
            <w:r>
              <w:rPr>
                <w:sz w:val="18"/>
              </w:rPr>
              <w:t>34,29%</w:t>
            </w:r>
          </w:p>
        </w:tc>
        <w:tc>
          <w:tcPr>
            <w:tcW w:type="dxa" w:w="1063"/>
          </w:tcPr>
          <w:p>
            <w:pPr>
              <w:jc w:val="right"/>
            </w:pPr>
            <w:r>
              <w:rPr>
                <w:sz w:val="18"/>
              </w:rPr>
              <w:t>61,90%</w:t>
            </w:r>
          </w:p>
        </w:tc>
        <w:tc>
          <w:tcPr>
            <w:tcW w:type="dxa" w:w="1063"/>
          </w:tcPr>
          <w:p>
            <w:pPr>
              <w:jc w:val="right"/>
            </w:pPr>
            <w:r>
              <w:rPr>
                <w:sz w:val="18"/>
              </w:rPr>
              <w:t>4</w:t>
            </w:r>
          </w:p>
        </w:tc>
      </w:tr>
    </w:tbl>
    <w:p/>
    <w:p>
      <w:pPr>
        <w:jc w:val="center"/>
      </w:pPr>
      <w:r>
        <w:drawing>
          <wp:inline xmlns:a="http://schemas.openxmlformats.org/drawingml/2006/main" xmlns:pic="http://schemas.openxmlformats.org/drawingml/2006/picture">
            <wp:extent cx="5029200" cy="3337044"/>
            <wp:docPr id="9" name="Picture 9"/>
            <wp:cNvGraphicFramePr>
              <a:graphicFrameLocks noChangeAspect="1"/>
            </wp:cNvGraphicFramePr>
            <a:graphic>
              <a:graphicData uri="http://schemas.openxmlformats.org/drawingml/2006/picture">
                <pic:pic>
                  <pic:nvPicPr>
                    <pic:cNvPr id="0" name="state_sales_profit.png"/>
                    <pic:cNvPicPr/>
                  </pic:nvPicPr>
                  <pic:blipFill>
                    <a:blip r:embed="rId17"/>
                    <a:stretch>
                      <a:fillRect/>
                    </a:stretch>
                  </pic:blipFill>
                  <pic:spPr>
                    <a:xfrm>
                      <a:off x="0" y="0"/>
                      <a:ext cx="5029200" cy="3337044"/>
                    </a:xfrm>
                    <a:prstGeom prst="rect"/>
                  </pic:spPr>
                </pic:pic>
              </a:graphicData>
            </a:graphic>
          </wp:inline>
        </w:drawing>
      </w:r>
    </w:p>
    <w:p>
      <w:pPr>
        <w:jc w:val="center"/>
      </w:pPr>
      <w:r>
        <w:rPr>
          <w:i/>
          <w:sz w:val="18"/>
        </w:rPr>
        <w:t>Hình 9: So sánh doanh thu và lợi nhuận theo tiểu bang</w:t>
      </w:r>
    </w:p>
    <w:p/>
    <w:p>
      <w:r>
        <w:rPr>
          <w:b/>
        </w:rPr>
        <w:t>D3-D4. Drill-down: State lỗ nặng kết hợp sub-category và discount:</w:t>
      </w:r>
    </w:p>
    <w:tbl>
      <w:tblPr>
        <w:tblStyle w:val="LightGrid-Accent1"/>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jc w:val="center"/>
            </w:pPr>
            <w:r>
              <w:rPr>
                <w:b/>
                <w:sz w:val="20"/>
              </w:rPr>
              <w:t>State</w:t>
            </w:r>
          </w:p>
        </w:tc>
        <w:tc>
          <w:tcPr>
            <w:tcW w:type="dxa" w:w="1215"/>
          </w:tcPr>
          <w:p>
            <w:pPr>
              <w:jc w:val="center"/>
            </w:pPr>
            <w:r>
              <w:rPr>
                <w:b/>
                <w:sz w:val="20"/>
              </w:rPr>
              <w:t>Sub-Cat</w:t>
            </w:r>
          </w:p>
        </w:tc>
        <w:tc>
          <w:tcPr>
            <w:tcW w:type="dxa" w:w="1215"/>
          </w:tcPr>
          <w:p>
            <w:pPr>
              <w:jc w:val="center"/>
            </w:pPr>
            <w:r>
              <w:rPr>
                <w:b/>
                <w:sz w:val="20"/>
              </w:rPr>
              <w:t>Doanh thu</w:t>
            </w:r>
          </w:p>
        </w:tc>
        <w:tc>
          <w:tcPr>
            <w:tcW w:type="dxa" w:w="1215"/>
          </w:tcPr>
          <w:p>
            <w:pPr>
              <w:jc w:val="center"/>
            </w:pPr>
            <w:r>
              <w:rPr>
                <w:b/>
                <w:sz w:val="20"/>
              </w:rPr>
              <w:t>Lợi nhuận</w:t>
            </w:r>
          </w:p>
        </w:tc>
        <w:tc>
          <w:tcPr>
            <w:tcW w:type="dxa" w:w="1215"/>
          </w:tcPr>
          <w:p>
            <w:pPr>
              <w:jc w:val="center"/>
            </w:pPr>
            <w:r>
              <w:rPr>
                <w:b/>
                <w:sz w:val="20"/>
              </w:rPr>
              <w:t>Biên %</w:t>
            </w:r>
          </w:p>
        </w:tc>
        <w:tc>
          <w:tcPr>
            <w:tcW w:type="dxa" w:w="1215"/>
          </w:tcPr>
          <w:p>
            <w:pPr>
              <w:jc w:val="center"/>
            </w:pPr>
            <w:r>
              <w:rPr>
                <w:b/>
                <w:sz w:val="20"/>
              </w:rPr>
              <w:t>Disc %</w:t>
            </w:r>
          </w:p>
        </w:tc>
        <w:tc>
          <w:tcPr>
            <w:tcW w:type="dxa" w:w="1215"/>
          </w:tcPr>
          <w:p>
            <w:pPr>
              <w:jc w:val="center"/>
            </w:pPr>
            <w:r>
              <w:rPr>
                <w:b/>
                <w:sz w:val="20"/>
              </w:rPr>
              <w:t>Loss %</w:t>
            </w:r>
          </w:p>
        </w:tc>
      </w:tr>
      <w:tr>
        <w:tc>
          <w:tcPr>
            <w:tcW w:type="dxa" w:w="1215"/>
          </w:tcPr>
          <w:p>
            <w:pPr>
              <w:jc w:val="left"/>
            </w:pPr>
            <w:r>
              <w:rPr>
                <w:sz w:val="18"/>
              </w:rPr>
              <w:t>New York</w:t>
            </w:r>
          </w:p>
        </w:tc>
        <w:tc>
          <w:tcPr>
            <w:tcW w:type="dxa" w:w="1215"/>
          </w:tcPr>
          <w:p>
            <w:pPr>
              <w:jc w:val="left"/>
            </w:pPr>
            <w:r>
              <w:rPr>
                <w:sz w:val="18"/>
              </w:rPr>
              <w:t>Tables</w:t>
            </w:r>
          </w:p>
        </w:tc>
        <w:tc>
          <w:tcPr>
            <w:tcW w:type="dxa" w:w="1215"/>
          </w:tcPr>
          <w:p>
            <w:pPr>
              <w:jc w:val="right"/>
            </w:pPr>
            <w:r>
              <w:rPr>
                <w:sz w:val="18"/>
              </w:rPr>
              <w:t>$13.779,02</w:t>
            </w:r>
          </w:p>
        </w:tc>
        <w:tc>
          <w:tcPr>
            <w:tcW w:type="dxa" w:w="1215"/>
          </w:tcPr>
          <w:p>
            <w:pPr>
              <w:jc w:val="right"/>
            </w:pPr>
            <w:r>
              <w:rPr>
                <w:sz w:val="18"/>
              </w:rPr>
              <w:t>$-4.535,64</w:t>
            </w:r>
          </w:p>
        </w:tc>
        <w:tc>
          <w:tcPr>
            <w:tcW w:type="dxa" w:w="1215"/>
          </w:tcPr>
          <w:p>
            <w:pPr>
              <w:jc w:val="right"/>
            </w:pPr>
            <w:r>
              <w:rPr>
                <w:sz w:val="18"/>
              </w:rPr>
              <w:t>-32,92%</w:t>
            </w:r>
          </w:p>
        </w:tc>
        <w:tc>
          <w:tcPr>
            <w:tcW w:type="dxa" w:w="1215"/>
          </w:tcPr>
          <w:p>
            <w:pPr>
              <w:jc w:val="right"/>
            </w:pPr>
            <w:r>
              <w:rPr>
                <w:sz w:val="18"/>
              </w:rPr>
              <w:t>40%</w:t>
            </w:r>
          </w:p>
        </w:tc>
        <w:tc>
          <w:tcPr>
            <w:tcW w:type="dxa" w:w="1215"/>
          </w:tcPr>
          <w:p>
            <w:pPr>
              <w:jc w:val="right"/>
            </w:pPr>
            <w:r>
              <w:rPr>
                <w:sz w:val="18"/>
              </w:rPr>
              <w:t>100%</w:t>
            </w:r>
          </w:p>
        </w:tc>
      </w:tr>
      <w:tr>
        <w:tc>
          <w:tcPr>
            <w:tcW w:type="dxa" w:w="1215"/>
          </w:tcPr>
          <w:p>
            <w:pPr>
              <w:jc w:val="left"/>
            </w:pPr>
            <w:r>
              <w:rPr>
                <w:sz w:val="18"/>
              </w:rPr>
              <w:t>Illinois</w:t>
            </w:r>
          </w:p>
        </w:tc>
        <w:tc>
          <w:tcPr>
            <w:tcW w:type="dxa" w:w="1215"/>
          </w:tcPr>
          <w:p>
            <w:pPr>
              <w:jc w:val="left"/>
            </w:pPr>
            <w:r>
              <w:rPr>
                <w:sz w:val="18"/>
              </w:rPr>
              <w:t>Tables</w:t>
            </w:r>
          </w:p>
        </w:tc>
        <w:tc>
          <w:tcPr>
            <w:tcW w:type="dxa" w:w="1215"/>
          </w:tcPr>
          <w:p>
            <w:pPr>
              <w:jc w:val="right"/>
            </w:pPr>
            <w:r>
              <w:rPr>
                <w:sz w:val="18"/>
              </w:rPr>
              <w:t>$6.550,67</w:t>
            </w:r>
          </w:p>
        </w:tc>
        <w:tc>
          <w:tcPr>
            <w:tcW w:type="dxa" w:w="1215"/>
          </w:tcPr>
          <w:p>
            <w:pPr>
              <w:jc w:val="right"/>
            </w:pPr>
            <w:r>
              <w:rPr>
                <w:sz w:val="18"/>
              </w:rPr>
              <w:t>$-4.309,74</w:t>
            </w:r>
          </w:p>
        </w:tc>
        <w:tc>
          <w:tcPr>
            <w:tcW w:type="dxa" w:w="1215"/>
          </w:tcPr>
          <w:p>
            <w:pPr>
              <w:jc w:val="right"/>
            </w:pPr>
            <w:r>
              <w:rPr>
                <w:sz w:val="18"/>
              </w:rPr>
              <w:t>-65,79%</w:t>
            </w:r>
          </w:p>
        </w:tc>
        <w:tc>
          <w:tcPr>
            <w:tcW w:type="dxa" w:w="1215"/>
          </w:tcPr>
          <w:p>
            <w:pPr>
              <w:jc w:val="right"/>
            </w:pPr>
            <w:r>
              <w:rPr>
                <w:sz w:val="18"/>
              </w:rPr>
              <w:t>50%</w:t>
            </w:r>
          </w:p>
        </w:tc>
        <w:tc>
          <w:tcPr>
            <w:tcW w:type="dxa" w:w="1215"/>
          </w:tcPr>
          <w:p>
            <w:pPr>
              <w:jc w:val="right"/>
            </w:pPr>
            <w:r>
              <w:rPr>
                <w:sz w:val="18"/>
              </w:rPr>
              <w:t>100%</w:t>
            </w:r>
          </w:p>
        </w:tc>
      </w:tr>
      <w:tr>
        <w:tc>
          <w:tcPr>
            <w:tcW w:type="dxa" w:w="1215"/>
          </w:tcPr>
          <w:p>
            <w:pPr>
              <w:jc w:val="left"/>
            </w:pPr>
            <w:r>
              <w:rPr>
                <w:sz w:val="18"/>
              </w:rPr>
              <w:t>N. Carolina</w:t>
            </w:r>
          </w:p>
        </w:tc>
        <w:tc>
          <w:tcPr>
            <w:tcW w:type="dxa" w:w="1215"/>
          </w:tcPr>
          <w:p>
            <w:pPr>
              <w:jc w:val="left"/>
            </w:pPr>
            <w:r>
              <w:rPr>
                <w:sz w:val="18"/>
              </w:rPr>
              <w:t>Tables</w:t>
            </w:r>
          </w:p>
        </w:tc>
        <w:tc>
          <w:tcPr>
            <w:tcW w:type="dxa" w:w="1215"/>
          </w:tcPr>
          <w:p>
            <w:pPr>
              <w:jc w:val="right"/>
            </w:pPr>
            <w:r>
              <w:rPr>
                <w:sz w:val="18"/>
              </w:rPr>
              <w:t>$9.681,73</w:t>
            </w:r>
          </w:p>
        </w:tc>
        <w:tc>
          <w:tcPr>
            <w:tcW w:type="dxa" w:w="1215"/>
          </w:tcPr>
          <w:p>
            <w:pPr>
              <w:jc w:val="right"/>
            </w:pPr>
            <w:r>
              <w:rPr>
                <w:sz w:val="18"/>
              </w:rPr>
              <w:t>$-3.684,25</w:t>
            </w:r>
          </w:p>
        </w:tc>
        <w:tc>
          <w:tcPr>
            <w:tcW w:type="dxa" w:w="1215"/>
          </w:tcPr>
          <w:p>
            <w:pPr>
              <w:jc w:val="right"/>
            </w:pPr>
            <w:r>
              <w:rPr>
                <w:sz w:val="18"/>
              </w:rPr>
              <w:t>-38,05%</w:t>
            </w:r>
          </w:p>
        </w:tc>
        <w:tc>
          <w:tcPr>
            <w:tcW w:type="dxa" w:w="1215"/>
          </w:tcPr>
          <w:p>
            <w:pPr>
              <w:jc w:val="right"/>
            </w:pPr>
            <w:r>
              <w:rPr>
                <w:sz w:val="18"/>
              </w:rPr>
              <w:t>40%</w:t>
            </w:r>
          </w:p>
        </w:tc>
        <w:tc>
          <w:tcPr>
            <w:tcW w:type="dxa" w:w="1215"/>
          </w:tcPr>
          <w:p>
            <w:pPr>
              <w:jc w:val="right"/>
            </w:pPr>
            <w:r>
              <w:rPr>
                <w:sz w:val="18"/>
              </w:rPr>
              <w:t>100%</w:t>
            </w:r>
          </w:p>
        </w:tc>
      </w:tr>
      <w:tr>
        <w:tc>
          <w:tcPr>
            <w:tcW w:type="dxa" w:w="1215"/>
          </w:tcPr>
          <w:p>
            <w:pPr>
              <w:jc w:val="left"/>
            </w:pPr>
            <w:r>
              <w:rPr>
                <w:sz w:val="18"/>
              </w:rPr>
              <w:t>Texas</w:t>
            </w:r>
          </w:p>
        </w:tc>
        <w:tc>
          <w:tcPr>
            <w:tcW w:type="dxa" w:w="1215"/>
          </w:tcPr>
          <w:p>
            <w:pPr>
              <w:jc w:val="left"/>
            </w:pPr>
            <w:r>
              <w:rPr>
                <w:sz w:val="18"/>
              </w:rPr>
              <w:t>Furnishings</w:t>
            </w:r>
          </w:p>
        </w:tc>
        <w:tc>
          <w:tcPr>
            <w:tcW w:type="dxa" w:w="1215"/>
          </w:tcPr>
          <w:p>
            <w:pPr>
              <w:jc w:val="right"/>
            </w:pPr>
            <w:r>
              <w:rPr>
                <w:sz w:val="18"/>
              </w:rPr>
              <w:t>$3.766,72</w:t>
            </w:r>
          </w:p>
        </w:tc>
        <w:tc>
          <w:tcPr>
            <w:tcW w:type="dxa" w:w="1215"/>
          </w:tcPr>
          <w:p>
            <w:pPr>
              <w:jc w:val="right"/>
            </w:pPr>
            <w:r>
              <w:rPr>
                <w:sz w:val="18"/>
              </w:rPr>
              <w:t>$-3.312,68</w:t>
            </w:r>
          </w:p>
        </w:tc>
        <w:tc>
          <w:tcPr>
            <w:tcW w:type="dxa" w:w="1215"/>
          </w:tcPr>
          <w:p>
            <w:pPr>
              <w:jc w:val="right"/>
            </w:pPr>
            <w:r>
              <w:rPr>
                <w:sz w:val="18"/>
              </w:rPr>
              <w:t>-87,95%</w:t>
            </w:r>
          </w:p>
        </w:tc>
        <w:tc>
          <w:tcPr>
            <w:tcW w:type="dxa" w:w="1215"/>
          </w:tcPr>
          <w:p>
            <w:pPr>
              <w:jc w:val="right"/>
            </w:pPr>
            <w:r>
              <w:rPr>
                <w:sz w:val="18"/>
              </w:rPr>
              <w:t>60%</w:t>
            </w:r>
          </w:p>
        </w:tc>
        <w:tc>
          <w:tcPr>
            <w:tcW w:type="dxa" w:w="1215"/>
          </w:tcPr>
          <w:p>
            <w:pPr>
              <w:jc w:val="right"/>
            </w:pPr>
            <w:r>
              <w:rPr>
                <w:sz w:val="18"/>
              </w:rPr>
              <w:t>100%</w:t>
            </w:r>
          </w:p>
        </w:tc>
      </w:tr>
      <w:tr>
        <w:tc>
          <w:tcPr>
            <w:tcW w:type="dxa" w:w="1215"/>
          </w:tcPr>
          <w:p>
            <w:pPr>
              <w:jc w:val="left"/>
            </w:pPr>
            <w:r>
              <w:rPr>
                <w:sz w:val="18"/>
              </w:rPr>
              <w:t>Pennsylvania</w:t>
            </w:r>
          </w:p>
        </w:tc>
        <w:tc>
          <w:tcPr>
            <w:tcW w:type="dxa" w:w="1215"/>
          </w:tcPr>
          <w:p>
            <w:pPr>
              <w:jc w:val="left"/>
            </w:pPr>
            <w:r>
              <w:rPr>
                <w:sz w:val="18"/>
              </w:rPr>
              <w:t>Bookcases</w:t>
            </w:r>
          </w:p>
        </w:tc>
        <w:tc>
          <w:tcPr>
            <w:tcW w:type="dxa" w:w="1215"/>
          </w:tcPr>
          <w:p>
            <w:pPr>
              <w:jc w:val="right"/>
            </w:pPr>
            <w:r>
              <w:rPr>
                <w:sz w:val="18"/>
              </w:rPr>
              <w:t>$5.230,76</w:t>
            </w:r>
          </w:p>
        </w:tc>
        <w:tc>
          <w:tcPr>
            <w:tcW w:type="dxa" w:w="1215"/>
          </w:tcPr>
          <w:p>
            <w:pPr>
              <w:jc w:val="right"/>
            </w:pPr>
            <w:r>
              <w:rPr>
                <w:sz w:val="18"/>
              </w:rPr>
              <w:t>$-2.896,76</w:t>
            </w:r>
          </w:p>
        </w:tc>
        <w:tc>
          <w:tcPr>
            <w:tcW w:type="dxa" w:w="1215"/>
          </w:tcPr>
          <w:p>
            <w:pPr>
              <w:jc w:val="right"/>
            </w:pPr>
            <w:r>
              <w:rPr>
                <w:sz w:val="18"/>
              </w:rPr>
              <w:t>-55,38%</w:t>
            </w:r>
          </w:p>
        </w:tc>
        <w:tc>
          <w:tcPr>
            <w:tcW w:type="dxa" w:w="1215"/>
          </w:tcPr>
          <w:p>
            <w:pPr>
              <w:jc w:val="right"/>
            </w:pPr>
            <w:r>
              <w:rPr>
                <w:sz w:val="18"/>
              </w:rPr>
              <w:t>50%</w:t>
            </w:r>
          </w:p>
        </w:tc>
        <w:tc>
          <w:tcPr>
            <w:tcW w:type="dxa" w:w="1215"/>
          </w:tcPr>
          <w:p>
            <w:pPr>
              <w:jc w:val="right"/>
            </w:pPr>
            <w:r>
              <w:rPr>
                <w:sz w:val="18"/>
              </w:rPr>
              <w:t>100%</w:t>
            </w:r>
          </w:p>
        </w:tc>
      </w:tr>
      <w:tr>
        <w:tc>
          <w:tcPr>
            <w:tcW w:type="dxa" w:w="1215"/>
          </w:tcPr>
          <w:p>
            <w:pPr>
              <w:jc w:val="left"/>
            </w:pPr>
            <w:r>
              <w:rPr>
                <w:sz w:val="18"/>
              </w:rPr>
              <w:t>Ohio</w:t>
            </w:r>
          </w:p>
        </w:tc>
        <w:tc>
          <w:tcPr>
            <w:tcW w:type="dxa" w:w="1215"/>
          </w:tcPr>
          <w:p>
            <w:pPr>
              <w:jc w:val="left"/>
            </w:pPr>
            <w:r>
              <w:rPr>
                <w:sz w:val="18"/>
              </w:rPr>
              <w:t>Tables</w:t>
            </w:r>
          </w:p>
        </w:tc>
        <w:tc>
          <w:tcPr>
            <w:tcW w:type="dxa" w:w="1215"/>
          </w:tcPr>
          <w:p>
            <w:pPr>
              <w:jc w:val="right"/>
            </w:pPr>
            <w:r>
              <w:rPr>
                <w:sz w:val="18"/>
              </w:rPr>
              <w:t>$7.887,11</w:t>
            </w:r>
          </w:p>
        </w:tc>
        <w:tc>
          <w:tcPr>
            <w:tcW w:type="dxa" w:w="1215"/>
          </w:tcPr>
          <w:p>
            <w:pPr>
              <w:jc w:val="right"/>
            </w:pPr>
            <w:r>
              <w:rPr>
                <w:sz w:val="18"/>
              </w:rPr>
              <w:t>$-2.715,33</w:t>
            </w:r>
          </w:p>
        </w:tc>
        <w:tc>
          <w:tcPr>
            <w:tcW w:type="dxa" w:w="1215"/>
          </w:tcPr>
          <w:p>
            <w:pPr>
              <w:jc w:val="right"/>
            </w:pPr>
            <w:r>
              <w:rPr>
                <w:sz w:val="18"/>
              </w:rPr>
              <w:t>-34,43%</w:t>
            </w:r>
          </w:p>
        </w:tc>
        <w:tc>
          <w:tcPr>
            <w:tcW w:type="dxa" w:w="1215"/>
          </w:tcPr>
          <w:p>
            <w:pPr>
              <w:jc w:val="right"/>
            </w:pPr>
            <w:r>
              <w:rPr>
                <w:sz w:val="18"/>
              </w:rPr>
              <w:t>40%</w:t>
            </w:r>
          </w:p>
        </w:tc>
        <w:tc>
          <w:tcPr>
            <w:tcW w:type="dxa" w:w="1215"/>
          </w:tcPr>
          <w:p>
            <w:pPr>
              <w:jc w:val="right"/>
            </w:pPr>
            <w:r>
              <w:rPr>
                <w:sz w:val="18"/>
              </w:rPr>
              <w:t>100%</w:t>
            </w:r>
          </w:p>
        </w:tc>
      </w:tr>
      <w:tr>
        <w:tc>
          <w:tcPr>
            <w:tcW w:type="dxa" w:w="1215"/>
          </w:tcPr>
          <w:p>
            <w:pPr>
              <w:jc w:val="left"/>
            </w:pPr>
            <w:r>
              <w:rPr>
                <w:sz w:val="18"/>
              </w:rPr>
              <w:t>Tennessee</w:t>
            </w:r>
          </w:p>
        </w:tc>
        <w:tc>
          <w:tcPr>
            <w:tcW w:type="dxa" w:w="1215"/>
          </w:tcPr>
          <w:p>
            <w:pPr>
              <w:jc w:val="left"/>
            </w:pPr>
            <w:r>
              <w:rPr>
                <w:sz w:val="18"/>
              </w:rPr>
              <w:t>Tables</w:t>
            </w:r>
          </w:p>
        </w:tc>
        <w:tc>
          <w:tcPr>
            <w:tcW w:type="dxa" w:w="1215"/>
          </w:tcPr>
          <w:p>
            <w:pPr>
              <w:jc w:val="right"/>
            </w:pPr>
            <w:r>
              <w:rPr>
                <w:sz w:val="18"/>
              </w:rPr>
              <w:t>$6.214,36</w:t>
            </w:r>
          </w:p>
        </w:tc>
        <w:tc>
          <w:tcPr>
            <w:tcW w:type="dxa" w:w="1215"/>
          </w:tcPr>
          <w:p>
            <w:pPr>
              <w:jc w:val="right"/>
            </w:pPr>
            <w:r>
              <w:rPr>
                <w:sz w:val="18"/>
              </w:rPr>
              <w:t>$-2.663,41</w:t>
            </w:r>
          </w:p>
        </w:tc>
        <w:tc>
          <w:tcPr>
            <w:tcW w:type="dxa" w:w="1215"/>
          </w:tcPr>
          <w:p>
            <w:pPr>
              <w:jc w:val="right"/>
            </w:pPr>
            <w:r>
              <w:rPr>
                <w:sz w:val="18"/>
              </w:rPr>
              <w:t>-42,86%</w:t>
            </w:r>
          </w:p>
        </w:tc>
        <w:tc>
          <w:tcPr>
            <w:tcW w:type="dxa" w:w="1215"/>
          </w:tcPr>
          <w:p>
            <w:pPr>
              <w:jc w:val="right"/>
            </w:pPr>
            <w:r>
              <w:rPr>
                <w:sz w:val="18"/>
              </w:rPr>
              <w:t>40%</w:t>
            </w:r>
          </w:p>
        </w:tc>
        <w:tc>
          <w:tcPr>
            <w:tcW w:type="dxa" w:w="1215"/>
          </w:tcPr>
          <w:p>
            <w:pPr>
              <w:jc w:val="right"/>
            </w:pPr>
            <w:r>
              <w:rPr>
                <w:sz w:val="18"/>
              </w:rPr>
              <w:t>100%</w:t>
            </w:r>
          </w:p>
        </w:tc>
      </w:tr>
      <w:tr>
        <w:tc>
          <w:tcPr>
            <w:tcW w:type="dxa" w:w="1215"/>
          </w:tcPr>
          <w:p>
            <w:pPr>
              <w:jc w:val="left"/>
            </w:pPr>
            <w:r>
              <w:rPr>
                <w:sz w:val="18"/>
              </w:rPr>
              <w:t>Illinois</w:t>
            </w:r>
          </w:p>
        </w:tc>
        <w:tc>
          <w:tcPr>
            <w:tcW w:type="dxa" w:w="1215"/>
          </w:tcPr>
          <w:p>
            <w:pPr>
              <w:jc w:val="left"/>
            </w:pPr>
            <w:r>
              <w:rPr>
                <w:sz w:val="18"/>
              </w:rPr>
              <w:t>Furnishings</w:t>
            </w:r>
          </w:p>
        </w:tc>
        <w:tc>
          <w:tcPr>
            <w:tcW w:type="dxa" w:w="1215"/>
          </w:tcPr>
          <w:p>
            <w:pPr>
              <w:jc w:val="right"/>
            </w:pPr>
            <w:r>
              <w:rPr>
                <w:sz w:val="18"/>
              </w:rPr>
              <w:t>$2.877,98</w:t>
            </w:r>
          </w:p>
        </w:tc>
        <w:tc>
          <w:tcPr>
            <w:tcW w:type="dxa" w:w="1215"/>
          </w:tcPr>
          <w:p>
            <w:pPr>
              <w:jc w:val="right"/>
            </w:pPr>
            <w:r>
              <w:rPr>
                <w:sz w:val="18"/>
              </w:rPr>
              <w:t>$-2.631,98</w:t>
            </w:r>
          </w:p>
        </w:tc>
        <w:tc>
          <w:tcPr>
            <w:tcW w:type="dxa" w:w="1215"/>
          </w:tcPr>
          <w:p>
            <w:pPr>
              <w:jc w:val="right"/>
            </w:pPr>
            <w:r>
              <w:rPr>
                <w:sz w:val="18"/>
              </w:rPr>
              <w:t>-91,45%</w:t>
            </w:r>
          </w:p>
        </w:tc>
        <w:tc>
          <w:tcPr>
            <w:tcW w:type="dxa" w:w="1215"/>
          </w:tcPr>
          <w:p>
            <w:pPr>
              <w:jc w:val="right"/>
            </w:pPr>
            <w:r>
              <w:rPr>
                <w:sz w:val="18"/>
              </w:rPr>
              <w:t>60%</w:t>
            </w:r>
          </w:p>
        </w:tc>
        <w:tc>
          <w:tcPr>
            <w:tcW w:type="dxa" w:w="1215"/>
          </w:tcPr>
          <w:p>
            <w:pPr>
              <w:jc w:val="right"/>
            </w:pPr>
            <w:r>
              <w:rPr>
                <w:sz w:val="18"/>
              </w:rPr>
              <w:t>100%</w:t>
            </w:r>
          </w:p>
        </w:tc>
      </w:tr>
      <w:tr>
        <w:tc>
          <w:tcPr>
            <w:tcW w:type="dxa" w:w="1215"/>
          </w:tcPr>
          <w:p>
            <w:pPr>
              <w:jc w:val="left"/>
            </w:pPr>
            <w:r>
              <w:rPr>
                <w:sz w:val="18"/>
              </w:rPr>
              <w:t>Pennsylvania</w:t>
            </w:r>
          </w:p>
        </w:tc>
        <w:tc>
          <w:tcPr>
            <w:tcW w:type="dxa" w:w="1215"/>
          </w:tcPr>
          <w:p>
            <w:pPr>
              <w:jc w:val="left"/>
            </w:pPr>
            <w:r>
              <w:rPr>
                <w:sz w:val="18"/>
              </w:rPr>
              <w:t>Tables</w:t>
            </w:r>
          </w:p>
        </w:tc>
        <w:tc>
          <w:tcPr>
            <w:tcW w:type="dxa" w:w="1215"/>
          </w:tcPr>
          <w:p>
            <w:pPr>
              <w:jc w:val="right"/>
            </w:pPr>
            <w:r>
              <w:rPr>
                <w:sz w:val="18"/>
              </w:rPr>
              <w:t>$8.052,19</w:t>
            </w:r>
          </w:p>
        </w:tc>
        <w:tc>
          <w:tcPr>
            <w:tcW w:type="dxa" w:w="1215"/>
          </w:tcPr>
          <w:p>
            <w:pPr>
              <w:jc w:val="right"/>
            </w:pPr>
            <w:r>
              <w:rPr>
                <w:sz w:val="18"/>
              </w:rPr>
              <w:t>$-2.588,75</w:t>
            </w:r>
          </w:p>
        </w:tc>
        <w:tc>
          <w:tcPr>
            <w:tcW w:type="dxa" w:w="1215"/>
          </w:tcPr>
          <w:p>
            <w:pPr>
              <w:jc w:val="right"/>
            </w:pPr>
            <w:r>
              <w:rPr>
                <w:sz w:val="18"/>
              </w:rPr>
              <w:t>-32,15%</w:t>
            </w:r>
          </w:p>
        </w:tc>
        <w:tc>
          <w:tcPr>
            <w:tcW w:type="dxa" w:w="1215"/>
          </w:tcPr>
          <w:p>
            <w:pPr>
              <w:jc w:val="right"/>
            </w:pPr>
            <w:r>
              <w:rPr>
                <w:sz w:val="18"/>
              </w:rPr>
              <w:t>40%</w:t>
            </w:r>
          </w:p>
        </w:tc>
        <w:tc>
          <w:tcPr>
            <w:tcW w:type="dxa" w:w="1215"/>
          </w:tcPr>
          <w:p>
            <w:pPr>
              <w:jc w:val="right"/>
            </w:pPr>
            <w:r>
              <w:rPr>
                <w:sz w:val="18"/>
              </w:rPr>
              <w:t>100%</w:t>
            </w:r>
          </w:p>
        </w:tc>
      </w:tr>
      <w:tr>
        <w:tc>
          <w:tcPr>
            <w:tcW w:type="dxa" w:w="1215"/>
          </w:tcPr>
          <w:p>
            <w:pPr>
              <w:jc w:val="left"/>
            </w:pPr>
            <w:r>
              <w:rPr>
                <w:sz w:val="18"/>
              </w:rPr>
              <w:t>Texas</w:t>
            </w:r>
          </w:p>
        </w:tc>
        <w:tc>
          <w:tcPr>
            <w:tcW w:type="dxa" w:w="1215"/>
          </w:tcPr>
          <w:p>
            <w:pPr>
              <w:jc w:val="left"/>
            </w:pPr>
            <w:r>
              <w:rPr>
                <w:sz w:val="18"/>
              </w:rPr>
              <w:t>Chairs</w:t>
            </w:r>
          </w:p>
        </w:tc>
        <w:tc>
          <w:tcPr>
            <w:tcW w:type="dxa" w:w="1215"/>
          </w:tcPr>
          <w:p>
            <w:pPr>
              <w:jc w:val="right"/>
            </w:pPr>
            <w:r>
              <w:rPr>
                <w:sz w:val="18"/>
              </w:rPr>
              <w:t>$26.572,45</w:t>
            </w:r>
          </w:p>
        </w:tc>
        <w:tc>
          <w:tcPr>
            <w:tcW w:type="dxa" w:w="1215"/>
          </w:tcPr>
          <w:p>
            <w:pPr>
              <w:jc w:val="right"/>
            </w:pPr>
            <w:r>
              <w:rPr>
                <w:sz w:val="18"/>
              </w:rPr>
              <w:t>$-2.515,65</w:t>
            </w:r>
          </w:p>
        </w:tc>
        <w:tc>
          <w:tcPr>
            <w:tcW w:type="dxa" w:w="1215"/>
          </w:tcPr>
          <w:p>
            <w:pPr>
              <w:jc w:val="right"/>
            </w:pPr>
            <w:r>
              <w:rPr>
                <w:sz w:val="18"/>
              </w:rPr>
              <w:t>-9,47%</w:t>
            </w:r>
          </w:p>
        </w:tc>
        <w:tc>
          <w:tcPr>
            <w:tcW w:type="dxa" w:w="1215"/>
          </w:tcPr>
          <w:p>
            <w:pPr>
              <w:jc w:val="right"/>
            </w:pPr>
            <w:r>
              <w:rPr>
                <w:sz w:val="18"/>
              </w:rPr>
              <w:t>30%</w:t>
            </w:r>
          </w:p>
        </w:tc>
        <w:tc>
          <w:tcPr>
            <w:tcW w:type="dxa" w:w="1215"/>
          </w:tcPr>
          <w:p>
            <w:pPr>
              <w:jc w:val="right"/>
            </w:pPr>
            <w:r>
              <w:rPr>
                <w:sz w:val="18"/>
              </w:rPr>
              <w:t>93,44%</w:t>
            </w:r>
          </w:p>
        </w:tc>
      </w:tr>
    </w:tbl>
    <w:p/>
    <w:p>
      <w:r>
        <w:rPr>
          <w:b/>
          <w:color w:val="0B6E0B"/>
          <w:sz w:val="22"/>
        </w:rPr>
        <w:t xml:space="preserve">Hàm ý kinh doanh: </w:t>
      </w:r>
      <w:r>
        <w:rPr>
          <w:sz w:val="22"/>
        </w:rPr>
        <w:t>Dùng heatmap region × sub-category và state × sub-category để phân nhóm hành động: mở rộng ô xanh (lợi nhuận), bảo vệ ô profit cao, review/giảm ô âm sâu. Tất cả các ô lỗ nặng đều có discount ≥30%, xác nhận discount là yếu tố rủi ro chính.</w:t>
      </w:r>
    </w:p>
    <w:p>
      <w:r>
        <w:br w:type="page"/>
      </w:r>
    </w:p>
    <w:p>
      <w:pPr>
        <w:pStyle w:val="Heading2"/>
      </w:pPr>
      <w:r>
        <w:t>4.6. Khách hàng và segment (Nhóm E)</w:t>
      </w:r>
    </w:p>
    <w:p>
      <w:r>
        <w:rPr>
          <w:b/>
        </w:rPr>
        <w:t>E1. So sánh hiệu quả giữa Consumer, Corporate, Home Office:</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Segment</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c>
          <w:tcPr>
            <w:tcW w:type="dxa" w:w="1417"/>
          </w:tcPr>
          <w:p>
            <w:pPr>
              <w:jc w:val="center"/>
            </w:pPr>
            <w:r>
              <w:rPr>
                <w:b/>
                <w:sz w:val="20"/>
              </w:rPr>
              <w:t>Disc %</w:t>
            </w:r>
          </w:p>
        </w:tc>
        <w:tc>
          <w:tcPr>
            <w:tcW w:type="dxa" w:w="1417"/>
          </w:tcPr>
          <w:p>
            <w:pPr>
              <w:jc w:val="center"/>
            </w:pPr>
            <w:r>
              <w:rPr>
                <w:b/>
                <w:sz w:val="20"/>
              </w:rPr>
              <w:t>Loss %</w:t>
            </w:r>
          </w:p>
        </w:tc>
      </w:tr>
      <w:tr>
        <w:tc>
          <w:tcPr>
            <w:tcW w:type="dxa" w:w="1417"/>
          </w:tcPr>
          <w:p>
            <w:pPr>
              <w:jc w:val="left"/>
            </w:pPr>
            <w:r>
              <w:rPr>
                <w:sz w:val="18"/>
              </w:rPr>
              <w:t>Consumer</w:t>
            </w:r>
          </w:p>
        </w:tc>
        <w:tc>
          <w:tcPr>
            <w:tcW w:type="dxa" w:w="1417"/>
          </w:tcPr>
          <w:p>
            <w:pPr>
              <w:jc w:val="right"/>
            </w:pPr>
            <w:r>
              <w:rPr>
                <w:sz w:val="18"/>
              </w:rPr>
              <w:t>$391.049,31</w:t>
            </w:r>
          </w:p>
        </w:tc>
        <w:tc>
          <w:tcPr>
            <w:tcW w:type="dxa" w:w="1417"/>
          </w:tcPr>
          <w:p>
            <w:pPr>
              <w:jc w:val="right"/>
            </w:pPr>
            <w:r>
              <w:rPr>
                <w:sz w:val="18"/>
              </w:rPr>
              <w:t>$6.991,08</w:t>
            </w:r>
          </w:p>
        </w:tc>
        <w:tc>
          <w:tcPr>
            <w:tcW w:type="dxa" w:w="1417"/>
          </w:tcPr>
          <w:p>
            <w:pPr>
              <w:jc w:val="right"/>
            </w:pPr>
            <w:r>
              <w:rPr>
                <w:sz w:val="18"/>
              </w:rPr>
              <w:t>1,79%</w:t>
            </w:r>
          </w:p>
        </w:tc>
        <w:tc>
          <w:tcPr>
            <w:tcW w:type="dxa" w:w="1417"/>
          </w:tcPr>
          <w:p>
            <w:pPr>
              <w:jc w:val="right"/>
            </w:pPr>
            <w:r>
              <w:rPr>
                <w:sz w:val="18"/>
              </w:rPr>
              <w:t>17,67%</w:t>
            </w:r>
          </w:p>
        </w:tc>
        <w:tc>
          <w:tcPr>
            <w:tcW w:type="dxa" w:w="1417"/>
          </w:tcPr>
          <w:p>
            <w:pPr>
              <w:jc w:val="right"/>
            </w:pPr>
            <w:r>
              <w:rPr>
                <w:sz w:val="18"/>
              </w:rPr>
              <w:t>34,77%</w:t>
            </w:r>
          </w:p>
        </w:tc>
      </w:tr>
      <w:tr>
        <w:tc>
          <w:tcPr>
            <w:tcW w:type="dxa" w:w="1417"/>
          </w:tcPr>
          <w:p>
            <w:pPr>
              <w:jc w:val="left"/>
            </w:pPr>
            <w:r>
              <w:rPr>
                <w:sz w:val="18"/>
              </w:rPr>
              <w:t>Corporate</w:t>
            </w:r>
          </w:p>
        </w:tc>
        <w:tc>
          <w:tcPr>
            <w:tcW w:type="dxa" w:w="1417"/>
          </w:tcPr>
          <w:p>
            <w:pPr>
              <w:jc w:val="right"/>
            </w:pPr>
            <w:r>
              <w:rPr>
                <w:sz w:val="18"/>
              </w:rPr>
              <w:t>$229.019,79</w:t>
            </w:r>
          </w:p>
        </w:tc>
        <w:tc>
          <w:tcPr>
            <w:tcW w:type="dxa" w:w="1417"/>
          </w:tcPr>
          <w:p>
            <w:pPr>
              <w:jc w:val="right"/>
            </w:pPr>
            <w:r>
              <w:rPr>
                <w:sz w:val="18"/>
              </w:rPr>
              <w:t>$7.584,82</w:t>
            </w:r>
          </w:p>
        </w:tc>
        <w:tc>
          <w:tcPr>
            <w:tcW w:type="dxa" w:w="1417"/>
          </w:tcPr>
          <w:p>
            <w:pPr>
              <w:jc w:val="right"/>
            </w:pPr>
            <w:r>
              <w:rPr>
                <w:sz w:val="18"/>
              </w:rPr>
              <w:t>3,31%</w:t>
            </w:r>
          </w:p>
        </w:tc>
        <w:tc>
          <w:tcPr>
            <w:tcW w:type="dxa" w:w="1417"/>
          </w:tcPr>
          <w:p>
            <w:pPr>
              <w:jc w:val="right"/>
            </w:pPr>
            <w:r>
              <w:rPr>
                <w:sz w:val="18"/>
              </w:rPr>
              <w:t>17,41%</w:t>
            </w:r>
          </w:p>
        </w:tc>
        <w:tc>
          <w:tcPr>
            <w:tcW w:type="dxa" w:w="1417"/>
          </w:tcPr>
          <w:p>
            <w:pPr>
              <w:jc w:val="right"/>
            </w:pPr>
            <w:r>
              <w:rPr>
                <w:sz w:val="18"/>
              </w:rPr>
              <w:t>32,66%</w:t>
            </w:r>
          </w:p>
        </w:tc>
      </w:tr>
      <w:tr>
        <w:tc>
          <w:tcPr>
            <w:tcW w:type="dxa" w:w="1417"/>
          </w:tcPr>
          <w:p>
            <w:pPr>
              <w:jc w:val="left"/>
            </w:pPr>
            <w:r>
              <w:rPr>
                <w:sz w:val="18"/>
              </w:rPr>
              <w:t>Home Office</w:t>
            </w:r>
          </w:p>
        </w:tc>
        <w:tc>
          <w:tcPr>
            <w:tcW w:type="dxa" w:w="1417"/>
          </w:tcPr>
          <w:p>
            <w:pPr>
              <w:jc w:val="right"/>
            </w:pPr>
            <w:r>
              <w:rPr>
                <w:sz w:val="18"/>
              </w:rPr>
              <w:t>$121.930,70</w:t>
            </w:r>
          </w:p>
        </w:tc>
        <w:tc>
          <w:tcPr>
            <w:tcW w:type="dxa" w:w="1417"/>
          </w:tcPr>
          <w:p>
            <w:pPr>
              <w:jc w:val="right"/>
            </w:pPr>
            <w:r>
              <w:rPr>
                <w:sz w:val="18"/>
              </w:rPr>
              <w:t>$3.875,38</w:t>
            </w:r>
          </w:p>
        </w:tc>
        <w:tc>
          <w:tcPr>
            <w:tcW w:type="dxa" w:w="1417"/>
          </w:tcPr>
          <w:p>
            <w:pPr>
              <w:jc w:val="right"/>
            </w:pPr>
            <w:r>
              <w:rPr>
                <w:sz w:val="18"/>
              </w:rPr>
              <w:t>3,18%</w:t>
            </w:r>
          </w:p>
        </w:tc>
        <w:tc>
          <w:tcPr>
            <w:tcW w:type="dxa" w:w="1417"/>
          </w:tcPr>
          <w:p>
            <w:pPr>
              <w:jc w:val="right"/>
            </w:pPr>
            <w:r>
              <w:rPr>
                <w:sz w:val="18"/>
              </w:rPr>
              <w:t>16,50%</w:t>
            </w:r>
          </w:p>
        </w:tc>
        <w:tc>
          <w:tcPr>
            <w:tcW w:type="dxa" w:w="1417"/>
          </w:tcPr>
          <w:p>
            <w:pPr>
              <w:jc w:val="right"/>
            </w:pPr>
            <w:r>
              <w:rPr>
                <w:sz w:val="18"/>
              </w:rPr>
              <w:t>32,04%</w:t>
            </w:r>
          </w:p>
        </w:tc>
      </w:tr>
    </w:tbl>
    <w:p/>
    <w:p>
      <w:pPr>
        <w:jc w:val="center"/>
      </w:pPr>
      <w:r>
        <w:drawing>
          <wp:inline xmlns:a="http://schemas.openxmlformats.org/drawingml/2006/main" xmlns:pic="http://schemas.openxmlformats.org/drawingml/2006/picture">
            <wp:extent cx="5029200" cy="3118033"/>
            <wp:docPr id="10" name="Picture 10"/>
            <wp:cNvGraphicFramePr>
              <a:graphicFrameLocks noChangeAspect="1"/>
            </wp:cNvGraphicFramePr>
            <a:graphic>
              <a:graphicData uri="http://schemas.openxmlformats.org/drawingml/2006/picture">
                <pic:pic>
                  <pic:nvPicPr>
                    <pic:cNvPr id="0" name="segment_performance.png"/>
                    <pic:cNvPicPr/>
                  </pic:nvPicPr>
                  <pic:blipFill>
                    <a:blip r:embed="rId18"/>
                    <a:stretch>
                      <a:fillRect/>
                    </a:stretch>
                  </pic:blipFill>
                  <pic:spPr>
                    <a:xfrm>
                      <a:off x="0" y="0"/>
                      <a:ext cx="5029200" cy="3118033"/>
                    </a:xfrm>
                    <a:prstGeom prst="rect"/>
                  </pic:spPr>
                </pic:pic>
              </a:graphicData>
            </a:graphic>
          </wp:inline>
        </w:drawing>
      </w:r>
    </w:p>
    <w:p>
      <w:pPr>
        <w:jc w:val="center"/>
      </w:pPr>
      <w:r>
        <w:rPr>
          <w:i/>
          <w:sz w:val="18"/>
        </w:rPr>
        <w:t>Hình 10: So sánh hiệu quả theo segment</w:t>
      </w:r>
    </w:p>
    <w:p/>
    <w:p>
      <w:r>
        <w:rPr>
          <w:b/>
          <w:color w:val="1F497D"/>
          <w:sz w:val="22"/>
        </w:rPr>
        <w:t xml:space="preserve">Sự thật quan sát: </w:t>
      </w:r>
      <w:r>
        <w:rPr>
          <w:sz w:val="22"/>
        </w:rPr>
        <w:t>Consumer chiếm doanh thu lớn nhất ($391.049) nhưng biên thấp nhất (1,79%) và tỷ lệ dòng lỗ cao nhất (34,77%). Corporate và Home Office có biên tốt hơn (3,18-3,31%). Segment có margin/loss-rate tốt hơn nên là nền cho cross-sell có mục tiêu.</w:t>
      </w:r>
    </w:p>
    <w:p/>
    <w:p>
      <w:r>
        <w:rPr>
          <w:b/>
        </w:rPr>
        <w:t>E2. Repeat customers đóng góp bao nhiêu hoạt động?</w:t>
      </w:r>
    </w:p>
    <w:tbl>
      <w:tblPr>
        <w:tblStyle w:val="LightGrid-Accent1"/>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jc w:val="center"/>
            </w:pPr>
            <w:r>
              <w:rPr>
                <w:b/>
                <w:sz w:val="20"/>
              </w:rPr>
              <w:t>Nhóm</w:t>
            </w:r>
          </w:p>
        </w:tc>
        <w:tc>
          <w:tcPr>
            <w:tcW w:type="dxa" w:w="1215"/>
          </w:tcPr>
          <w:p>
            <w:pPr>
              <w:jc w:val="center"/>
            </w:pPr>
            <w:r>
              <w:rPr>
                <w:b/>
                <w:sz w:val="20"/>
              </w:rPr>
              <w:t>Khách hàng</w:t>
            </w:r>
          </w:p>
        </w:tc>
        <w:tc>
          <w:tcPr>
            <w:tcW w:type="dxa" w:w="1215"/>
          </w:tcPr>
          <w:p>
            <w:pPr>
              <w:jc w:val="center"/>
            </w:pPr>
            <w:r>
              <w:rPr>
                <w:b/>
                <w:sz w:val="20"/>
              </w:rPr>
              <w:t>Đơn hàng</w:t>
            </w:r>
          </w:p>
        </w:tc>
        <w:tc>
          <w:tcPr>
            <w:tcW w:type="dxa" w:w="1215"/>
          </w:tcPr>
          <w:p>
            <w:pPr>
              <w:jc w:val="center"/>
            </w:pPr>
            <w:r>
              <w:rPr>
                <w:b/>
                <w:sz w:val="20"/>
              </w:rPr>
              <w:t>Doanh thu</w:t>
            </w:r>
          </w:p>
        </w:tc>
        <w:tc>
          <w:tcPr>
            <w:tcW w:type="dxa" w:w="1215"/>
          </w:tcPr>
          <w:p>
            <w:pPr>
              <w:jc w:val="center"/>
            </w:pPr>
            <w:r>
              <w:rPr>
                <w:b/>
                <w:sz w:val="20"/>
              </w:rPr>
              <w:t>Lợi nhuận</w:t>
            </w:r>
          </w:p>
        </w:tc>
        <w:tc>
          <w:tcPr>
            <w:tcW w:type="dxa" w:w="1215"/>
          </w:tcPr>
          <w:p>
            <w:pPr>
              <w:jc w:val="center"/>
            </w:pPr>
            <w:r>
              <w:rPr>
                <w:b/>
                <w:sz w:val="20"/>
              </w:rPr>
              <w:t>Biên %</w:t>
            </w:r>
          </w:p>
        </w:tc>
        <w:tc>
          <w:tcPr>
            <w:tcW w:type="dxa" w:w="1215"/>
          </w:tcPr>
          <w:p>
            <w:pPr>
              <w:jc w:val="center"/>
            </w:pPr>
            <w:r>
              <w:rPr>
                <w:b/>
                <w:sz w:val="20"/>
              </w:rPr>
              <w:t>% đơn hàng</w:t>
            </w:r>
          </w:p>
        </w:tc>
      </w:tr>
      <w:tr>
        <w:tc>
          <w:tcPr>
            <w:tcW w:type="dxa" w:w="1215"/>
          </w:tcPr>
          <w:p>
            <w:pPr>
              <w:jc w:val="left"/>
            </w:pPr>
            <w:r>
              <w:rPr>
                <w:sz w:val="18"/>
              </w:rPr>
              <w:t>Mua 1 lần</w:t>
            </w:r>
          </w:p>
        </w:tc>
        <w:tc>
          <w:tcPr>
            <w:tcW w:type="dxa" w:w="1215"/>
          </w:tcPr>
          <w:p>
            <w:pPr>
              <w:jc w:val="right"/>
            </w:pPr>
            <w:r>
              <w:rPr>
                <w:sz w:val="18"/>
              </w:rPr>
              <w:t>191</w:t>
            </w:r>
          </w:p>
        </w:tc>
        <w:tc>
          <w:tcPr>
            <w:tcW w:type="dxa" w:w="1215"/>
          </w:tcPr>
          <w:p>
            <w:pPr>
              <w:jc w:val="right"/>
            </w:pPr>
            <w:r>
              <w:rPr>
                <w:sz w:val="18"/>
              </w:rPr>
              <w:t>191</w:t>
            </w:r>
          </w:p>
        </w:tc>
        <w:tc>
          <w:tcPr>
            <w:tcW w:type="dxa" w:w="1215"/>
          </w:tcPr>
          <w:p>
            <w:pPr>
              <w:jc w:val="right"/>
            </w:pPr>
            <w:r>
              <w:rPr>
                <w:sz w:val="18"/>
              </w:rPr>
              <w:t>$90.892,27</w:t>
            </w:r>
          </w:p>
        </w:tc>
        <w:tc>
          <w:tcPr>
            <w:tcW w:type="dxa" w:w="1215"/>
          </w:tcPr>
          <w:p>
            <w:pPr>
              <w:jc w:val="right"/>
            </w:pPr>
            <w:r>
              <w:rPr>
                <w:sz w:val="18"/>
              </w:rPr>
              <w:t>$-2.108,04</w:t>
            </w:r>
          </w:p>
        </w:tc>
        <w:tc>
          <w:tcPr>
            <w:tcW w:type="dxa" w:w="1215"/>
          </w:tcPr>
          <w:p>
            <w:pPr>
              <w:jc w:val="right"/>
            </w:pPr>
            <w:r>
              <w:rPr>
                <w:sz w:val="18"/>
              </w:rPr>
              <w:t>-2,32%</w:t>
            </w:r>
          </w:p>
        </w:tc>
        <w:tc>
          <w:tcPr>
            <w:tcW w:type="dxa" w:w="1215"/>
          </w:tcPr>
          <w:p>
            <w:pPr>
              <w:jc w:val="right"/>
            </w:pPr>
            <w:r>
              <w:rPr>
                <w:sz w:val="18"/>
              </w:rPr>
              <w:t>10,83%</w:t>
            </w:r>
          </w:p>
        </w:tc>
      </w:tr>
      <w:tr>
        <w:tc>
          <w:tcPr>
            <w:tcW w:type="dxa" w:w="1215"/>
          </w:tcPr>
          <w:p>
            <w:pPr>
              <w:jc w:val="left"/>
            </w:pPr>
            <w:r>
              <w:rPr>
                <w:sz w:val="18"/>
              </w:rPr>
              <w:t>Repeat (≥2 đơn)</w:t>
            </w:r>
          </w:p>
        </w:tc>
        <w:tc>
          <w:tcPr>
            <w:tcW w:type="dxa" w:w="1215"/>
          </w:tcPr>
          <w:p>
            <w:pPr>
              <w:jc w:val="right"/>
            </w:pPr>
            <w:r>
              <w:rPr>
                <w:sz w:val="18"/>
              </w:rPr>
              <w:t>516</w:t>
            </w:r>
          </w:p>
        </w:tc>
        <w:tc>
          <w:tcPr>
            <w:tcW w:type="dxa" w:w="1215"/>
          </w:tcPr>
          <w:p>
            <w:pPr>
              <w:jc w:val="right"/>
            </w:pPr>
            <w:r>
              <w:rPr>
                <w:sz w:val="18"/>
              </w:rPr>
              <w:t>1.573</w:t>
            </w:r>
          </w:p>
        </w:tc>
        <w:tc>
          <w:tcPr>
            <w:tcW w:type="dxa" w:w="1215"/>
          </w:tcPr>
          <w:p>
            <w:pPr>
              <w:jc w:val="right"/>
            </w:pPr>
            <w:r>
              <w:rPr>
                <w:sz w:val="18"/>
              </w:rPr>
              <w:t>$651.107,53</w:t>
            </w:r>
          </w:p>
        </w:tc>
        <w:tc>
          <w:tcPr>
            <w:tcW w:type="dxa" w:w="1215"/>
          </w:tcPr>
          <w:p>
            <w:pPr>
              <w:jc w:val="right"/>
            </w:pPr>
            <w:r>
              <w:rPr>
                <w:sz w:val="18"/>
              </w:rPr>
              <w:t>$20.559,31</w:t>
            </w:r>
          </w:p>
        </w:tc>
        <w:tc>
          <w:tcPr>
            <w:tcW w:type="dxa" w:w="1215"/>
          </w:tcPr>
          <w:p>
            <w:pPr>
              <w:jc w:val="right"/>
            </w:pPr>
            <w:r>
              <w:rPr>
                <w:sz w:val="18"/>
              </w:rPr>
              <w:t>3,16%</w:t>
            </w:r>
          </w:p>
        </w:tc>
        <w:tc>
          <w:tcPr>
            <w:tcW w:type="dxa" w:w="1215"/>
          </w:tcPr>
          <w:p>
            <w:pPr>
              <w:jc w:val="right"/>
            </w:pPr>
            <w:r>
              <w:rPr>
                <w:sz w:val="18"/>
              </w:rPr>
              <w:t>89,17%</w:t>
            </w:r>
          </w:p>
        </w:tc>
      </w:tr>
    </w:tbl>
    <w:p/>
    <w:p>
      <w:r>
        <w:rPr>
          <w:b/>
          <w:color w:val="1F497D"/>
          <w:sz w:val="22"/>
        </w:rPr>
        <w:t xml:space="preserve">Sự thật quan sát: </w:t>
      </w:r>
      <w:r>
        <w:rPr>
          <w:sz w:val="22"/>
        </w:rPr>
        <w:t>Repeat customers chiếm 89,17% tổng số đơn trong cửa sổ dữ liệu và có biên dương (3,16%). Khách mua 1 lần có biên âm (-2,32%). Có cơ sở để ưu tiên retention/cross-sell thay vì blanket discount.</w:t>
      </w:r>
    </w:p>
    <w:p/>
    <w:p>
      <w:r>
        <w:rPr>
          <w:b/>
        </w:rPr>
        <w:t>E3. Top 10 khách hàng doanh thu cao nhưng lợi nhuận âm (nhãn ẩn danh):</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Nhãn KH</w:t>
            </w:r>
          </w:p>
        </w:tc>
        <w:tc>
          <w:tcPr>
            <w:tcW w:type="dxa" w:w="1417"/>
          </w:tcPr>
          <w:p>
            <w:pPr>
              <w:jc w:val="center"/>
            </w:pPr>
            <w:r>
              <w:rPr>
                <w:b/>
                <w:sz w:val="20"/>
              </w:rPr>
              <w:t>Segment</w:t>
            </w:r>
          </w:p>
        </w:tc>
        <w:tc>
          <w:tcPr>
            <w:tcW w:type="dxa" w:w="1417"/>
          </w:tcPr>
          <w:p>
            <w:pPr>
              <w:jc w:val="center"/>
            </w:pPr>
            <w:r>
              <w:rPr>
                <w:b/>
                <w:sz w:val="20"/>
              </w:rPr>
              <w:t>Đơn hàng</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r>
      <w:tr>
        <w:tc>
          <w:tcPr>
            <w:tcW w:type="dxa" w:w="1417"/>
          </w:tcPr>
          <w:p>
            <w:pPr>
              <w:jc w:val="left"/>
            </w:pPr>
            <w:r>
              <w:rPr>
                <w:sz w:val="18"/>
              </w:rPr>
              <w:t>KH-014</w:t>
            </w:r>
          </w:p>
        </w:tc>
        <w:tc>
          <w:tcPr>
            <w:tcW w:type="dxa" w:w="1417"/>
          </w:tcPr>
          <w:p>
            <w:pPr>
              <w:jc w:val="left"/>
            </w:pPr>
            <w:r>
              <w:rPr>
                <w:sz w:val="18"/>
              </w:rPr>
              <w:t>Consumer</w:t>
            </w:r>
          </w:p>
        </w:tc>
        <w:tc>
          <w:tcPr>
            <w:tcW w:type="dxa" w:w="1417"/>
          </w:tcPr>
          <w:p>
            <w:pPr>
              <w:jc w:val="right"/>
            </w:pPr>
            <w:r>
              <w:rPr>
                <w:sz w:val="18"/>
              </w:rPr>
              <w:t>1</w:t>
            </w:r>
          </w:p>
        </w:tc>
        <w:tc>
          <w:tcPr>
            <w:tcW w:type="dxa" w:w="1417"/>
          </w:tcPr>
          <w:p>
            <w:pPr>
              <w:jc w:val="right"/>
            </w:pPr>
            <w:r>
              <w:rPr>
                <w:sz w:val="18"/>
              </w:rPr>
              <w:t>$4.297,64</w:t>
            </w:r>
          </w:p>
        </w:tc>
        <w:tc>
          <w:tcPr>
            <w:tcW w:type="dxa" w:w="1417"/>
          </w:tcPr>
          <w:p>
            <w:pPr>
              <w:jc w:val="right"/>
            </w:pPr>
            <w:r>
              <w:rPr>
                <w:sz w:val="18"/>
              </w:rPr>
              <w:t>$-1.862,31</w:t>
            </w:r>
          </w:p>
        </w:tc>
        <w:tc>
          <w:tcPr>
            <w:tcW w:type="dxa" w:w="1417"/>
          </w:tcPr>
          <w:p>
            <w:pPr>
              <w:jc w:val="right"/>
            </w:pPr>
            <w:r>
              <w:rPr>
                <w:sz w:val="18"/>
              </w:rPr>
              <w:t>-43,33%</w:t>
            </w:r>
          </w:p>
        </w:tc>
      </w:tr>
      <w:tr>
        <w:tc>
          <w:tcPr>
            <w:tcW w:type="dxa" w:w="1417"/>
          </w:tcPr>
          <w:p>
            <w:pPr>
              <w:jc w:val="left"/>
            </w:pPr>
            <w:r>
              <w:rPr>
                <w:sz w:val="18"/>
              </w:rPr>
              <w:t>KH-026</w:t>
            </w:r>
          </w:p>
        </w:tc>
        <w:tc>
          <w:tcPr>
            <w:tcW w:type="dxa" w:w="1417"/>
          </w:tcPr>
          <w:p>
            <w:pPr>
              <w:jc w:val="left"/>
            </w:pPr>
            <w:r>
              <w:rPr>
                <w:sz w:val="18"/>
              </w:rPr>
              <w:t>Consumer</w:t>
            </w:r>
          </w:p>
        </w:tc>
        <w:tc>
          <w:tcPr>
            <w:tcW w:type="dxa" w:w="1417"/>
          </w:tcPr>
          <w:p>
            <w:pPr>
              <w:jc w:val="right"/>
            </w:pPr>
            <w:r>
              <w:rPr>
                <w:sz w:val="18"/>
              </w:rPr>
              <w:t>3</w:t>
            </w:r>
          </w:p>
        </w:tc>
        <w:tc>
          <w:tcPr>
            <w:tcW w:type="dxa" w:w="1417"/>
          </w:tcPr>
          <w:p>
            <w:pPr>
              <w:jc w:val="right"/>
            </w:pPr>
            <w:r>
              <w:rPr>
                <w:sz w:val="18"/>
              </w:rPr>
              <w:t>$3.631,59</w:t>
            </w:r>
          </w:p>
        </w:tc>
        <w:tc>
          <w:tcPr>
            <w:tcW w:type="dxa" w:w="1417"/>
          </w:tcPr>
          <w:p>
            <w:pPr>
              <w:jc w:val="right"/>
            </w:pPr>
            <w:r>
              <w:rPr>
                <w:sz w:val="18"/>
              </w:rPr>
              <w:t>$-1.768,45</w:t>
            </w:r>
          </w:p>
        </w:tc>
        <w:tc>
          <w:tcPr>
            <w:tcW w:type="dxa" w:w="1417"/>
          </w:tcPr>
          <w:p>
            <w:pPr>
              <w:jc w:val="right"/>
            </w:pPr>
            <w:r>
              <w:rPr>
                <w:sz w:val="18"/>
              </w:rPr>
              <w:t>-48,70%</w:t>
            </w:r>
          </w:p>
        </w:tc>
      </w:tr>
      <w:tr>
        <w:tc>
          <w:tcPr>
            <w:tcW w:type="dxa" w:w="1417"/>
          </w:tcPr>
          <w:p>
            <w:pPr>
              <w:jc w:val="left"/>
            </w:pPr>
            <w:r>
              <w:rPr>
                <w:sz w:val="18"/>
              </w:rPr>
              <w:t>KH-030</w:t>
            </w:r>
          </w:p>
        </w:tc>
        <w:tc>
          <w:tcPr>
            <w:tcW w:type="dxa" w:w="1417"/>
          </w:tcPr>
          <w:p>
            <w:pPr>
              <w:jc w:val="left"/>
            </w:pPr>
            <w:r>
              <w:rPr>
                <w:sz w:val="18"/>
              </w:rPr>
              <w:t>Corporate</w:t>
            </w:r>
          </w:p>
        </w:tc>
        <w:tc>
          <w:tcPr>
            <w:tcW w:type="dxa" w:w="1417"/>
          </w:tcPr>
          <w:p>
            <w:pPr>
              <w:jc w:val="right"/>
            </w:pPr>
            <w:r>
              <w:rPr>
                <w:sz w:val="18"/>
              </w:rPr>
              <w:t>2</w:t>
            </w:r>
          </w:p>
        </w:tc>
        <w:tc>
          <w:tcPr>
            <w:tcW w:type="dxa" w:w="1417"/>
          </w:tcPr>
          <w:p>
            <w:pPr>
              <w:jc w:val="right"/>
            </w:pPr>
            <w:r>
              <w:rPr>
                <w:sz w:val="18"/>
              </w:rPr>
              <w:t>$3.336,32</w:t>
            </w:r>
          </w:p>
        </w:tc>
        <w:tc>
          <w:tcPr>
            <w:tcW w:type="dxa" w:w="1417"/>
          </w:tcPr>
          <w:p>
            <w:pPr>
              <w:jc w:val="right"/>
            </w:pPr>
            <w:r>
              <w:rPr>
                <w:sz w:val="18"/>
              </w:rPr>
              <w:t>$-1.125,80</w:t>
            </w:r>
          </w:p>
        </w:tc>
        <w:tc>
          <w:tcPr>
            <w:tcW w:type="dxa" w:w="1417"/>
          </w:tcPr>
          <w:p>
            <w:pPr>
              <w:jc w:val="right"/>
            </w:pPr>
            <w:r>
              <w:rPr>
                <w:sz w:val="18"/>
              </w:rPr>
              <w:t>-33,74%</w:t>
            </w:r>
          </w:p>
        </w:tc>
      </w:tr>
      <w:tr>
        <w:tc>
          <w:tcPr>
            <w:tcW w:type="dxa" w:w="1417"/>
          </w:tcPr>
          <w:p>
            <w:pPr>
              <w:jc w:val="left"/>
            </w:pPr>
            <w:r>
              <w:rPr>
                <w:sz w:val="18"/>
              </w:rPr>
              <w:t>KH-043</w:t>
            </w:r>
          </w:p>
        </w:tc>
        <w:tc>
          <w:tcPr>
            <w:tcW w:type="dxa" w:w="1417"/>
          </w:tcPr>
          <w:p>
            <w:pPr>
              <w:jc w:val="left"/>
            </w:pPr>
            <w:r>
              <w:rPr>
                <w:sz w:val="18"/>
              </w:rPr>
              <w:t>Home Office</w:t>
            </w:r>
          </w:p>
        </w:tc>
        <w:tc>
          <w:tcPr>
            <w:tcW w:type="dxa" w:w="1417"/>
          </w:tcPr>
          <w:p>
            <w:pPr>
              <w:jc w:val="right"/>
            </w:pPr>
            <w:r>
              <w:rPr>
                <w:sz w:val="18"/>
              </w:rPr>
              <w:t>4</w:t>
            </w:r>
          </w:p>
        </w:tc>
        <w:tc>
          <w:tcPr>
            <w:tcW w:type="dxa" w:w="1417"/>
          </w:tcPr>
          <w:p>
            <w:pPr>
              <w:jc w:val="right"/>
            </w:pPr>
            <w:r>
              <w:rPr>
                <w:sz w:val="18"/>
              </w:rPr>
              <w:t>$2.888,11</w:t>
            </w:r>
          </w:p>
        </w:tc>
        <w:tc>
          <w:tcPr>
            <w:tcW w:type="dxa" w:w="1417"/>
          </w:tcPr>
          <w:p>
            <w:pPr>
              <w:jc w:val="right"/>
            </w:pPr>
            <w:r>
              <w:rPr>
                <w:sz w:val="18"/>
              </w:rPr>
              <w:t>$-1.094,90</w:t>
            </w:r>
          </w:p>
        </w:tc>
        <w:tc>
          <w:tcPr>
            <w:tcW w:type="dxa" w:w="1417"/>
          </w:tcPr>
          <w:p>
            <w:pPr>
              <w:jc w:val="right"/>
            </w:pPr>
            <w:r>
              <w:rPr>
                <w:sz w:val="18"/>
              </w:rPr>
              <w:t>-37,91%</w:t>
            </w:r>
          </w:p>
        </w:tc>
      </w:tr>
      <w:tr>
        <w:tc>
          <w:tcPr>
            <w:tcW w:type="dxa" w:w="1417"/>
          </w:tcPr>
          <w:p>
            <w:pPr>
              <w:jc w:val="left"/>
            </w:pPr>
            <w:r>
              <w:rPr>
                <w:sz w:val="18"/>
              </w:rPr>
              <w:t>KH-075</w:t>
            </w:r>
          </w:p>
        </w:tc>
        <w:tc>
          <w:tcPr>
            <w:tcW w:type="dxa" w:w="1417"/>
          </w:tcPr>
          <w:p>
            <w:pPr>
              <w:jc w:val="left"/>
            </w:pPr>
            <w:r>
              <w:rPr>
                <w:sz w:val="18"/>
              </w:rPr>
              <w:t>Corporate</w:t>
            </w:r>
          </w:p>
        </w:tc>
        <w:tc>
          <w:tcPr>
            <w:tcW w:type="dxa" w:w="1417"/>
          </w:tcPr>
          <w:p>
            <w:pPr>
              <w:jc w:val="right"/>
            </w:pPr>
            <w:r>
              <w:rPr>
                <w:sz w:val="18"/>
              </w:rPr>
              <w:t>4</w:t>
            </w:r>
          </w:p>
        </w:tc>
        <w:tc>
          <w:tcPr>
            <w:tcW w:type="dxa" w:w="1417"/>
          </w:tcPr>
          <w:p>
            <w:pPr>
              <w:jc w:val="right"/>
            </w:pPr>
            <w:r>
              <w:rPr>
                <w:sz w:val="18"/>
              </w:rPr>
              <w:t>$2.313,50</w:t>
            </w:r>
          </w:p>
        </w:tc>
        <w:tc>
          <w:tcPr>
            <w:tcW w:type="dxa" w:w="1417"/>
          </w:tcPr>
          <w:p>
            <w:pPr>
              <w:jc w:val="right"/>
            </w:pPr>
            <w:r>
              <w:rPr>
                <w:sz w:val="18"/>
              </w:rPr>
              <w:t>$-1.034,12</w:t>
            </w:r>
          </w:p>
        </w:tc>
        <w:tc>
          <w:tcPr>
            <w:tcW w:type="dxa" w:w="1417"/>
          </w:tcPr>
          <w:p>
            <w:pPr>
              <w:jc w:val="right"/>
            </w:pPr>
            <w:r>
              <w:rPr>
                <w:sz w:val="18"/>
              </w:rPr>
              <w:t>-44,70%</w:t>
            </w:r>
          </w:p>
        </w:tc>
      </w:tr>
      <w:tr>
        <w:tc>
          <w:tcPr>
            <w:tcW w:type="dxa" w:w="1417"/>
          </w:tcPr>
          <w:p>
            <w:pPr>
              <w:jc w:val="left"/>
            </w:pPr>
            <w:r>
              <w:rPr>
                <w:sz w:val="18"/>
              </w:rPr>
              <w:t>KH-180</w:t>
            </w:r>
          </w:p>
        </w:tc>
        <w:tc>
          <w:tcPr>
            <w:tcW w:type="dxa" w:w="1417"/>
          </w:tcPr>
          <w:p>
            <w:pPr>
              <w:jc w:val="left"/>
            </w:pPr>
            <w:r>
              <w:rPr>
                <w:sz w:val="18"/>
              </w:rPr>
              <w:t>Home Office</w:t>
            </w:r>
          </w:p>
        </w:tc>
        <w:tc>
          <w:tcPr>
            <w:tcW w:type="dxa" w:w="1417"/>
          </w:tcPr>
          <w:p>
            <w:pPr>
              <w:jc w:val="right"/>
            </w:pPr>
            <w:r>
              <w:rPr>
                <w:sz w:val="18"/>
              </w:rPr>
              <w:t>2</w:t>
            </w:r>
          </w:p>
        </w:tc>
        <w:tc>
          <w:tcPr>
            <w:tcW w:type="dxa" w:w="1417"/>
          </w:tcPr>
          <w:p>
            <w:pPr>
              <w:jc w:val="right"/>
            </w:pPr>
            <w:r>
              <w:rPr>
                <w:sz w:val="18"/>
              </w:rPr>
              <w:t>$1.418,54</w:t>
            </w:r>
          </w:p>
        </w:tc>
        <w:tc>
          <w:tcPr>
            <w:tcW w:type="dxa" w:w="1417"/>
          </w:tcPr>
          <w:p>
            <w:pPr>
              <w:jc w:val="right"/>
            </w:pPr>
            <w:r>
              <w:rPr>
                <w:sz w:val="18"/>
              </w:rPr>
              <w:t>$-793,65</w:t>
            </w:r>
          </w:p>
        </w:tc>
        <w:tc>
          <w:tcPr>
            <w:tcW w:type="dxa" w:w="1417"/>
          </w:tcPr>
          <w:p>
            <w:pPr>
              <w:jc w:val="right"/>
            </w:pPr>
            <w:r>
              <w:rPr>
                <w:sz w:val="18"/>
              </w:rPr>
              <w:t>-55,95%</w:t>
            </w:r>
          </w:p>
        </w:tc>
      </w:tr>
      <w:tr>
        <w:tc>
          <w:tcPr>
            <w:tcW w:type="dxa" w:w="1417"/>
          </w:tcPr>
          <w:p>
            <w:pPr>
              <w:jc w:val="left"/>
            </w:pPr>
            <w:r>
              <w:rPr>
                <w:sz w:val="18"/>
              </w:rPr>
              <w:t>KH-110</w:t>
            </w:r>
          </w:p>
        </w:tc>
        <w:tc>
          <w:tcPr>
            <w:tcW w:type="dxa" w:w="1417"/>
          </w:tcPr>
          <w:p>
            <w:pPr>
              <w:jc w:val="left"/>
            </w:pPr>
            <w:r>
              <w:rPr>
                <w:sz w:val="18"/>
              </w:rPr>
              <w:t>Consumer</w:t>
            </w:r>
          </w:p>
        </w:tc>
        <w:tc>
          <w:tcPr>
            <w:tcW w:type="dxa" w:w="1417"/>
          </w:tcPr>
          <w:p>
            <w:pPr>
              <w:jc w:val="right"/>
            </w:pPr>
            <w:r>
              <w:rPr>
                <w:sz w:val="18"/>
              </w:rPr>
              <w:t>4</w:t>
            </w:r>
          </w:p>
        </w:tc>
        <w:tc>
          <w:tcPr>
            <w:tcW w:type="dxa" w:w="1417"/>
          </w:tcPr>
          <w:p>
            <w:pPr>
              <w:jc w:val="right"/>
            </w:pPr>
            <w:r>
              <w:rPr>
                <w:sz w:val="18"/>
              </w:rPr>
              <w:t>$1.935,31</w:t>
            </w:r>
          </w:p>
        </w:tc>
        <w:tc>
          <w:tcPr>
            <w:tcW w:type="dxa" w:w="1417"/>
          </w:tcPr>
          <w:p>
            <w:pPr>
              <w:jc w:val="right"/>
            </w:pPr>
            <w:r>
              <w:rPr>
                <w:sz w:val="18"/>
              </w:rPr>
              <w:t>$-730,95</w:t>
            </w:r>
          </w:p>
        </w:tc>
        <w:tc>
          <w:tcPr>
            <w:tcW w:type="dxa" w:w="1417"/>
          </w:tcPr>
          <w:p>
            <w:pPr>
              <w:jc w:val="right"/>
            </w:pPr>
            <w:r>
              <w:rPr>
                <w:sz w:val="18"/>
              </w:rPr>
              <w:t>-37,77%</w:t>
            </w:r>
          </w:p>
        </w:tc>
      </w:tr>
      <w:tr>
        <w:tc>
          <w:tcPr>
            <w:tcW w:type="dxa" w:w="1417"/>
          </w:tcPr>
          <w:p>
            <w:pPr>
              <w:jc w:val="left"/>
            </w:pPr>
            <w:r>
              <w:rPr>
                <w:sz w:val="18"/>
              </w:rPr>
              <w:t>KH-141</w:t>
            </w:r>
          </w:p>
        </w:tc>
        <w:tc>
          <w:tcPr>
            <w:tcW w:type="dxa" w:w="1417"/>
          </w:tcPr>
          <w:p>
            <w:pPr>
              <w:jc w:val="left"/>
            </w:pPr>
            <w:r>
              <w:rPr>
                <w:sz w:val="18"/>
              </w:rPr>
              <w:t>Corporate</w:t>
            </w:r>
          </w:p>
        </w:tc>
        <w:tc>
          <w:tcPr>
            <w:tcW w:type="dxa" w:w="1417"/>
          </w:tcPr>
          <w:p>
            <w:pPr>
              <w:jc w:val="right"/>
            </w:pPr>
            <w:r>
              <w:rPr>
                <w:sz w:val="18"/>
              </w:rPr>
              <w:t>3</w:t>
            </w:r>
          </w:p>
        </w:tc>
        <w:tc>
          <w:tcPr>
            <w:tcW w:type="dxa" w:w="1417"/>
          </w:tcPr>
          <w:p>
            <w:pPr>
              <w:jc w:val="right"/>
            </w:pPr>
            <w:r>
              <w:rPr>
                <w:sz w:val="18"/>
              </w:rPr>
              <w:t>$1.735,56</w:t>
            </w:r>
          </w:p>
        </w:tc>
        <w:tc>
          <w:tcPr>
            <w:tcW w:type="dxa" w:w="1417"/>
          </w:tcPr>
          <w:p>
            <w:pPr>
              <w:jc w:val="right"/>
            </w:pPr>
            <w:r>
              <w:rPr>
                <w:sz w:val="18"/>
              </w:rPr>
              <w:t>$-689,65</w:t>
            </w:r>
          </w:p>
        </w:tc>
        <w:tc>
          <w:tcPr>
            <w:tcW w:type="dxa" w:w="1417"/>
          </w:tcPr>
          <w:p>
            <w:pPr>
              <w:jc w:val="right"/>
            </w:pPr>
            <w:r>
              <w:rPr>
                <w:sz w:val="18"/>
              </w:rPr>
              <w:t>-39,74%</w:t>
            </w:r>
          </w:p>
        </w:tc>
      </w:tr>
      <w:tr>
        <w:tc>
          <w:tcPr>
            <w:tcW w:type="dxa" w:w="1417"/>
          </w:tcPr>
          <w:p>
            <w:pPr>
              <w:jc w:val="left"/>
            </w:pPr>
            <w:r>
              <w:rPr>
                <w:sz w:val="18"/>
              </w:rPr>
              <w:t>KH-153</w:t>
            </w:r>
          </w:p>
        </w:tc>
        <w:tc>
          <w:tcPr>
            <w:tcW w:type="dxa" w:w="1417"/>
          </w:tcPr>
          <w:p>
            <w:pPr>
              <w:jc w:val="left"/>
            </w:pPr>
            <w:r>
              <w:rPr>
                <w:sz w:val="18"/>
              </w:rPr>
              <w:t>Consumer</w:t>
            </w:r>
          </w:p>
        </w:tc>
        <w:tc>
          <w:tcPr>
            <w:tcW w:type="dxa" w:w="1417"/>
          </w:tcPr>
          <w:p>
            <w:pPr>
              <w:jc w:val="right"/>
            </w:pPr>
            <w:r>
              <w:rPr>
                <w:sz w:val="18"/>
              </w:rPr>
              <w:t>3</w:t>
            </w:r>
          </w:p>
        </w:tc>
        <w:tc>
          <w:tcPr>
            <w:tcW w:type="dxa" w:w="1417"/>
          </w:tcPr>
          <w:p>
            <w:pPr>
              <w:jc w:val="right"/>
            </w:pPr>
            <w:r>
              <w:rPr>
                <w:sz w:val="18"/>
              </w:rPr>
              <w:t>$1.618,27</w:t>
            </w:r>
          </w:p>
        </w:tc>
        <w:tc>
          <w:tcPr>
            <w:tcW w:type="dxa" w:w="1417"/>
          </w:tcPr>
          <w:p>
            <w:pPr>
              <w:jc w:val="right"/>
            </w:pPr>
            <w:r>
              <w:rPr>
                <w:sz w:val="18"/>
              </w:rPr>
              <w:t>$-661,80</w:t>
            </w:r>
          </w:p>
        </w:tc>
        <w:tc>
          <w:tcPr>
            <w:tcW w:type="dxa" w:w="1417"/>
          </w:tcPr>
          <w:p>
            <w:pPr>
              <w:jc w:val="right"/>
            </w:pPr>
            <w:r>
              <w:rPr>
                <w:sz w:val="18"/>
              </w:rPr>
              <w:t>-40,90%</w:t>
            </w:r>
          </w:p>
        </w:tc>
      </w:tr>
      <w:tr>
        <w:tc>
          <w:tcPr>
            <w:tcW w:type="dxa" w:w="1417"/>
          </w:tcPr>
          <w:p>
            <w:pPr>
              <w:jc w:val="left"/>
            </w:pPr>
            <w:r>
              <w:rPr>
                <w:sz w:val="18"/>
              </w:rPr>
              <w:t>KH-007</w:t>
            </w:r>
          </w:p>
        </w:tc>
        <w:tc>
          <w:tcPr>
            <w:tcW w:type="dxa" w:w="1417"/>
          </w:tcPr>
          <w:p>
            <w:pPr>
              <w:jc w:val="left"/>
            </w:pPr>
            <w:r>
              <w:rPr>
                <w:sz w:val="18"/>
              </w:rPr>
              <w:t>Consumer</w:t>
            </w:r>
          </w:p>
        </w:tc>
        <w:tc>
          <w:tcPr>
            <w:tcW w:type="dxa" w:w="1417"/>
          </w:tcPr>
          <w:p>
            <w:pPr>
              <w:jc w:val="right"/>
            </w:pPr>
            <w:r>
              <w:rPr>
                <w:sz w:val="18"/>
              </w:rPr>
              <w:t>4</w:t>
            </w:r>
          </w:p>
        </w:tc>
        <w:tc>
          <w:tcPr>
            <w:tcW w:type="dxa" w:w="1417"/>
          </w:tcPr>
          <w:p>
            <w:pPr>
              <w:jc w:val="right"/>
            </w:pPr>
            <w:r>
              <w:rPr>
                <w:sz w:val="18"/>
              </w:rPr>
              <w:t>$4.899,12</w:t>
            </w:r>
          </w:p>
        </w:tc>
        <w:tc>
          <w:tcPr>
            <w:tcW w:type="dxa" w:w="1417"/>
          </w:tcPr>
          <w:p>
            <w:pPr>
              <w:jc w:val="right"/>
            </w:pPr>
            <w:r>
              <w:rPr>
                <w:sz w:val="18"/>
              </w:rPr>
              <w:t>$-621,94</w:t>
            </w:r>
          </w:p>
        </w:tc>
        <w:tc>
          <w:tcPr>
            <w:tcW w:type="dxa" w:w="1417"/>
          </w:tcPr>
          <w:p>
            <w:pPr>
              <w:jc w:val="right"/>
            </w:pPr>
            <w:r>
              <w:rPr>
                <w:sz w:val="18"/>
              </w:rPr>
              <w:t>-12,70%</w:t>
            </w:r>
          </w:p>
        </w:tc>
      </w:tr>
    </w:tbl>
    <w:p/>
    <w:p>
      <w:r>
        <w:rPr>
          <w:b/>
        </w:rPr>
        <w:t>E4. Top 10 khách hàng lợi nhuận cao — ứng viên cross-sell:</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Nhãn KH</w:t>
            </w:r>
          </w:p>
        </w:tc>
        <w:tc>
          <w:tcPr>
            <w:tcW w:type="dxa" w:w="1417"/>
          </w:tcPr>
          <w:p>
            <w:pPr>
              <w:jc w:val="center"/>
            </w:pPr>
            <w:r>
              <w:rPr>
                <w:b/>
                <w:sz w:val="20"/>
              </w:rPr>
              <w:t>Segment</w:t>
            </w:r>
          </w:p>
        </w:tc>
        <w:tc>
          <w:tcPr>
            <w:tcW w:type="dxa" w:w="1417"/>
          </w:tcPr>
          <w:p>
            <w:pPr>
              <w:jc w:val="center"/>
            </w:pPr>
            <w:r>
              <w:rPr>
                <w:b/>
                <w:sz w:val="20"/>
              </w:rPr>
              <w:t>Đơn hàng</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r>
      <w:tr>
        <w:tc>
          <w:tcPr>
            <w:tcW w:type="dxa" w:w="1417"/>
          </w:tcPr>
          <w:p>
            <w:pPr>
              <w:jc w:val="left"/>
            </w:pPr>
            <w:r>
              <w:rPr>
                <w:sz w:val="18"/>
              </w:rPr>
              <w:t>KH-006</w:t>
            </w:r>
          </w:p>
        </w:tc>
        <w:tc>
          <w:tcPr>
            <w:tcW w:type="dxa" w:w="1417"/>
          </w:tcPr>
          <w:p>
            <w:pPr>
              <w:jc w:val="left"/>
            </w:pPr>
            <w:r>
              <w:rPr>
                <w:sz w:val="18"/>
              </w:rPr>
              <w:t>Corporate</w:t>
            </w:r>
          </w:p>
        </w:tc>
        <w:tc>
          <w:tcPr>
            <w:tcW w:type="dxa" w:w="1417"/>
          </w:tcPr>
          <w:p>
            <w:pPr>
              <w:jc w:val="right"/>
            </w:pPr>
            <w:r>
              <w:rPr>
                <w:sz w:val="18"/>
              </w:rPr>
              <w:t>7</w:t>
            </w:r>
          </w:p>
        </w:tc>
        <w:tc>
          <w:tcPr>
            <w:tcW w:type="dxa" w:w="1417"/>
          </w:tcPr>
          <w:p>
            <w:pPr>
              <w:jc w:val="right"/>
            </w:pPr>
            <w:r>
              <w:rPr>
                <w:sz w:val="18"/>
              </w:rPr>
              <w:t>$5.387,39</w:t>
            </w:r>
          </w:p>
        </w:tc>
        <w:tc>
          <w:tcPr>
            <w:tcW w:type="dxa" w:w="1417"/>
          </w:tcPr>
          <w:p>
            <w:pPr>
              <w:jc w:val="right"/>
            </w:pPr>
            <w:r>
              <w:rPr>
                <w:sz w:val="18"/>
              </w:rPr>
              <w:t>$1.146,49</w:t>
            </w:r>
          </w:p>
        </w:tc>
        <w:tc>
          <w:tcPr>
            <w:tcW w:type="dxa" w:w="1417"/>
          </w:tcPr>
          <w:p>
            <w:pPr>
              <w:jc w:val="right"/>
            </w:pPr>
            <w:r>
              <w:rPr>
                <w:sz w:val="18"/>
              </w:rPr>
              <w:t>21,28%</w:t>
            </w:r>
          </w:p>
        </w:tc>
      </w:tr>
      <w:tr>
        <w:tc>
          <w:tcPr>
            <w:tcW w:type="dxa" w:w="1417"/>
          </w:tcPr>
          <w:p>
            <w:pPr>
              <w:jc w:val="left"/>
            </w:pPr>
            <w:r>
              <w:rPr>
                <w:sz w:val="18"/>
              </w:rPr>
              <w:t>KH-002</w:t>
            </w:r>
          </w:p>
        </w:tc>
        <w:tc>
          <w:tcPr>
            <w:tcW w:type="dxa" w:w="1417"/>
          </w:tcPr>
          <w:p>
            <w:pPr>
              <w:jc w:val="left"/>
            </w:pPr>
            <w:r>
              <w:rPr>
                <w:sz w:val="18"/>
              </w:rPr>
              <w:t>Consumer</w:t>
            </w:r>
          </w:p>
        </w:tc>
        <w:tc>
          <w:tcPr>
            <w:tcW w:type="dxa" w:w="1417"/>
          </w:tcPr>
          <w:p>
            <w:pPr>
              <w:jc w:val="right"/>
            </w:pPr>
            <w:r>
              <w:rPr>
                <w:sz w:val="18"/>
              </w:rPr>
              <w:t>5</w:t>
            </w:r>
          </w:p>
        </w:tc>
        <w:tc>
          <w:tcPr>
            <w:tcW w:type="dxa" w:w="1417"/>
          </w:tcPr>
          <w:p>
            <w:pPr>
              <w:jc w:val="right"/>
            </w:pPr>
            <w:r>
              <w:rPr>
                <w:sz w:val="18"/>
              </w:rPr>
              <w:t>$6.920,14</w:t>
            </w:r>
          </w:p>
        </w:tc>
        <w:tc>
          <w:tcPr>
            <w:tcW w:type="dxa" w:w="1417"/>
          </w:tcPr>
          <w:p>
            <w:pPr>
              <w:jc w:val="right"/>
            </w:pPr>
            <w:r>
              <w:rPr>
                <w:sz w:val="18"/>
              </w:rPr>
              <w:t>$968,08</w:t>
            </w:r>
          </w:p>
        </w:tc>
        <w:tc>
          <w:tcPr>
            <w:tcW w:type="dxa" w:w="1417"/>
          </w:tcPr>
          <w:p>
            <w:pPr>
              <w:jc w:val="right"/>
            </w:pPr>
            <w:r>
              <w:rPr>
                <w:sz w:val="18"/>
              </w:rPr>
              <w:t>13,99%</w:t>
            </w:r>
          </w:p>
        </w:tc>
      </w:tr>
      <w:tr>
        <w:tc>
          <w:tcPr>
            <w:tcW w:type="dxa" w:w="1417"/>
          </w:tcPr>
          <w:p>
            <w:pPr>
              <w:jc w:val="left"/>
            </w:pPr>
            <w:r>
              <w:rPr>
                <w:sz w:val="18"/>
              </w:rPr>
              <w:t>KH-010</w:t>
            </w:r>
          </w:p>
        </w:tc>
        <w:tc>
          <w:tcPr>
            <w:tcW w:type="dxa" w:w="1417"/>
          </w:tcPr>
          <w:p>
            <w:pPr>
              <w:jc w:val="left"/>
            </w:pPr>
            <w:r>
              <w:rPr>
                <w:sz w:val="18"/>
              </w:rPr>
              <w:t>Consumer</w:t>
            </w:r>
          </w:p>
        </w:tc>
        <w:tc>
          <w:tcPr>
            <w:tcW w:type="dxa" w:w="1417"/>
          </w:tcPr>
          <w:p>
            <w:pPr>
              <w:jc w:val="right"/>
            </w:pPr>
            <w:r>
              <w:rPr>
                <w:sz w:val="18"/>
              </w:rPr>
              <w:t>5</w:t>
            </w:r>
          </w:p>
        </w:tc>
        <w:tc>
          <w:tcPr>
            <w:tcW w:type="dxa" w:w="1417"/>
          </w:tcPr>
          <w:p>
            <w:pPr>
              <w:jc w:val="right"/>
            </w:pPr>
            <w:r>
              <w:rPr>
                <w:sz w:val="18"/>
              </w:rPr>
              <w:t>$4.513,11</w:t>
            </w:r>
          </w:p>
        </w:tc>
        <w:tc>
          <w:tcPr>
            <w:tcW w:type="dxa" w:w="1417"/>
          </w:tcPr>
          <w:p>
            <w:pPr>
              <w:jc w:val="right"/>
            </w:pPr>
            <w:r>
              <w:rPr>
                <w:sz w:val="18"/>
              </w:rPr>
              <w:t>$805,98</w:t>
            </w:r>
          </w:p>
        </w:tc>
        <w:tc>
          <w:tcPr>
            <w:tcW w:type="dxa" w:w="1417"/>
          </w:tcPr>
          <w:p>
            <w:pPr>
              <w:jc w:val="right"/>
            </w:pPr>
            <w:r>
              <w:rPr>
                <w:sz w:val="18"/>
              </w:rPr>
              <w:t>17,86%</w:t>
            </w:r>
          </w:p>
        </w:tc>
      </w:tr>
      <w:tr>
        <w:tc>
          <w:tcPr>
            <w:tcW w:type="dxa" w:w="1417"/>
          </w:tcPr>
          <w:p>
            <w:pPr>
              <w:jc w:val="left"/>
            </w:pPr>
            <w:r>
              <w:rPr>
                <w:sz w:val="18"/>
              </w:rPr>
              <w:t>KH-009</w:t>
            </w:r>
          </w:p>
        </w:tc>
        <w:tc>
          <w:tcPr>
            <w:tcW w:type="dxa" w:w="1417"/>
          </w:tcPr>
          <w:p>
            <w:pPr>
              <w:jc w:val="left"/>
            </w:pPr>
            <w:r>
              <w:rPr>
                <w:sz w:val="18"/>
              </w:rPr>
              <w:t>Corporate</w:t>
            </w:r>
          </w:p>
        </w:tc>
        <w:tc>
          <w:tcPr>
            <w:tcW w:type="dxa" w:w="1417"/>
          </w:tcPr>
          <w:p>
            <w:pPr>
              <w:jc w:val="right"/>
            </w:pPr>
            <w:r>
              <w:rPr>
                <w:sz w:val="18"/>
              </w:rPr>
              <w:t>5</w:t>
            </w:r>
          </w:p>
        </w:tc>
        <w:tc>
          <w:tcPr>
            <w:tcW w:type="dxa" w:w="1417"/>
          </w:tcPr>
          <w:p>
            <w:pPr>
              <w:jc w:val="right"/>
            </w:pPr>
            <w:r>
              <w:rPr>
                <w:sz w:val="18"/>
              </w:rPr>
              <w:t>$4.768,50</w:t>
            </w:r>
          </w:p>
        </w:tc>
        <w:tc>
          <w:tcPr>
            <w:tcW w:type="dxa" w:w="1417"/>
          </w:tcPr>
          <w:p>
            <w:pPr>
              <w:jc w:val="right"/>
            </w:pPr>
            <w:r>
              <w:rPr>
                <w:sz w:val="18"/>
              </w:rPr>
              <w:t>$770,15</w:t>
            </w:r>
          </w:p>
        </w:tc>
        <w:tc>
          <w:tcPr>
            <w:tcW w:type="dxa" w:w="1417"/>
          </w:tcPr>
          <w:p>
            <w:pPr>
              <w:jc w:val="right"/>
            </w:pPr>
            <w:r>
              <w:rPr>
                <w:sz w:val="18"/>
              </w:rPr>
              <w:t>16,15%</w:t>
            </w:r>
          </w:p>
        </w:tc>
      </w:tr>
      <w:tr>
        <w:tc>
          <w:tcPr>
            <w:tcW w:type="dxa" w:w="1417"/>
          </w:tcPr>
          <w:p>
            <w:pPr>
              <w:jc w:val="left"/>
            </w:pPr>
            <w:r>
              <w:rPr>
                <w:sz w:val="18"/>
              </w:rPr>
              <w:t>KH-016</w:t>
            </w:r>
          </w:p>
        </w:tc>
        <w:tc>
          <w:tcPr>
            <w:tcW w:type="dxa" w:w="1417"/>
          </w:tcPr>
          <w:p>
            <w:pPr>
              <w:jc w:val="left"/>
            </w:pPr>
            <w:r>
              <w:rPr>
                <w:sz w:val="18"/>
              </w:rPr>
              <w:t>Home Office</w:t>
            </w:r>
          </w:p>
        </w:tc>
        <w:tc>
          <w:tcPr>
            <w:tcW w:type="dxa" w:w="1417"/>
          </w:tcPr>
          <w:p>
            <w:pPr>
              <w:jc w:val="right"/>
            </w:pPr>
            <w:r>
              <w:rPr>
                <w:sz w:val="18"/>
              </w:rPr>
              <w:t>5</w:t>
            </w:r>
          </w:p>
        </w:tc>
        <w:tc>
          <w:tcPr>
            <w:tcW w:type="dxa" w:w="1417"/>
          </w:tcPr>
          <w:p>
            <w:pPr>
              <w:jc w:val="right"/>
            </w:pPr>
            <w:r>
              <w:rPr>
                <w:sz w:val="18"/>
              </w:rPr>
              <w:t>$4.132,06</w:t>
            </w:r>
          </w:p>
        </w:tc>
        <w:tc>
          <w:tcPr>
            <w:tcW w:type="dxa" w:w="1417"/>
          </w:tcPr>
          <w:p>
            <w:pPr>
              <w:jc w:val="right"/>
            </w:pPr>
            <w:r>
              <w:rPr>
                <w:sz w:val="18"/>
              </w:rPr>
              <w:t>$750,26</w:t>
            </w:r>
          </w:p>
        </w:tc>
        <w:tc>
          <w:tcPr>
            <w:tcW w:type="dxa" w:w="1417"/>
          </w:tcPr>
          <w:p>
            <w:pPr>
              <w:jc w:val="right"/>
            </w:pPr>
            <w:r>
              <w:rPr>
                <w:sz w:val="18"/>
              </w:rPr>
              <w:t>18,16%</w:t>
            </w:r>
          </w:p>
        </w:tc>
      </w:tr>
      <w:tr>
        <w:tc>
          <w:tcPr>
            <w:tcW w:type="dxa" w:w="1417"/>
          </w:tcPr>
          <w:p>
            <w:pPr>
              <w:jc w:val="left"/>
            </w:pPr>
            <w:r>
              <w:rPr>
                <w:sz w:val="18"/>
              </w:rPr>
              <w:t>KH-028</w:t>
            </w:r>
          </w:p>
        </w:tc>
        <w:tc>
          <w:tcPr>
            <w:tcW w:type="dxa" w:w="1417"/>
          </w:tcPr>
          <w:p>
            <w:pPr>
              <w:jc w:val="left"/>
            </w:pPr>
            <w:r>
              <w:rPr>
                <w:sz w:val="18"/>
              </w:rPr>
              <w:t>Consumer</w:t>
            </w:r>
          </w:p>
        </w:tc>
        <w:tc>
          <w:tcPr>
            <w:tcW w:type="dxa" w:w="1417"/>
          </w:tcPr>
          <w:p>
            <w:pPr>
              <w:jc w:val="right"/>
            </w:pPr>
            <w:r>
              <w:rPr>
                <w:sz w:val="18"/>
              </w:rPr>
              <w:t>4</w:t>
            </w:r>
          </w:p>
        </w:tc>
        <w:tc>
          <w:tcPr>
            <w:tcW w:type="dxa" w:w="1417"/>
          </w:tcPr>
          <w:p>
            <w:pPr>
              <w:jc w:val="right"/>
            </w:pPr>
            <w:r>
              <w:rPr>
                <w:sz w:val="18"/>
              </w:rPr>
              <w:t>$3.557,14</w:t>
            </w:r>
          </w:p>
        </w:tc>
        <w:tc>
          <w:tcPr>
            <w:tcW w:type="dxa" w:w="1417"/>
          </w:tcPr>
          <w:p>
            <w:pPr>
              <w:jc w:val="right"/>
            </w:pPr>
            <w:r>
              <w:rPr>
                <w:sz w:val="18"/>
              </w:rPr>
              <w:t>$738,84</w:t>
            </w:r>
          </w:p>
        </w:tc>
        <w:tc>
          <w:tcPr>
            <w:tcW w:type="dxa" w:w="1417"/>
          </w:tcPr>
          <w:p>
            <w:pPr>
              <w:jc w:val="right"/>
            </w:pPr>
            <w:r>
              <w:rPr>
                <w:sz w:val="18"/>
              </w:rPr>
              <w:t>20,77%</w:t>
            </w:r>
          </w:p>
        </w:tc>
      </w:tr>
      <w:tr>
        <w:tc>
          <w:tcPr>
            <w:tcW w:type="dxa" w:w="1417"/>
          </w:tcPr>
          <w:p>
            <w:pPr>
              <w:jc w:val="left"/>
            </w:pPr>
            <w:r>
              <w:rPr>
                <w:sz w:val="18"/>
              </w:rPr>
              <w:t>KH-017</w:t>
            </w:r>
          </w:p>
        </w:tc>
        <w:tc>
          <w:tcPr>
            <w:tcW w:type="dxa" w:w="1417"/>
          </w:tcPr>
          <w:p>
            <w:pPr>
              <w:jc w:val="left"/>
            </w:pPr>
            <w:r>
              <w:rPr>
                <w:sz w:val="18"/>
              </w:rPr>
              <w:t>Corporate</w:t>
            </w:r>
          </w:p>
        </w:tc>
        <w:tc>
          <w:tcPr>
            <w:tcW w:type="dxa" w:w="1417"/>
          </w:tcPr>
          <w:p>
            <w:pPr>
              <w:jc w:val="right"/>
            </w:pPr>
            <w:r>
              <w:rPr>
                <w:sz w:val="18"/>
              </w:rPr>
              <w:t>6</w:t>
            </w:r>
          </w:p>
        </w:tc>
        <w:tc>
          <w:tcPr>
            <w:tcW w:type="dxa" w:w="1417"/>
          </w:tcPr>
          <w:p>
            <w:pPr>
              <w:jc w:val="right"/>
            </w:pPr>
            <w:r>
              <w:rPr>
                <w:sz w:val="18"/>
              </w:rPr>
              <w:t>$4.078,82</w:t>
            </w:r>
          </w:p>
        </w:tc>
        <w:tc>
          <w:tcPr>
            <w:tcW w:type="dxa" w:w="1417"/>
          </w:tcPr>
          <w:p>
            <w:pPr>
              <w:jc w:val="right"/>
            </w:pPr>
            <w:r>
              <w:rPr>
                <w:sz w:val="18"/>
              </w:rPr>
              <w:t>$720,58</w:t>
            </w:r>
          </w:p>
        </w:tc>
        <w:tc>
          <w:tcPr>
            <w:tcW w:type="dxa" w:w="1417"/>
          </w:tcPr>
          <w:p>
            <w:pPr>
              <w:jc w:val="right"/>
            </w:pPr>
            <w:r>
              <w:rPr>
                <w:sz w:val="18"/>
              </w:rPr>
              <w:t>17,67%</w:t>
            </w:r>
          </w:p>
        </w:tc>
      </w:tr>
      <w:tr>
        <w:tc>
          <w:tcPr>
            <w:tcW w:type="dxa" w:w="1417"/>
          </w:tcPr>
          <w:p>
            <w:pPr>
              <w:jc w:val="left"/>
            </w:pPr>
            <w:r>
              <w:rPr>
                <w:sz w:val="18"/>
              </w:rPr>
              <w:t>KH-001</w:t>
            </w:r>
          </w:p>
        </w:tc>
        <w:tc>
          <w:tcPr>
            <w:tcW w:type="dxa" w:w="1417"/>
          </w:tcPr>
          <w:p>
            <w:pPr>
              <w:jc w:val="left"/>
            </w:pPr>
            <w:r>
              <w:rPr>
                <w:sz w:val="18"/>
              </w:rPr>
              <w:t>Consumer</w:t>
            </w:r>
          </w:p>
        </w:tc>
        <w:tc>
          <w:tcPr>
            <w:tcW w:type="dxa" w:w="1417"/>
          </w:tcPr>
          <w:p>
            <w:pPr>
              <w:jc w:val="right"/>
            </w:pPr>
            <w:r>
              <w:rPr>
                <w:sz w:val="18"/>
              </w:rPr>
              <w:t>9</w:t>
            </w:r>
          </w:p>
        </w:tc>
        <w:tc>
          <w:tcPr>
            <w:tcW w:type="dxa" w:w="1417"/>
          </w:tcPr>
          <w:p>
            <w:pPr>
              <w:jc w:val="right"/>
            </w:pPr>
            <w:r>
              <w:rPr>
                <w:sz w:val="18"/>
              </w:rPr>
              <w:t>$8.332,09</w:t>
            </w:r>
          </w:p>
        </w:tc>
        <w:tc>
          <w:tcPr>
            <w:tcW w:type="dxa" w:w="1417"/>
          </w:tcPr>
          <w:p>
            <w:pPr>
              <w:jc w:val="right"/>
            </w:pPr>
            <w:r>
              <w:rPr>
                <w:sz w:val="18"/>
              </w:rPr>
              <w:t>$688,40</w:t>
            </w:r>
          </w:p>
        </w:tc>
        <w:tc>
          <w:tcPr>
            <w:tcW w:type="dxa" w:w="1417"/>
          </w:tcPr>
          <w:p>
            <w:pPr>
              <w:jc w:val="right"/>
            </w:pPr>
            <w:r>
              <w:rPr>
                <w:sz w:val="18"/>
              </w:rPr>
              <w:t>8,26%</w:t>
            </w:r>
          </w:p>
        </w:tc>
      </w:tr>
      <w:tr>
        <w:tc>
          <w:tcPr>
            <w:tcW w:type="dxa" w:w="1417"/>
          </w:tcPr>
          <w:p>
            <w:pPr>
              <w:jc w:val="left"/>
            </w:pPr>
            <w:r>
              <w:rPr>
                <w:sz w:val="18"/>
              </w:rPr>
              <w:t>KH-046</w:t>
            </w:r>
          </w:p>
        </w:tc>
        <w:tc>
          <w:tcPr>
            <w:tcW w:type="dxa" w:w="1417"/>
          </w:tcPr>
          <w:p>
            <w:pPr>
              <w:jc w:val="left"/>
            </w:pPr>
            <w:r>
              <w:rPr>
                <w:sz w:val="18"/>
              </w:rPr>
              <w:t>Consumer</w:t>
            </w:r>
          </w:p>
        </w:tc>
        <w:tc>
          <w:tcPr>
            <w:tcW w:type="dxa" w:w="1417"/>
          </w:tcPr>
          <w:p>
            <w:pPr>
              <w:jc w:val="right"/>
            </w:pPr>
            <w:r>
              <w:rPr>
                <w:sz w:val="18"/>
              </w:rPr>
              <w:t>3</w:t>
            </w:r>
          </w:p>
        </w:tc>
        <w:tc>
          <w:tcPr>
            <w:tcW w:type="dxa" w:w="1417"/>
          </w:tcPr>
          <w:p>
            <w:pPr>
              <w:jc w:val="right"/>
            </w:pPr>
            <w:r>
              <w:rPr>
                <w:sz w:val="18"/>
              </w:rPr>
              <w:t>$2.852,39</w:t>
            </w:r>
          </w:p>
        </w:tc>
        <w:tc>
          <w:tcPr>
            <w:tcW w:type="dxa" w:w="1417"/>
          </w:tcPr>
          <w:p>
            <w:pPr>
              <w:jc w:val="right"/>
            </w:pPr>
            <w:r>
              <w:rPr>
                <w:sz w:val="18"/>
              </w:rPr>
              <w:t>$688,14</w:t>
            </w:r>
          </w:p>
        </w:tc>
        <w:tc>
          <w:tcPr>
            <w:tcW w:type="dxa" w:w="1417"/>
          </w:tcPr>
          <w:p>
            <w:pPr>
              <w:jc w:val="right"/>
            </w:pPr>
            <w:r>
              <w:rPr>
                <w:sz w:val="18"/>
              </w:rPr>
              <w:t>24,13%</w:t>
            </w:r>
          </w:p>
        </w:tc>
      </w:tr>
      <w:tr>
        <w:tc>
          <w:tcPr>
            <w:tcW w:type="dxa" w:w="1417"/>
          </w:tcPr>
          <w:p>
            <w:pPr>
              <w:jc w:val="left"/>
            </w:pPr>
            <w:r>
              <w:rPr>
                <w:sz w:val="18"/>
              </w:rPr>
              <w:t>KH-065</w:t>
            </w:r>
          </w:p>
        </w:tc>
        <w:tc>
          <w:tcPr>
            <w:tcW w:type="dxa" w:w="1417"/>
          </w:tcPr>
          <w:p>
            <w:pPr>
              <w:jc w:val="left"/>
            </w:pPr>
            <w:r>
              <w:rPr>
                <w:sz w:val="18"/>
              </w:rPr>
              <w:t>Corporate</w:t>
            </w:r>
          </w:p>
        </w:tc>
        <w:tc>
          <w:tcPr>
            <w:tcW w:type="dxa" w:w="1417"/>
          </w:tcPr>
          <w:p>
            <w:pPr>
              <w:jc w:val="right"/>
            </w:pPr>
            <w:r>
              <w:rPr>
                <w:sz w:val="18"/>
              </w:rPr>
              <w:t>4</w:t>
            </w:r>
          </w:p>
        </w:tc>
        <w:tc>
          <w:tcPr>
            <w:tcW w:type="dxa" w:w="1417"/>
          </w:tcPr>
          <w:p>
            <w:pPr>
              <w:jc w:val="right"/>
            </w:pPr>
            <w:r>
              <w:rPr>
                <w:sz w:val="18"/>
              </w:rPr>
              <w:t>$2.530,59</w:t>
            </w:r>
          </w:p>
        </w:tc>
        <w:tc>
          <w:tcPr>
            <w:tcW w:type="dxa" w:w="1417"/>
          </w:tcPr>
          <w:p>
            <w:pPr>
              <w:jc w:val="right"/>
            </w:pPr>
            <w:r>
              <w:rPr>
                <w:sz w:val="18"/>
              </w:rPr>
              <w:t>$677,56</w:t>
            </w:r>
          </w:p>
        </w:tc>
        <w:tc>
          <w:tcPr>
            <w:tcW w:type="dxa" w:w="1417"/>
          </w:tcPr>
          <w:p>
            <w:pPr>
              <w:jc w:val="right"/>
            </w:pPr>
            <w:r>
              <w:rPr>
                <w:sz w:val="18"/>
              </w:rPr>
              <w:t>26,77%</w:t>
            </w:r>
          </w:p>
        </w:tc>
      </w:tr>
    </w:tbl>
    <w:p/>
    <w:p>
      <w:r>
        <w:rPr>
          <w:b/>
          <w:color w:val="0B6E0B"/>
          <w:sz w:val="22"/>
        </w:rPr>
        <w:t xml:space="preserve">Hàm ý kinh doanh: </w:t>
      </w:r>
      <w:r>
        <w:rPr>
          <w:sz w:val="22"/>
        </w:rPr>
        <w:t>Khách hàng lợi nhuận cao có biên 8-27% và mua 3-9 đơn — phù hợp cho cross-sell sản phẩm Furnishings/Chairs thay vì giảm giá sâu Tables/Bookcases.</w:t>
      </w:r>
    </w:p>
    <w:p>
      <w:r>
        <w:br w:type="page"/>
      </w:r>
    </w:p>
    <w:p>
      <w:pPr>
        <w:pStyle w:val="Heading2"/>
      </w:pPr>
      <w:r>
        <w:t>4.7. Fulfillment context (Nhóm F)</w:t>
      </w:r>
    </w:p>
    <w:p>
      <w:r>
        <w:t>Các bảng dưới đây là mô tả quan sát, không phải kết luận chi phí vận chuyển vì dữ liệu không có freight-cost field.</w:t>
      </w:r>
    </w:p>
    <w:p>
      <w:r>
        <w:rPr>
          <w:b/>
        </w:rPr>
        <w:t>F1. Hiệu quả theo phương thức vận chuyển:</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Ship Mode</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c>
          <w:tcPr>
            <w:tcW w:type="dxa" w:w="1417"/>
          </w:tcPr>
          <w:p>
            <w:pPr>
              <w:jc w:val="center"/>
            </w:pPr>
            <w:r>
              <w:rPr>
                <w:b/>
                <w:sz w:val="20"/>
              </w:rPr>
              <w:t>Ngày TB</w:t>
            </w:r>
          </w:p>
        </w:tc>
        <w:tc>
          <w:tcPr>
            <w:tcW w:type="dxa" w:w="1417"/>
          </w:tcPr>
          <w:p>
            <w:pPr>
              <w:jc w:val="center"/>
            </w:pPr>
            <w:r>
              <w:rPr>
                <w:b/>
                <w:sz w:val="20"/>
              </w:rPr>
              <w:t>Loss %</w:t>
            </w:r>
          </w:p>
        </w:tc>
      </w:tr>
      <w:tr>
        <w:tc>
          <w:tcPr>
            <w:tcW w:type="dxa" w:w="1417"/>
          </w:tcPr>
          <w:p>
            <w:pPr>
              <w:jc w:val="left"/>
            </w:pPr>
            <w:r>
              <w:rPr>
                <w:sz w:val="18"/>
              </w:rPr>
              <w:t>Standard Class</w:t>
            </w:r>
          </w:p>
        </w:tc>
        <w:tc>
          <w:tcPr>
            <w:tcW w:type="dxa" w:w="1417"/>
          </w:tcPr>
          <w:p>
            <w:pPr>
              <w:jc w:val="right"/>
            </w:pPr>
            <w:r>
              <w:rPr>
                <w:sz w:val="18"/>
              </w:rPr>
              <w:t>$435.831,47</w:t>
            </w:r>
          </w:p>
        </w:tc>
        <w:tc>
          <w:tcPr>
            <w:tcW w:type="dxa" w:w="1417"/>
          </w:tcPr>
          <w:p>
            <w:pPr>
              <w:jc w:val="right"/>
            </w:pPr>
            <w:r>
              <w:rPr>
                <w:sz w:val="18"/>
              </w:rPr>
              <w:t>$10.360,72</w:t>
            </w:r>
          </w:p>
        </w:tc>
        <w:tc>
          <w:tcPr>
            <w:tcW w:type="dxa" w:w="1417"/>
          </w:tcPr>
          <w:p>
            <w:pPr>
              <w:jc w:val="right"/>
            </w:pPr>
            <w:r>
              <w:rPr>
                <w:sz w:val="18"/>
              </w:rPr>
              <w:t>2,38%</w:t>
            </w:r>
          </w:p>
        </w:tc>
        <w:tc>
          <w:tcPr>
            <w:tcW w:type="dxa" w:w="1417"/>
          </w:tcPr>
          <w:p>
            <w:pPr>
              <w:jc w:val="right"/>
            </w:pPr>
            <w:r>
              <w:rPr>
                <w:sz w:val="18"/>
              </w:rPr>
              <w:t>4</w:t>
            </w:r>
          </w:p>
        </w:tc>
        <w:tc>
          <w:tcPr>
            <w:tcW w:type="dxa" w:w="1417"/>
          </w:tcPr>
          <w:p>
            <w:pPr>
              <w:jc w:val="right"/>
            </w:pPr>
            <w:r>
              <w:rPr>
                <w:sz w:val="18"/>
              </w:rPr>
              <w:t>33,65%</w:t>
            </w:r>
          </w:p>
        </w:tc>
      </w:tr>
      <w:tr>
        <w:tc>
          <w:tcPr>
            <w:tcW w:type="dxa" w:w="1417"/>
          </w:tcPr>
          <w:p>
            <w:pPr>
              <w:jc w:val="left"/>
            </w:pPr>
            <w:r>
              <w:rPr>
                <w:sz w:val="18"/>
              </w:rPr>
              <w:t>Second Class</w:t>
            </w:r>
          </w:p>
        </w:tc>
        <w:tc>
          <w:tcPr>
            <w:tcW w:type="dxa" w:w="1417"/>
          </w:tcPr>
          <w:p>
            <w:pPr>
              <w:jc w:val="right"/>
            </w:pPr>
            <w:r>
              <w:rPr>
                <w:sz w:val="18"/>
              </w:rPr>
              <w:t>$156.289,02</w:t>
            </w:r>
          </w:p>
        </w:tc>
        <w:tc>
          <w:tcPr>
            <w:tcW w:type="dxa" w:w="1417"/>
          </w:tcPr>
          <w:p>
            <w:pPr>
              <w:jc w:val="right"/>
            </w:pPr>
            <w:r>
              <w:rPr>
                <w:sz w:val="18"/>
              </w:rPr>
              <w:t>$4.226,26</w:t>
            </w:r>
          </w:p>
        </w:tc>
        <w:tc>
          <w:tcPr>
            <w:tcW w:type="dxa" w:w="1417"/>
          </w:tcPr>
          <w:p>
            <w:pPr>
              <w:jc w:val="right"/>
            </w:pPr>
            <w:r>
              <w:rPr>
                <w:sz w:val="18"/>
              </w:rPr>
              <w:t>2,70%</w:t>
            </w:r>
          </w:p>
        </w:tc>
        <w:tc>
          <w:tcPr>
            <w:tcW w:type="dxa" w:w="1417"/>
          </w:tcPr>
          <w:p>
            <w:pPr>
              <w:jc w:val="right"/>
            </w:pPr>
            <w:r>
              <w:rPr>
                <w:sz w:val="18"/>
              </w:rPr>
              <w:t>3</w:t>
            </w:r>
          </w:p>
        </w:tc>
        <w:tc>
          <w:tcPr>
            <w:tcW w:type="dxa" w:w="1417"/>
          </w:tcPr>
          <w:p>
            <w:pPr>
              <w:jc w:val="right"/>
            </w:pPr>
            <w:r>
              <w:rPr>
                <w:sz w:val="18"/>
              </w:rPr>
              <w:t>32,79%</w:t>
            </w:r>
          </w:p>
        </w:tc>
      </w:tr>
      <w:tr>
        <w:tc>
          <w:tcPr>
            <w:tcW w:type="dxa" w:w="1417"/>
          </w:tcPr>
          <w:p>
            <w:pPr>
              <w:jc w:val="left"/>
            </w:pPr>
            <w:r>
              <w:rPr>
                <w:sz w:val="18"/>
              </w:rPr>
              <w:t>First Class</w:t>
            </w:r>
          </w:p>
        </w:tc>
        <w:tc>
          <w:tcPr>
            <w:tcW w:type="dxa" w:w="1417"/>
          </w:tcPr>
          <w:p>
            <w:pPr>
              <w:jc w:val="right"/>
            </w:pPr>
            <w:r>
              <w:rPr>
                <w:sz w:val="18"/>
              </w:rPr>
              <w:t>$110.730,52</w:t>
            </w:r>
          </w:p>
        </w:tc>
        <w:tc>
          <w:tcPr>
            <w:tcW w:type="dxa" w:w="1417"/>
          </w:tcPr>
          <w:p>
            <w:pPr>
              <w:jc w:val="right"/>
            </w:pPr>
            <w:r>
              <w:rPr>
                <w:sz w:val="18"/>
              </w:rPr>
              <w:t>$3.066,95</w:t>
            </w:r>
          </w:p>
        </w:tc>
        <w:tc>
          <w:tcPr>
            <w:tcW w:type="dxa" w:w="1417"/>
          </w:tcPr>
          <w:p>
            <w:pPr>
              <w:jc w:val="right"/>
            </w:pPr>
            <w:r>
              <w:rPr>
                <w:sz w:val="18"/>
              </w:rPr>
              <w:t>2,77%</w:t>
            </w:r>
          </w:p>
        </w:tc>
        <w:tc>
          <w:tcPr>
            <w:tcW w:type="dxa" w:w="1417"/>
          </w:tcPr>
          <w:p>
            <w:pPr>
              <w:jc w:val="right"/>
            </w:pPr>
            <w:r>
              <w:rPr>
                <w:sz w:val="18"/>
              </w:rPr>
              <w:t>2</w:t>
            </w:r>
          </w:p>
        </w:tc>
        <w:tc>
          <w:tcPr>
            <w:tcW w:type="dxa" w:w="1417"/>
          </w:tcPr>
          <w:p>
            <w:pPr>
              <w:jc w:val="right"/>
            </w:pPr>
            <w:r>
              <w:rPr>
                <w:sz w:val="18"/>
              </w:rPr>
              <w:t>33,94%</w:t>
            </w:r>
          </w:p>
        </w:tc>
      </w:tr>
      <w:tr>
        <w:tc>
          <w:tcPr>
            <w:tcW w:type="dxa" w:w="1417"/>
          </w:tcPr>
          <w:p>
            <w:pPr>
              <w:jc w:val="left"/>
            </w:pPr>
            <w:r>
              <w:rPr>
                <w:sz w:val="18"/>
              </w:rPr>
              <w:t>Same Day</w:t>
            </w:r>
          </w:p>
        </w:tc>
        <w:tc>
          <w:tcPr>
            <w:tcW w:type="dxa" w:w="1417"/>
          </w:tcPr>
          <w:p>
            <w:pPr>
              <w:jc w:val="right"/>
            </w:pPr>
            <w:r>
              <w:rPr>
                <w:sz w:val="18"/>
              </w:rPr>
              <w:t>$39.148,78</w:t>
            </w:r>
          </w:p>
        </w:tc>
        <w:tc>
          <w:tcPr>
            <w:tcW w:type="dxa" w:w="1417"/>
          </w:tcPr>
          <w:p>
            <w:pPr>
              <w:jc w:val="right"/>
            </w:pPr>
            <w:r>
              <w:rPr>
                <w:sz w:val="18"/>
              </w:rPr>
              <w:t>$797,35</w:t>
            </w:r>
          </w:p>
        </w:tc>
        <w:tc>
          <w:tcPr>
            <w:tcW w:type="dxa" w:w="1417"/>
          </w:tcPr>
          <w:p>
            <w:pPr>
              <w:jc w:val="right"/>
            </w:pPr>
            <w:r>
              <w:rPr>
                <w:sz w:val="18"/>
              </w:rPr>
              <w:t>2,04%</w:t>
            </w:r>
          </w:p>
        </w:tc>
        <w:tc>
          <w:tcPr>
            <w:tcW w:type="dxa" w:w="1417"/>
          </w:tcPr>
          <w:p>
            <w:pPr>
              <w:jc w:val="right"/>
            </w:pPr>
            <w:r>
              <w:rPr>
                <w:sz w:val="18"/>
              </w:rPr>
              <w:t>0</w:t>
            </w:r>
          </w:p>
        </w:tc>
        <w:tc>
          <w:tcPr>
            <w:tcW w:type="dxa" w:w="1417"/>
          </w:tcPr>
          <w:p>
            <w:pPr>
              <w:jc w:val="right"/>
            </w:pPr>
            <w:r>
              <w:rPr>
                <w:sz w:val="18"/>
              </w:rPr>
              <w:t>36,13%</w:t>
            </w:r>
          </w:p>
        </w:tc>
      </w:tr>
    </w:tbl>
    <w:p/>
    <w:p>
      <w:r>
        <w:rPr>
          <w:b/>
        </w:rPr>
        <w:t>F2. Hiệu quả theo số ngày giao hàng:</w:t>
      </w:r>
    </w:p>
    <w:tbl>
      <w:tblPr>
        <w:tblStyle w:val="LightGrid-Accent1"/>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rPr>
                <w:b/>
                <w:sz w:val="20"/>
              </w:rPr>
              <w:t>Ngày</w:t>
            </w:r>
          </w:p>
        </w:tc>
        <w:tc>
          <w:tcPr>
            <w:tcW w:type="dxa" w:w="1701"/>
          </w:tcPr>
          <w:p>
            <w:pPr>
              <w:jc w:val="center"/>
            </w:pPr>
            <w:r>
              <w:rPr>
                <w:b/>
                <w:sz w:val="20"/>
              </w:rPr>
              <w:t>Doanh thu</w:t>
            </w:r>
          </w:p>
        </w:tc>
        <w:tc>
          <w:tcPr>
            <w:tcW w:type="dxa" w:w="1701"/>
          </w:tcPr>
          <w:p>
            <w:pPr>
              <w:jc w:val="center"/>
            </w:pPr>
            <w:r>
              <w:rPr>
                <w:b/>
                <w:sz w:val="20"/>
              </w:rPr>
              <w:t>Lợi nhuận</w:t>
            </w:r>
          </w:p>
        </w:tc>
        <w:tc>
          <w:tcPr>
            <w:tcW w:type="dxa" w:w="1701"/>
          </w:tcPr>
          <w:p>
            <w:pPr>
              <w:jc w:val="center"/>
            </w:pPr>
            <w:r>
              <w:rPr>
                <w:b/>
                <w:sz w:val="20"/>
              </w:rPr>
              <w:t>Biên %</w:t>
            </w:r>
          </w:p>
        </w:tc>
        <w:tc>
          <w:tcPr>
            <w:tcW w:type="dxa" w:w="1701"/>
          </w:tcPr>
          <w:p>
            <w:pPr>
              <w:jc w:val="center"/>
            </w:pPr>
            <w:r>
              <w:rPr>
                <w:b/>
                <w:sz w:val="20"/>
              </w:rPr>
              <w:t>Loss %</w:t>
            </w:r>
          </w:p>
        </w:tc>
      </w:tr>
      <w:tr>
        <w:tc>
          <w:tcPr>
            <w:tcW w:type="dxa" w:w="1701"/>
          </w:tcPr>
          <w:p>
            <w:pPr>
              <w:jc w:val="right"/>
            </w:pPr>
            <w:r>
              <w:rPr>
                <w:sz w:val="18"/>
              </w:rPr>
              <w:t>0</w:t>
            </w:r>
          </w:p>
        </w:tc>
        <w:tc>
          <w:tcPr>
            <w:tcW w:type="dxa" w:w="1701"/>
          </w:tcPr>
          <w:p>
            <w:pPr>
              <w:jc w:val="right"/>
            </w:pPr>
            <w:r>
              <w:rPr>
                <w:sz w:val="18"/>
              </w:rPr>
              <w:t>$37.004,68</w:t>
            </w:r>
          </w:p>
        </w:tc>
        <w:tc>
          <w:tcPr>
            <w:tcW w:type="dxa" w:w="1701"/>
          </w:tcPr>
          <w:p>
            <w:pPr>
              <w:jc w:val="right"/>
            </w:pPr>
            <w:r>
              <w:rPr>
                <w:sz w:val="18"/>
              </w:rPr>
              <w:t>$539,38</w:t>
            </w:r>
          </w:p>
        </w:tc>
        <w:tc>
          <w:tcPr>
            <w:tcW w:type="dxa" w:w="1701"/>
          </w:tcPr>
          <w:p>
            <w:pPr>
              <w:jc w:val="right"/>
            </w:pPr>
            <w:r>
              <w:rPr>
                <w:sz w:val="18"/>
              </w:rPr>
              <w:t>1,46%</w:t>
            </w:r>
          </w:p>
        </w:tc>
        <w:tc>
          <w:tcPr>
            <w:tcW w:type="dxa" w:w="1701"/>
          </w:tcPr>
          <w:p>
            <w:pPr>
              <w:jc w:val="right"/>
            </w:pPr>
            <w:r>
              <w:rPr>
                <w:sz w:val="18"/>
              </w:rPr>
              <w:t>36,21%</w:t>
            </w:r>
          </w:p>
        </w:tc>
      </w:tr>
      <w:tr>
        <w:tc>
          <w:tcPr>
            <w:tcW w:type="dxa" w:w="1701"/>
          </w:tcPr>
          <w:p>
            <w:pPr>
              <w:jc w:val="right"/>
            </w:pPr>
            <w:r>
              <w:rPr>
                <w:sz w:val="18"/>
              </w:rPr>
              <w:t>1</w:t>
            </w:r>
          </w:p>
        </w:tc>
        <w:tc>
          <w:tcPr>
            <w:tcW w:type="dxa" w:w="1701"/>
          </w:tcPr>
          <w:p>
            <w:pPr>
              <w:jc w:val="right"/>
            </w:pPr>
            <w:r>
              <w:rPr>
                <w:sz w:val="18"/>
              </w:rPr>
              <w:t>$25.113,83</w:t>
            </w:r>
          </w:p>
        </w:tc>
        <w:tc>
          <w:tcPr>
            <w:tcW w:type="dxa" w:w="1701"/>
          </w:tcPr>
          <w:p>
            <w:pPr>
              <w:jc w:val="right"/>
            </w:pPr>
            <w:r>
              <w:rPr>
                <w:sz w:val="18"/>
              </w:rPr>
              <w:t>$784,14</w:t>
            </w:r>
          </w:p>
        </w:tc>
        <w:tc>
          <w:tcPr>
            <w:tcW w:type="dxa" w:w="1701"/>
          </w:tcPr>
          <w:p>
            <w:pPr>
              <w:jc w:val="right"/>
            </w:pPr>
            <w:r>
              <w:rPr>
                <w:sz w:val="18"/>
              </w:rPr>
              <w:t>3,12%</w:t>
            </w:r>
          </w:p>
        </w:tc>
        <w:tc>
          <w:tcPr>
            <w:tcW w:type="dxa" w:w="1701"/>
          </w:tcPr>
          <w:p>
            <w:pPr>
              <w:jc w:val="right"/>
            </w:pPr>
            <w:r>
              <w:rPr>
                <w:sz w:val="18"/>
              </w:rPr>
              <w:t>32,47%</w:t>
            </w:r>
          </w:p>
        </w:tc>
      </w:tr>
      <w:tr>
        <w:tc>
          <w:tcPr>
            <w:tcW w:type="dxa" w:w="1701"/>
          </w:tcPr>
          <w:p>
            <w:pPr>
              <w:jc w:val="right"/>
            </w:pPr>
            <w:r>
              <w:rPr>
                <w:sz w:val="18"/>
              </w:rPr>
              <w:t>2</w:t>
            </w:r>
          </w:p>
        </w:tc>
        <w:tc>
          <w:tcPr>
            <w:tcW w:type="dxa" w:w="1701"/>
          </w:tcPr>
          <w:p>
            <w:pPr>
              <w:jc w:val="right"/>
            </w:pPr>
            <w:r>
              <w:rPr>
                <w:sz w:val="18"/>
              </w:rPr>
              <w:t>$124.888,12</w:t>
            </w:r>
          </w:p>
        </w:tc>
        <w:tc>
          <w:tcPr>
            <w:tcW w:type="dxa" w:w="1701"/>
          </w:tcPr>
          <w:p>
            <w:pPr>
              <w:jc w:val="right"/>
            </w:pPr>
            <w:r>
              <w:rPr>
                <w:sz w:val="18"/>
              </w:rPr>
              <w:t>$7.483,90</w:t>
            </w:r>
          </w:p>
        </w:tc>
        <w:tc>
          <w:tcPr>
            <w:tcW w:type="dxa" w:w="1701"/>
          </w:tcPr>
          <w:p>
            <w:pPr>
              <w:jc w:val="right"/>
            </w:pPr>
            <w:r>
              <w:rPr>
                <w:sz w:val="18"/>
              </w:rPr>
              <w:t>5,99%</w:t>
            </w:r>
          </w:p>
        </w:tc>
        <w:tc>
          <w:tcPr>
            <w:tcW w:type="dxa" w:w="1701"/>
          </w:tcPr>
          <w:p>
            <w:pPr>
              <w:jc w:val="right"/>
            </w:pPr>
            <w:r>
              <w:rPr>
                <w:sz w:val="18"/>
              </w:rPr>
              <w:t>32,90%</w:t>
            </w:r>
          </w:p>
        </w:tc>
      </w:tr>
      <w:tr>
        <w:tc>
          <w:tcPr>
            <w:tcW w:type="dxa" w:w="1701"/>
          </w:tcPr>
          <w:p>
            <w:pPr>
              <w:jc w:val="right"/>
            </w:pPr>
            <w:r>
              <w:rPr>
                <w:sz w:val="18"/>
              </w:rPr>
              <w:t>3</w:t>
            </w:r>
          </w:p>
        </w:tc>
        <w:tc>
          <w:tcPr>
            <w:tcW w:type="dxa" w:w="1701"/>
          </w:tcPr>
          <w:p>
            <w:pPr>
              <w:jc w:val="right"/>
            </w:pPr>
            <w:r>
              <w:rPr>
                <w:sz w:val="18"/>
              </w:rPr>
              <w:t>$58.159,14</w:t>
            </w:r>
          </w:p>
        </w:tc>
        <w:tc>
          <w:tcPr>
            <w:tcW w:type="dxa" w:w="1701"/>
          </w:tcPr>
          <w:p>
            <w:pPr>
              <w:jc w:val="right"/>
            </w:pPr>
            <w:r>
              <w:rPr>
                <w:sz w:val="18"/>
              </w:rPr>
              <w:t>$-299,05</w:t>
            </w:r>
          </w:p>
        </w:tc>
        <w:tc>
          <w:tcPr>
            <w:tcW w:type="dxa" w:w="1701"/>
          </w:tcPr>
          <w:p>
            <w:pPr>
              <w:jc w:val="right"/>
            </w:pPr>
            <w:r>
              <w:rPr>
                <w:sz w:val="18"/>
              </w:rPr>
              <w:t>-0,51%</w:t>
            </w:r>
          </w:p>
        </w:tc>
        <w:tc>
          <w:tcPr>
            <w:tcW w:type="dxa" w:w="1701"/>
          </w:tcPr>
          <w:p>
            <w:pPr>
              <w:jc w:val="right"/>
            </w:pPr>
            <w:r>
              <w:rPr>
                <w:sz w:val="18"/>
              </w:rPr>
              <w:t>32,80%</w:t>
            </w:r>
          </w:p>
        </w:tc>
      </w:tr>
      <w:tr>
        <w:tc>
          <w:tcPr>
            <w:tcW w:type="dxa" w:w="1701"/>
          </w:tcPr>
          <w:p>
            <w:pPr>
              <w:jc w:val="right"/>
            </w:pPr>
            <w:r>
              <w:rPr>
                <w:sz w:val="18"/>
              </w:rPr>
              <w:t>4</w:t>
            </w:r>
          </w:p>
        </w:tc>
        <w:tc>
          <w:tcPr>
            <w:tcW w:type="dxa" w:w="1701"/>
          </w:tcPr>
          <w:p>
            <w:pPr>
              <w:jc w:val="right"/>
            </w:pPr>
            <w:r>
              <w:rPr>
                <w:sz w:val="18"/>
              </w:rPr>
              <w:t>$212.148,65</w:t>
            </w:r>
          </w:p>
        </w:tc>
        <w:tc>
          <w:tcPr>
            <w:tcW w:type="dxa" w:w="1701"/>
          </w:tcPr>
          <w:p>
            <w:pPr>
              <w:jc w:val="right"/>
            </w:pPr>
            <w:r>
              <w:rPr>
                <w:sz w:val="18"/>
              </w:rPr>
              <w:t>$4.890,38</w:t>
            </w:r>
          </w:p>
        </w:tc>
        <w:tc>
          <w:tcPr>
            <w:tcW w:type="dxa" w:w="1701"/>
          </w:tcPr>
          <w:p>
            <w:pPr>
              <w:jc w:val="right"/>
            </w:pPr>
            <w:r>
              <w:rPr>
                <w:sz w:val="18"/>
              </w:rPr>
              <w:t>2,31%</w:t>
            </w:r>
          </w:p>
        </w:tc>
        <w:tc>
          <w:tcPr>
            <w:tcW w:type="dxa" w:w="1701"/>
          </w:tcPr>
          <w:p>
            <w:pPr>
              <w:jc w:val="right"/>
            </w:pPr>
            <w:r>
              <w:rPr>
                <w:sz w:val="18"/>
              </w:rPr>
              <w:t>36,61%</w:t>
            </w:r>
          </w:p>
        </w:tc>
      </w:tr>
      <w:tr>
        <w:tc>
          <w:tcPr>
            <w:tcW w:type="dxa" w:w="1701"/>
          </w:tcPr>
          <w:p>
            <w:pPr>
              <w:jc w:val="right"/>
            </w:pPr>
            <w:r>
              <w:rPr>
                <w:sz w:val="18"/>
              </w:rPr>
              <w:t>5</w:t>
            </w:r>
          </w:p>
        </w:tc>
        <w:tc>
          <w:tcPr>
            <w:tcW w:type="dxa" w:w="1701"/>
          </w:tcPr>
          <w:p>
            <w:pPr>
              <w:jc w:val="right"/>
            </w:pPr>
            <w:r>
              <w:rPr>
                <w:sz w:val="18"/>
              </w:rPr>
              <w:t>$161.316,71</w:t>
            </w:r>
          </w:p>
        </w:tc>
        <w:tc>
          <w:tcPr>
            <w:tcW w:type="dxa" w:w="1701"/>
          </w:tcPr>
          <w:p>
            <w:pPr>
              <w:jc w:val="right"/>
            </w:pPr>
            <w:r>
              <w:rPr>
                <w:sz w:val="18"/>
              </w:rPr>
              <w:t>$137,95</w:t>
            </w:r>
          </w:p>
        </w:tc>
        <w:tc>
          <w:tcPr>
            <w:tcW w:type="dxa" w:w="1701"/>
          </w:tcPr>
          <w:p>
            <w:pPr>
              <w:jc w:val="right"/>
            </w:pPr>
            <w:r>
              <w:rPr>
                <w:sz w:val="18"/>
              </w:rPr>
              <w:t>0,09%</w:t>
            </w:r>
          </w:p>
        </w:tc>
        <w:tc>
          <w:tcPr>
            <w:tcW w:type="dxa" w:w="1701"/>
          </w:tcPr>
          <w:p>
            <w:pPr>
              <w:jc w:val="right"/>
            </w:pPr>
            <w:r>
              <w:rPr>
                <w:sz w:val="18"/>
              </w:rPr>
              <w:t>34,12%</w:t>
            </w:r>
          </w:p>
        </w:tc>
      </w:tr>
      <w:tr>
        <w:tc>
          <w:tcPr>
            <w:tcW w:type="dxa" w:w="1701"/>
          </w:tcPr>
          <w:p>
            <w:pPr>
              <w:jc w:val="right"/>
            </w:pPr>
            <w:r>
              <w:rPr>
                <w:sz w:val="18"/>
              </w:rPr>
              <w:t>6</w:t>
            </w:r>
          </w:p>
        </w:tc>
        <w:tc>
          <w:tcPr>
            <w:tcW w:type="dxa" w:w="1701"/>
          </w:tcPr>
          <w:p>
            <w:pPr>
              <w:jc w:val="right"/>
            </w:pPr>
            <w:r>
              <w:rPr>
                <w:sz w:val="18"/>
              </w:rPr>
              <w:t>$80.647,73</w:t>
            </w:r>
          </w:p>
        </w:tc>
        <w:tc>
          <w:tcPr>
            <w:tcW w:type="dxa" w:w="1701"/>
          </w:tcPr>
          <w:p>
            <w:pPr>
              <w:jc w:val="right"/>
            </w:pPr>
            <w:r>
              <w:rPr>
                <w:sz w:val="18"/>
              </w:rPr>
              <w:t>$4.108,47</w:t>
            </w:r>
          </w:p>
        </w:tc>
        <w:tc>
          <w:tcPr>
            <w:tcW w:type="dxa" w:w="1701"/>
          </w:tcPr>
          <w:p>
            <w:pPr>
              <w:jc w:val="right"/>
            </w:pPr>
            <w:r>
              <w:rPr>
                <w:sz w:val="18"/>
              </w:rPr>
              <w:t>5,09%</w:t>
            </w:r>
          </w:p>
        </w:tc>
        <w:tc>
          <w:tcPr>
            <w:tcW w:type="dxa" w:w="1701"/>
          </w:tcPr>
          <w:p>
            <w:pPr>
              <w:jc w:val="right"/>
            </w:pPr>
            <w:r>
              <w:rPr>
                <w:sz w:val="18"/>
              </w:rPr>
              <w:t>29,66%</w:t>
            </w:r>
          </w:p>
        </w:tc>
      </w:tr>
      <w:tr>
        <w:tc>
          <w:tcPr>
            <w:tcW w:type="dxa" w:w="1701"/>
          </w:tcPr>
          <w:p>
            <w:pPr>
              <w:jc w:val="right"/>
            </w:pPr>
            <w:r>
              <w:rPr>
                <w:sz w:val="18"/>
              </w:rPr>
              <w:t>7</w:t>
            </w:r>
          </w:p>
        </w:tc>
        <w:tc>
          <w:tcPr>
            <w:tcW w:type="dxa" w:w="1701"/>
          </w:tcPr>
          <w:p>
            <w:pPr>
              <w:jc w:val="right"/>
            </w:pPr>
            <w:r>
              <w:rPr>
                <w:sz w:val="18"/>
              </w:rPr>
              <w:t>$42.720,92</w:t>
            </w:r>
          </w:p>
        </w:tc>
        <w:tc>
          <w:tcPr>
            <w:tcW w:type="dxa" w:w="1701"/>
          </w:tcPr>
          <w:p>
            <w:pPr>
              <w:jc w:val="right"/>
            </w:pPr>
            <w:r>
              <w:rPr>
                <w:sz w:val="18"/>
              </w:rPr>
              <w:t>$806,11</w:t>
            </w:r>
          </w:p>
        </w:tc>
        <w:tc>
          <w:tcPr>
            <w:tcW w:type="dxa" w:w="1701"/>
          </w:tcPr>
          <w:p>
            <w:pPr>
              <w:jc w:val="right"/>
            </w:pPr>
            <w:r>
              <w:rPr>
                <w:sz w:val="18"/>
              </w:rPr>
              <w:t>1,89%</w:t>
            </w:r>
          </w:p>
        </w:tc>
        <w:tc>
          <w:tcPr>
            <w:tcW w:type="dxa" w:w="1701"/>
          </w:tcPr>
          <w:p>
            <w:pPr>
              <w:jc w:val="right"/>
            </w:pPr>
            <w:r>
              <w:rPr>
                <w:sz w:val="18"/>
              </w:rPr>
              <w:t>27,13%</w:t>
            </w:r>
          </w:p>
        </w:tc>
      </w:tr>
    </w:tbl>
    <w:p/>
    <w:p>
      <w:r>
        <w:rPr>
          <w:b/>
          <w:color w:val="0B6E0B"/>
          <w:sz w:val="22"/>
        </w:rPr>
        <w:t xml:space="preserve">Hàm ý kinh doanh: </w:t>
      </w:r>
      <w:r>
        <w:rPr>
          <w:sz w:val="22"/>
        </w:rPr>
        <w:t>Nếu mode hoặc số ngày giao hàng có loss-rate cao, nên xem như tín hiệu drill-down chứ không quy kết nguyên nhân vì thiếu freight-cost. Biên tương đối đồng đều (2-3%) trừ giao hàng 2 ngày (biên 5,99% — có thể do mix sản phẩm tốt hơn).</w:t>
      </w:r>
    </w:p>
    <w:p>
      <w:r>
        <w:br w:type="page"/>
      </w:r>
    </w:p>
    <w:p>
      <w:pPr>
        <w:pStyle w:val="Heading1"/>
      </w:pPr>
      <w:r>
        <w:t>V. Khuyến nghị hành động</w:t>
      </w:r>
    </w:p>
    <w:p>
      <w:r>
        <w:t>Mỗi khuyến nghị dưới đây gắn với evidence trong dữ liệu và được trình bày như hành động quản trị, không phải kết luận nhân quả tuyệt đối. Mỗi khuyến nghị bao gồm: Scope, Evidence, Action, KPI, và Limitation.</w:t>
      </w:r>
    </w:p>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w:t>
            </w:r>
          </w:p>
        </w:tc>
        <w:tc>
          <w:tcPr>
            <w:tcW w:type="dxa" w:w="1417"/>
          </w:tcPr>
          <w:p>
            <w:pPr>
              <w:jc w:val="center"/>
            </w:pPr>
            <w:r>
              <w:rPr>
                <w:b/>
                <w:sz w:val="20"/>
              </w:rPr>
              <w:t>Scope</w:t>
            </w:r>
          </w:p>
        </w:tc>
        <w:tc>
          <w:tcPr>
            <w:tcW w:type="dxa" w:w="1417"/>
          </w:tcPr>
          <w:p>
            <w:pPr>
              <w:jc w:val="center"/>
            </w:pPr>
            <w:r>
              <w:rPr>
                <w:b/>
                <w:sz w:val="20"/>
              </w:rPr>
              <w:t>Evidence</w:t>
            </w:r>
          </w:p>
        </w:tc>
        <w:tc>
          <w:tcPr>
            <w:tcW w:type="dxa" w:w="1417"/>
          </w:tcPr>
          <w:p>
            <w:pPr>
              <w:jc w:val="center"/>
            </w:pPr>
            <w:r>
              <w:rPr>
                <w:b/>
                <w:sz w:val="20"/>
              </w:rPr>
              <w:t>Action</w:t>
            </w:r>
          </w:p>
        </w:tc>
        <w:tc>
          <w:tcPr>
            <w:tcW w:type="dxa" w:w="1417"/>
          </w:tcPr>
          <w:p>
            <w:pPr>
              <w:jc w:val="center"/>
            </w:pPr>
            <w:r>
              <w:rPr>
                <w:b/>
                <w:sz w:val="20"/>
              </w:rPr>
              <w:t>KPI</w:t>
            </w:r>
          </w:p>
        </w:tc>
        <w:tc>
          <w:tcPr>
            <w:tcW w:type="dxa" w:w="1417"/>
          </w:tcPr>
          <w:p>
            <w:pPr>
              <w:jc w:val="center"/>
            </w:pPr>
            <w:r>
              <w:rPr>
                <w:b/>
                <w:sz w:val="20"/>
              </w:rPr>
              <w:t>Limitation</w:t>
            </w:r>
          </w:p>
        </w:tc>
      </w:tr>
      <w:tr>
        <w:tc>
          <w:tcPr>
            <w:tcW w:type="dxa" w:w="1417"/>
          </w:tcPr>
          <w:p>
            <w:pPr>
              <w:jc w:val="right"/>
            </w:pPr>
            <w:r>
              <w:rPr>
                <w:sz w:val="18"/>
              </w:rPr>
              <w:t>1</w:t>
            </w:r>
          </w:p>
        </w:tc>
        <w:tc>
          <w:tcPr>
            <w:tcW w:type="dxa" w:w="1417"/>
          </w:tcPr>
          <w:p>
            <w:pPr>
              <w:jc w:val="right"/>
            </w:pPr>
            <w:r>
              <w:rPr>
                <w:sz w:val="18"/>
              </w:rPr>
              <w:t>Discount ≥30% (toàn dataset)</w:t>
            </w:r>
          </w:p>
        </w:tc>
        <w:tc>
          <w:tcPr>
            <w:tcW w:type="dxa" w:w="1417"/>
          </w:tcPr>
          <w:p>
            <w:pPr>
              <w:jc w:val="right"/>
            </w:pPr>
            <w:r>
              <w:rPr>
                <w:sz w:val="18"/>
              </w:rPr>
              <w:t>Profit $-54.477,76; loss-line rate 97,23%; chiếm 26,30% doanh thu</w:t>
            </w:r>
          </w:p>
        </w:tc>
        <w:tc>
          <w:tcPr>
            <w:tcW w:type="dxa" w:w="1417"/>
          </w:tcPr>
          <w:p>
            <w:pPr>
              <w:jc w:val="right"/>
            </w:pPr>
            <w:r>
              <w:rPr>
                <w:sz w:val="18"/>
              </w:rPr>
              <w:t>Yêu cầu review margin trước khi áp dụng giảm giá ≥30%. Chuyển từ công cụ bán hàng thường xuyên sang exception cần phê duyệt.</w:t>
            </w:r>
          </w:p>
        </w:tc>
        <w:tc>
          <w:tcPr>
            <w:tcW w:type="dxa" w:w="1417"/>
          </w:tcPr>
          <w:p>
            <w:pPr>
              <w:jc w:val="left"/>
            </w:pPr>
            <w:r>
              <w:rPr>
                <w:sz w:val="18"/>
              </w:rPr>
              <w:t>Giảm loss-line rate và cải thiện total profit</w:t>
            </w:r>
          </w:p>
        </w:tc>
        <w:tc>
          <w:tcPr>
            <w:tcW w:type="dxa" w:w="1417"/>
          </w:tcPr>
          <w:p>
            <w:pPr>
              <w:jc w:val="left"/>
            </w:pPr>
            <w:r>
              <w:rPr>
                <w:sz w:val="18"/>
              </w:rPr>
              <w:t>Không có COGS/freight nên không chứng minh nhân quả đầy đủ</w:t>
            </w:r>
          </w:p>
        </w:tc>
      </w:tr>
      <w:tr>
        <w:tc>
          <w:tcPr>
            <w:tcW w:type="dxa" w:w="1417"/>
          </w:tcPr>
          <w:p>
            <w:pPr>
              <w:jc w:val="right"/>
            </w:pPr>
            <w:r>
              <w:rPr>
                <w:sz w:val="18"/>
              </w:rPr>
              <w:t>2</w:t>
            </w:r>
          </w:p>
        </w:tc>
        <w:tc>
          <w:tcPr>
            <w:tcW w:type="dxa" w:w="1417"/>
          </w:tcPr>
          <w:p>
            <w:pPr>
              <w:jc w:val="left"/>
            </w:pPr>
            <w:r>
              <w:rPr>
                <w:sz w:val="18"/>
              </w:rPr>
              <w:t>Tables và Bookcases (sub-category)</w:t>
            </w:r>
          </w:p>
        </w:tc>
        <w:tc>
          <w:tcPr>
            <w:tcW w:type="dxa" w:w="1417"/>
          </w:tcPr>
          <w:p>
            <w:pPr>
              <w:jc w:val="right"/>
            </w:pPr>
            <w:r>
              <w:rPr>
                <w:sz w:val="18"/>
              </w:rPr>
              <w:t>Tables $-17.725,48 (biên -8,56%); Bookcases $-3.472,56 (biên -3,02%)</w:t>
            </w:r>
          </w:p>
        </w:tc>
        <w:tc>
          <w:tcPr>
            <w:tcW w:type="dxa" w:w="1417"/>
          </w:tcPr>
          <w:p>
            <w:pPr>
              <w:jc w:val="left"/>
            </w:pPr>
            <w:r>
              <w:rPr>
                <w:sz w:val="18"/>
              </w:rPr>
              <w:t>Review pricing, promotion và state exposure trước khi scale doanh thu. Ưu tiên sửa chữa top 10 sản phẩm lỗ lớn nhất.</w:t>
            </w:r>
          </w:p>
        </w:tc>
        <w:tc>
          <w:tcPr>
            <w:tcW w:type="dxa" w:w="1417"/>
          </w:tcPr>
          <w:p>
            <w:pPr>
              <w:jc w:val="left"/>
            </w:pPr>
            <w:r>
              <w:rPr>
                <w:sz w:val="18"/>
              </w:rPr>
              <w:t>Profit margin theo sub-category và top loss products</w:t>
            </w:r>
          </w:p>
        </w:tc>
        <w:tc>
          <w:tcPr>
            <w:tcW w:type="dxa" w:w="1417"/>
          </w:tcPr>
          <w:p>
            <w:pPr>
              <w:jc w:val="left"/>
            </w:pPr>
            <w:r>
              <w:rPr>
                <w:sz w:val="18"/>
              </w:rPr>
              <w:t>Cần thêm cost detail để tách giá vốn và phí fulfillment</w:t>
            </w:r>
          </w:p>
        </w:tc>
      </w:tr>
      <w:tr>
        <w:tc>
          <w:tcPr>
            <w:tcW w:type="dxa" w:w="1417"/>
          </w:tcPr>
          <w:p>
            <w:pPr>
              <w:jc w:val="right"/>
            </w:pPr>
            <w:r>
              <w:rPr>
                <w:sz w:val="18"/>
              </w:rPr>
              <w:t>3</w:t>
            </w:r>
          </w:p>
        </w:tc>
        <w:tc>
          <w:tcPr>
            <w:tcW w:type="dxa" w:w="1417"/>
          </w:tcPr>
          <w:p>
            <w:pPr>
              <w:jc w:val="left"/>
            </w:pPr>
            <w:r>
              <w:rPr>
                <w:sz w:val="18"/>
              </w:rPr>
              <w:t>Central và các bang ưu tiên: Texas, Illinois, Pennsylvania, Ohio</w:t>
            </w:r>
          </w:p>
        </w:tc>
        <w:tc>
          <w:tcPr>
            <w:tcW w:type="dxa" w:w="1417"/>
          </w:tcPr>
          <w:p>
            <w:pPr>
              <w:jc w:val="right"/>
            </w:pPr>
            <w:r>
              <w:rPr>
                <w:sz w:val="18"/>
              </w:rPr>
              <w:t>Central profit $-2.871,05; mean discount 29,74%. Texas lỗ $-10.436; Illinois lỗ $-9.076</w:t>
            </w:r>
          </w:p>
        </w:tc>
        <w:tc>
          <w:tcPr>
            <w:tcW w:type="dxa" w:w="1417"/>
          </w:tcPr>
          <w:p>
            <w:pPr>
              <w:jc w:val="left"/>
            </w:pPr>
            <w:r>
              <w:rPr>
                <w:sz w:val="18"/>
              </w:rPr>
              <w:t>Dừng blanket promotion tại điểm lỗ. Drill down theo product × discount. Áp dụng margin floor cho các bang priority 5.</w:t>
            </w:r>
          </w:p>
        </w:tc>
        <w:tc>
          <w:tcPr>
            <w:tcW w:type="dxa" w:w="1417"/>
          </w:tcPr>
          <w:p>
            <w:pPr>
              <w:jc w:val="left"/>
            </w:pPr>
            <w:r>
              <w:rPr>
                <w:sz w:val="18"/>
              </w:rPr>
              <w:t>State profit, discount exposure và loss-line rate</w:t>
            </w:r>
          </w:p>
        </w:tc>
        <w:tc>
          <w:tcPr>
            <w:tcW w:type="dxa" w:w="1417"/>
          </w:tcPr>
          <w:p>
            <w:pPr>
              <w:jc w:val="left"/>
            </w:pPr>
            <w:r>
              <w:rPr>
                <w:sz w:val="18"/>
              </w:rPr>
              <w:t>State priority score là worklist minh bạch, không phải statistical model</w:t>
            </w:r>
          </w:p>
        </w:tc>
      </w:tr>
      <w:tr>
        <w:tc>
          <w:tcPr>
            <w:tcW w:type="dxa" w:w="1417"/>
          </w:tcPr>
          <w:p>
            <w:pPr>
              <w:jc w:val="right"/>
            </w:pPr>
            <w:r>
              <w:rPr>
                <w:sz w:val="18"/>
              </w:rPr>
              <w:t>4</w:t>
            </w:r>
          </w:p>
        </w:tc>
        <w:tc>
          <w:tcPr>
            <w:tcW w:type="dxa" w:w="1417"/>
          </w:tcPr>
          <w:p>
            <w:pPr>
              <w:jc w:val="left"/>
            </w:pPr>
            <w:r>
              <w:rPr>
                <w:sz w:val="18"/>
              </w:rPr>
              <w:t>Chairs và Furnishings (sub-category lợi nhuận)</w:t>
            </w:r>
          </w:p>
        </w:tc>
        <w:tc>
          <w:tcPr>
            <w:tcW w:type="dxa" w:w="1417"/>
          </w:tcPr>
          <w:p>
            <w:pPr>
              <w:jc w:val="right"/>
            </w:pPr>
            <w:r>
              <w:rPr>
                <w:sz w:val="18"/>
              </w:rPr>
              <w:t>Chairs profit $26.590,17 (biên 8,10%); Furnishings margin 14,24%</w:t>
            </w:r>
          </w:p>
        </w:tc>
        <w:tc>
          <w:tcPr>
            <w:tcW w:type="dxa" w:w="1417"/>
          </w:tcPr>
          <w:p>
            <w:pPr>
              <w:jc w:val="left"/>
            </w:pPr>
            <w:r>
              <w:rPr>
                <w:sz w:val="18"/>
              </w:rPr>
              <w:t>Bảo vệ availability và test cross-sell có mục tiêu thay vì discount rộng. Scale Furnishings selectively.</w:t>
            </w:r>
          </w:p>
        </w:tc>
        <w:tc>
          <w:tcPr>
            <w:tcW w:type="dxa" w:w="1417"/>
          </w:tcPr>
          <w:p>
            <w:pPr>
              <w:jc w:val="left"/>
            </w:pPr>
            <w:r>
              <w:rPr>
                <w:sz w:val="18"/>
              </w:rPr>
              <w:t>Sales growth, profit growth và weighted margin</w:t>
            </w:r>
          </w:p>
        </w:tc>
        <w:tc>
          <w:tcPr>
            <w:tcW w:type="dxa" w:w="1417"/>
          </w:tcPr>
          <w:p>
            <w:pPr>
              <w:jc w:val="left"/>
            </w:pPr>
            <w:r>
              <w:rPr>
                <w:sz w:val="18"/>
              </w:rPr>
              <w:t>Không có tồn kho nên không kết luận được stockout</w:t>
            </w:r>
          </w:p>
        </w:tc>
      </w:tr>
      <w:tr>
        <w:tc>
          <w:tcPr>
            <w:tcW w:type="dxa" w:w="1417"/>
          </w:tcPr>
          <w:p>
            <w:pPr>
              <w:jc w:val="right"/>
            </w:pPr>
            <w:r>
              <w:rPr>
                <w:sz w:val="18"/>
              </w:rPr>
              <w:t>5</w:t>
            </w:r>
          </w:p>
        </w:tc>
        <w:tc>
          <w:tcPr>
            <w:tcW w:type="dxa" w:w="1417"/>
          </w:tcPr>
          <w:p>
            <w:pPr>
              <w:jc w:val="left"/>
            </w:pPr>
            <w:r>
              <w:rPr>
                <w:sz w:val="18"/>
              </w:rPr>
              <w:t>Repeat customers và segments</w:t>
            </w:r>
          </w:p>
        </w:tc>
        <w:tc>
          <w:tcPr>
            <w:tcW w:type="dxa" w:w="1417"/>
          </w:tcPr>
          <w:p>
            <w:pPr>
              <w:jc w:val="right"/>
            </w:pPr>
            <w:r>
              <w:rPr>
                <w:sz w:val="18"/>
              </w:rPr>
              <w:t>Repeat-order share 89,17%; repeat customers biên 3,16% vs mua 1 lần biên -2,32%</w:t>
            </w:r>
          </w:p>
        </w:tc>
        <w:tc>
          <w:tcPr>
            <w:tcW w:type="dxa" w:w="1417"/>
          </w:tcPr>
          <w:p>
            <w:pPr>
              <w:jc w:val="left"/>
            </w:pPr>
            <w:r>
              <w:rPr>
                <w:sz w:val="18"/>
              </w:rPr>
              <w:t>Ưu tiên offer có mục tiêu cho khách lặp lại/có lợi nhuận thay vì giảm giá đại trà. Cross-sell Furnishings cho khách Corporate biên cao.</w:t>
            </w:r>
          </w:p>
        </w:tc>
        <w:tc>
          <w:tcPr>
            <w:tcW w:type="dxa" w:w="1417"/>
          </w:tcPr>
          <w:p>
            <w:pPr>
              <w:jc w:val="left"/>
            </w:pPr>
            <w:r>
              <w:rPr>
                <w:sz w:val="18"/>
              </w:rPr>
              <w:t>Profit per order, AOV và customer margin</w:t>
            </w:r>
          </w:p>
        </w:tc>
        <w:tc>
          <w:tcPr>
            <w:tcW w:type="dxa" w:w="1417"/>
          </w:tcPr>
          <w:p>
            <w:pPr>
              <w:jc w:val="left"/>
            </w:pPr>
            <w:r>
              <w:rPr>
                <w:sz w:val="18"/>
              </w:rPr>
              <w:t>Chỉ là within-window behavior trong giai đoạn 2014-2017</w:t>
            </w:r>
          </w:p>
        </w:tc>
      </w:tr>
    </w:tbl>
    <w:p/>
    <w:p>
      <w:r>
        <w:rPr>
          <w:b/>
          <w:color w:val="1F497D"/>
          <w:sz w:val="22"/>
        </w:rPr>
        <w:t>Khuyến nghị #1: Discount ≥30% (toàn dataset)</w:t>
      </w:r>
    </w:p>
    <w:p>
      <w:pPr>
        <w:pStyle w:val="ListBullet"/>
      </w:pPr>
      <w:r>
        <w:rPr>
          <w:b/>
          <w:sz w:val="20"/>
        </w:rPr>
        <w:t xml:space="preserve">Scope: </w:t>
      </w:r>
      <w:r>
        <w:rPr>
          <w:sz w:val="20"/>
        </w:rPr>
        <w:t>Discount ≥30% (toàn dataset)</w:t>
      </w:r>
    </w:p>
    <w:p>
      <w:pPr>
        <w:pStyle w:val="ListBullet"/>
      </w:pPr>
      <w:r>
        <w:rPr>
          <w:b/>
          <w:sz w:val="20"/>
        </w:rPr>
        <w:t xml:space="preserve">Evidence: </w:t>
      </w:r>
      <w:r>
        <w:rPr>
          <w:sz w:val="20"/>
        </w:rPr>
        <w:t>Profit $-54.477,76; loss-line rate 97,23%; chiếm 26,30% doanh thu</w:t>
      </w:r>
    </w:p>
    <w:p>
      <w:pPr>
        <w:pStyle w:val="ListBullet"/>
      </w:pPr>
      <w:r>
        <w:rPr>
          <w:b/>
          <w:sz w:val="20"/>
        </w:rPr>
        <w:t xml:space="preserve">Action: </w:t>
      </w:r>
      <w:r>
        <w:rPr>
          <w:sz w:val="20"/>
        </w:rPr>
        <w:t>Yêu cầu review margin trước khi áp dụng giảm giá ≥30%. Chuyển từ công cụ bán hàng thường xuyên sang exception cần phê duyệt.</w:t>
      </w:r>
    </w:p>
    <w:p>
      <w:pPr>
        <w:pStyle w:val="ListBullet"/>
      </w:pPr>
      <w:r>
        <w:rPr>
          <w:b/>
          <w:sz w:val="20"/>
        </w:rPr>
        <w:t xml:space="preserve">KPI theo dõi: </w:t>
      </w:r>
      <w:r>
        <w:rPr>
          <w:sz w:val="20"/>
        </w:rPr>
        <w:t>Giảm loss-line rate và cải thiện total profit</w:t>
      </w:r>
    </w:p>
    <w:p>
      <w:pPr>
        <w:pStyle w:val="ListBullet"/>
      </w:pPr>
      <w:r>
        <w:rPr>
          <w:b/>
          <w:sz w:val="20"/>
        </w:rPr>
        <w:t xml:space="preserve">Hạn chế: </w:t>
      </w:r>
      <w:r>
        <w:rPr>
          <w:sz w:val="20"/>
        </w:rPr>
        <w:t>Không có COGS/freight nên không chứng minh nhân quả đầy đủ</w:t>
      </w:r>
    </w:p>
    <w:p/>
    <w:p>
      <w:r>
        <w:rPr>
          <w:b/>
          <w:color w:val="1F497D"/>
          <w:sz w:val="22"/>
        </w:rPr>
        <w:t>Khuyến nghị #2: Tables và Bookcases (sub-category)</w:t>
      </w:r>
    </w:p>
    <w:p>
      <w:pPr>
        <w:pStyle w:val="ListBullet"/>
      </w:pPr>
      <w:r>
        <w:rPr>
          <w:b/>
          <w:sz w:val="20"/>
        </w:rPr>
        <w:t xml:space="preserve">Scope: </w:t>
      </w:r>
      <w:r>
        <w:rPr>
          <w:sz w:val="20"/>
        </w:rPr>
        <w:t>Tables và Bookcases (sub-category)</w:t>
      </w:r>
    </w:p>
    <w:p>
      <w:pPr>
        <w:pStyle w:val="ListBullet"/>
      </w:pPr>
      <w:r>
        <w:rPr>
          <w:b/>
          <w:sz w:val="20"/>
        </w:rPr>
        <w:t xml:space="preserve">Evidence: </w:t>
      </w:r>
      <w:r>
        <w:rPr>
          <w:sz w:val="20"/>
        </w:rPr>
        <w:t>Tables $-17.725,48 (biên -8,56%); Bookcases $-3.472,56 (biên -3,02%)</w:t>
      </w:r>
    </w:p>
    <w:p>
      <w:pPr>
        <w:pStyle w:val="ListBullet"/>
      </w:pPr>
      <w:r>
        <w:rPr>
          <w:b/>
          <w:sz w:val="20"/>
        </w:rPr>
        <w:t xml:space="preserve">Action: </w:t>
      </w:r>
      <w:r>
        <w:rPr>
          <w:sz w:val="20"/>
        </w:rPr>
        <w:t>Review pricing, promotion và state exposure trước khi scale doanh thu. Ưu tiên sửa chữa top 10 sản phẩm lỗ lớn nhất.</w:t>
      </w:r>
    </w:p>
    <w:p>
      <w:pPr>
        <w:pStyle w:val="ListBullet"/>
      </w:pPr>
      <w:r>
        <w:rPr>
          <w:b/>
          <w:sz w:val="20"/>
        </w:rPr>
        <w:t xml:space="preserve">KPI theo dõi: </w:t>
      </w:r>
      <w:r>
        <w:rPr>
          <w:sz w:val="20"/>
        </w:rPr>
        <w:t>Profit margin theo sub-category và top loss products</w:t>
      </w:r>
    </w:p>
    <w:p>
      <w:pPr>
        <w:pStyle w:val="ListBullet"/>
      </w:pPr>
      <w:r>
        <w:rPr>
          <w:b/>
          <w:sz w:val="20"/>
        </w:rPr>
        <w:t xml:space="preserve">Hạn chế: </w:t>
      </w:r>
      <w:r>
        <w:rPr>
          <w:sz w:val="20"/>
        </w:rPr>
        <w:t>Cần thêm cost detail để tách giá vốn và phí fulfillment</w:t>
      </w:r>
    </w:p>
    <w:p/>
    <w:p>
      <w:r>
        <w:rPr>
          <w:b/>
          <w:color w:val="1F497D"/>
          <w:sz w:val="22"/>
        </w:rPr>
        <w:t>Khuyến nghị #3: Central và các bang ưu tiên: Texas, Illinois, Pennsylvania, Ohio</w:t>
      </w:r>
    </w:p>
    <w:p>
      <w:pPr>
        <w:pStyle w:val="ListBullet"/>
      </w:pPr>
      <w:r>
        <w:rPr>
          <w:b/>
          <w:sz w:val="20"/>
        </w:rPr>
        <w:t xml:space="preserve">Scope: </w:t>
      </w:r>
      <w:r>
        <w:rPr>
          <w:sz w:val="20"/>
        </w:rPr>
        <w:t>Central và các bang ưu tiên: Texas, Illinois, Pennsylvania, Ohio</w:t>
      </w:r>
    </w:p>
    <w:p>
      <w:pPr>
        <w:pStyle w:val="ListBullet"/>
      </w:pPr>
      <w:r>
        <w:rPr>
          <w:b/>
          <w:sz w:val="20"/>
        </w:rPr>
        <w:t xml:space="preserve">Evidence: </w:t>
      </w:r>
      <w:r>
        <w:rPr>
          <w:sz w:val="20"/>
        </w:rPr>
        <w:t>Central profit $-2.871,05; mean discount 29,74%. Texas lỗ $-10.436; Illinois lỗ $-9.076</w:t>
      </w:r>
    </w:p>
    <w:p>
      <w:pPr>
        <w:pStyle w:val="ListBullet"/>
      </w:pPr>
      <w:r>
        <w:rPr>
          <w:b/>
          <w:sz w:val="20"/>
        </w:rPr>
        <w:t xml:space="preserve">Action: </w:t>
      </w:r>
      <w:r>
        <w:rPr>
          <w:sz w:val="20"/>
        </w:rPr>
        <w:t>Dừng blanket promotion tại điểm lỗ. Drill down theo product × discount. Áp dụng margin floor cho các bang priority 5.</w:t>
      </w:r>
    </w:p>
    <w:p>
      <w:pPr>
        <w:pStyle w:val="ListBullet"/>
      </w:pPr>
      <w:r>
        <w:rPr>
          <w:b/>
          <w:sz w:val="20"/>
        </w:rPr>
        <w:t xml:space="preserve">KPI theo dõi: </w:t>
      </w:r>
      <w:r>
        <w:rPr>
          <w:sz w:val="20"/>
        </w:rPr>
        <w:t>State profit, discount exposure và loss-line rate</w:t>
      </w:r>
    </w:p>
    <w:p>
      <w:pPr>
        <w:pStyle w:val="ListBullet"/>
      </w:pPr>
      <w:r>
        <w:rPr>
          <w:b/>
          <w:sz w:val="20"/>
        </w:rPr>
        <w:t xml:space="preserve">Hạn chế: </w:t>
      </w:r>
      <w:r>
        <w:rPr>
          <w:sz w:val="20"/>
        </w:rPr>
        <w:t>State priority score là worklist minh bạch, không phải statistical model</w:t>
      </w:r>
    </w:p>
    <w:p/>
    <w:p>
      <w:r>
        <w:rPr>
          <w:b/>
          <w:color w:val="1F497D"/>
          <w:sz w:val="22"/>
        </w:rPr>
        <w:t>Khuyến nghị #4: Chairs và Furnishings (sub-category lợi nhuận)</w:t>
      </w:r>
    </w:p>
    <w:p>
      <w:pPr>
        <w:pStyle w:val="ListBullet"/>
      </w:pPr>
      <w:r>
        <w:rPr>
          <w:b/>
          <w:sz w:val="20"/>
        </w:rPr>
        <w:t xml:space="preserve">Scope: </w:t>
      </w:r>
      <w:r>
        <w:rPr>
          <w:sz w:val="20"/>
        </w:rPr>
        <w:t>Chairs và Furnishings (sub-category lợi nhuận)</w:t>
      </w:r>
    </w:p>
    <w:p>
      <w:pPr>
        <w:pStyle w:val="ListBullet"/>
      </w:pPr>
      <w:r>
        <w:rPr>
          <w:b/>
          <w:sz w:val="20"/>
        </w:rPr>
        <w:t xml:space="preserve">Evidence: </w:t>
      </w:r>
      <w:r>
        <w:rPr>
          <w:sz w:val="20"/>
        </w:rPr>
        <w:t>Chairs profit $26.590,17 (biên 8,10%); Furnishings margin 14,24%</w:t>
      </w:r>
    </w:p>
    <w:p>
      <w:pPr>
        <w:pStyle w:val="ListBullet"/>
      </w:pPr>
      <w:r>
        <w:rPr>
          <w:b/>
          <w:sz w:val="20"/>
        </w:rPr>
        <w:t xml:space="preserve">Action: </w:t>
      </w:r>
      <w:r>
        <w:rPr>
          <w:sz w:val="20"/>
        </w:rPr>
        <w:t>Bảo vệ availability và test cross-sell có mục tiêu thay vì discount rộng. Scale Furnishings selectively.</w:t>
      </w:r>
    </w:p>
    <w:p>
      <w:pPr>
        <w:pStyle w:val="ListBullet"/>
      </w:pPr>
      <w:r>
        <w:rPr>
          <w:b/>
          <w:sz w:val="20"/>
        </w:rPr>
        <w:t xml:space="preserve">KPI theo dõi: </w:t>
      </w:r>
      <w:r>
        <w:rPr>
          <w:sz w:val="20"/>
        </w:rPr>
        <w:t>Sales growth, profit growth và weighted margin</w:t>
      </w:r>
    </w:p>
    <w:p>
      <w:pPr>
        <w:pStyle w:val="ListBullet"/>
      </w:pPr>
      <w:r>
        <w:rPr>
          <w:b/>
          <w:sz w:val="20"/>
        </w:rPr>
        <w:t xml:space="preserve">Hạn chế: </w:t>
      </w:r>
      <w:r>
        <w:rPr>
          <w:sz w:val="20"/>
        </w:rPr>
        <w:t>Không có tồn kho nên không kết luận được stockout</w:t>
      </w:r>
    </w:p>
    <w:p/>
    <w:p>
      <w:r>
        <w:rPr>
          <w:b/>
          <w:color w:val="1F497D"/>
          <w:sz w:val="22"/>
        </w:rPr>
        <w:t>Khuyến nghị #5: Repeat customers và segments</w:t>
      </w:r>
    </w:p>
    <w:p>
      <w:pPr>
        <w:pStyle w:val="ListBullet"/>
      </w:pPr>
      <w:r>
        <w:rPr>
          <w:b/>
          <w:sz w:val="20"/>
        </w:rPr>
        <w:t xml:space="preserve">Scope: </w:t>
      </w:r>
      <w:r>
        <w:rPr>
          <w:sz w:val="20"/>
        </w:rPr>
        <w:t>Repeat customers và segments</w:t>
      </w:r>
    </w:p>
    <w:p>
      <w:pPr>
        <w:pStyle w:val="ListBullet"/>
      </w:pPr>
      <w:r>
        <w:rPr>
          <w:b/>
          <w:sz w:val="20"/>
        </w:rPr>
        <w:t xml:space="preserve">Evidence: </w:t>
      </w:r>
      <w:r>
        <w:rPr>
          <w:sz w:val="20"/>
        </w:rPr>
        <w:t>Repeat-order share 89,17%; repeat customers biên 3,16% vs mua 1 lần biên -2,32%</w:t>
      </w:r>
    </w:p>
    <w:p>
      <w:pPr>
        <w:pStyle w:val="ListBullet"/>
      </w:pPr>
      <w:r>
        <w:rPr>
          <w:b/>
          <w:sz w:val="20"/>
        </w:rPr>
        <w:t xml:space="preserve">Action: </w:t>
      </w:r>
      <w:r>
        <w:rPr>
          <w:sz w:val="20"/>
        </w:rPr>
        <w:t>Ưu tiên offer có mục tiêu cho khách lặp lại/có lợi nhuận thay vì giảm giá đại trà. Cross-sell Furnishings cho khách Corporate biên cao.</w:t>
      </w:r>
    </w:p>
    <w:p>
      <w:pPr>
        <w:pStyle w:val="ListBullet"/>
      </w:pPr>
      <w:r>
        <w:rPr>
          <w:b/>
          <w:sz w:val="20"/>
        </w:rPr>
        <w:t xml:space="preserve">KPI theo dõi: </w:t>
      </w:r>
      <w:r>
        <w:rPr>
          <w:sz w:val="20"/>
        </w:rPr>
        <w:t>Profit per order, AOV và customer margin</w:t>
      </w:r>
    </w:p>
    <w:p>
      <w:pPr>
        <w:pStyle w:val="ListBullet"/>
      </w:pPr>
      <w:r>
        <w:rPr>
          <w:b/>
          <w:sz w:val="20"/>
        </w:rPr>
        <w:t xml:space="preserve">Hạn chế: </w:t>
      </w:r>
      <w:r>
        <w:rPr>
          <w:sz w:val="20"/>
        </w:rPr>
        <w:t>Chỉ là within-window behavior trong giai đoạn 2014-2017</w:t>
      </w:r>
    </w:p>
    <w:p/>
    <w:p>
      <w:r>
        <w:br w:type="page"/>
      </w:r>
    </w:p>
    <w:p>
      <w:pPr>
        <w:pStyle w:val="Heading1"/>
      </w:pPr>
      <w:r>
        <w:t>VI. Tổng quan và kết luận</w:t>
      </w:r>
    </w:p>
    <w:p>
      <w:r>
        <w:t>Qua quá trình phân tích khám phá bộ dữ liệu bán hàng Furniture, nhóm rút ra các kết quả chính sau:</w:t>
      </w:r>
    </w:p>
    <w:p>
      <w:r>
        <w:rPr>
          <w:b/>
          <w:sz w:val="22"/>
        </w:rPr>
        <w:t xml:space="preserve">1. Doanh thu và lợi nhuận phân kỳ: </w:t>
      </w:r>
      <w:r>
        <w:rPr>
          <w:sz w:val="22"/>
        </w:rPr>
        <w:t>Doanh thu $741.999,80 nhưng lợi nhuận chỉ $18.451,27 (biên 2,49%), với 33,66% dòng lỗ. Chất lượng doanh số là vấn đề cấu trúc.</w:t>
      </w:r>
    </w:p>
    <w:p>
      <w:r>
        <w:rPr>
          <w:b/>
          <w:sz w:val="22"/>
        </w:rPr>
        <w:t xml:space="preserve">2. Sự không đồng bộ giữa các năm: </w:t>
      </w:r>
      <w:r>
        <w:rPr>
          <w:sz w:val="22"/>
        </w:rPr>
        <w:t>Doanh thu tăng 37% từ 2014-2017 nhưng lợi nhuận không tăng theo tỷ lệ. Năm 2017 doanh thu cao nhất nhưng lợi nhuận thấp nhất (1,40% biên).</w:t>
      </w:r>
    </w:p>
    <w:p>
      <w:r>
        <w:rPr>
          <w:b/>
          <w:sz w:val="22"/>
        </w:rPr>
        <w:t xml:space="preserve">3. Sub-category không cân bằng: </w:t>
      </w:r>
      <w:r>
        <w:rPr>
          <w:sz w:val="22"/>
        </w:rPr>
        <w:t>Chairs lợi nhuận +$26.590; Furnishings biên 14,24%; Tables lỗ -$17.725; Bookcases lỗ -$3.473. Chiến lược cần bảo vệ nhóm lợi nhuận và sửa nhóm lỗ.</w:t>
      </w:r>
    </w:p>
    <w:p>
      <w:r>
        <w:rPr>
          <w:b/>
          <w:sz w:val="22"/>
        </w:rPr>
        <w:t xml:space="preserve">4. Discount là yếu tố rủi ro chính: </w:t>
      </w:r>
      <w:r>
        <w:rPr>
          <w:sz w:val="22"/>
        </w:rPr>
        <w:t>Discount 0% biên 22,71%; discount ≥30% biên -45,76% và 100% lỗ. Nhóm discount ≥30% chiếm 26,30% doanh thu nhưng lỗ $-54.477,76.</w:t>
      </w:r>
    </w:p>
    <w:p>
      <w:r>
        <w:rPr>
          <w:b/>
          <w:sz w:val="22"/>
        </w:rPr>
        <w:t xml:space="preserve">5. Rủi ro địa lý tập trung: </w:t>
      </w:r>
      <w:r>
        <w:rPr>
          <w:sz w:val="22"/>
        </w:rPr>
        <w:t>Central lỗ $-2.871 với discount trung bình 29,74%. Texas (-$10.436), Illinois (-$9.076), Pennsylvania (-$7.197) là điểm nóng. West và South là vùng lợi nhuận mạnh.</w:t>
      </w:r>
    </w:p>
    <w:p>
      <w:r>
        <w:rPr>
          <w:b/>
          <w:sz w:val="22"/>
        </w:rPr>
        <w:t xml:space="preserve">6. Repeat customers là tài sản: </w:t>
      </w:r>
      <w:r>
        <w:rPr>
          <w:sz w:val="22"/>
        </w:rPr>
        <w:t>89,17% đơn hàng đến từ khách lặp lại, biên dương 3,16%. Khách mua 1 lần có biên âm (-2,32%). Retention quan trọng hơn acquisition.</w:t>
      </w:r>
    </w:p>
    <w:p/>
    <w:p>
      <w:pPr/>
      <w:r>
        <w:rPr>
          <w:b/>
          <w:sz w:val="22"/>
        </w:rPr>
        <w:t xml:space="preserve">Narrative tổng kết: </w:t>
      </w:r>
      <w:r>
        <w:rPr>
          <w:sz w:val="22"/>
        </w:rPr>
        <w:t>Doanh thu Furniture tăng trưởng trong giai đoạn quan sát, nhưng lợi nhuận không scale theo doanh thu. Vấn đề quản trị trung tâm không phải là tạo cầu (demand generation) mà là chất lượng lợi nhuận (profit quality). Tables và Bookcases, các giao dịch discount cao, và một số bang doanh thu lớn là nguồn lỗ chính. Chairs và Furnishings cung cấp con đường đáng tin cậy nhất cho tăng trưởng có lợi nhuận, trong khi discount ≥30% nên được coi là exception kiểm soát biên chứ không phải đòn bẩy thường xuyên.</w:t>
      </w:r>
    </w:p>
    <w:p/>
    <w:p>
      <w:r>
        <w:t>Những phát hiện này cung cấp cơ sở rõ ràng để hướng dẫn các quyết định chiến lược về sản phẩm, giá cả, và khuyến mại trong danh mục Furniture, nhằm mục tiêu tăng doanh thu bền vững mà không hy sinh lợi nhuận.</w:t>
      </w:r>
    </w:p>
    <w:p>
      <w:r>
        <w:br w:type="page"/>
      </w:r>
    </w:p>
    <w:p>
      <w:pPr>
        <w:pStyle w:val="Heading1"/>
      </w:pPr>
      <w:r>
        <w:t>VII. Phụ lục</w:t>
      </w:r>
    </w:p>
    <w:p>
      <w:pPr>
        <w:pStyle w:val="Heading2"/>
      </w:pPr>
      <w:r>
        <w:t>7.1. Danh sách biến phái sinh (derived fields)</w:t>
      </w:r>
    </w:p>
    <w:tbl>
      <w:tblPr>
        <w:tblStyle w:val="LightGrid-Accent1"/>
        <w:tblW w:type="auto" w:w="0"/>
        <w:jc w:val="center"/>
        <w:tblLook w:firstColumn="1" w:firstRow="1" w:lastColumn="0" w:lastRow="0" w:noHBand="0" w:noVBand="1" w:val="04A0"/>
      </w:tblPr>
      <w:tblGrid>
        <w:gridCol w:w="2835"/>
        <w:gridCol w:w="2835"/>
        <w:gridCol w:w="2835"/>
      </w:tblGrid>
      <w:tr>
        <w:tc>
          <w:tcPr>
            <w:tcW w:type="dxa" w:w="2835"/>
          </w:tcPr>
          <w:p>
            <w:pPr>
              <w:jc w:val="center"/>
            </w:pPr>
            <w:r>
              <w:rPr>
                <w:b/>
                <w:sz w:val="20"/>
              </w:rPr>
              <w:t>Trường mới</w:t>
            </w:r>
          </w:p>
        </w:tc>
        <w:tc>
          <w:tcPr>
            <w:tcW w:type="dxa" w:w="2835"/>
          </w:tcPr>
          <w:p>
            <w:pPr>
              <w:jc w:val="center"/>
            </w:pPr>
            <w:r>
              <w:rPr>
                <w:b/>
                <w:sz w:val="20"/>
              </w:rPr>
              <w:t>Định nghĩa</w:t>
            </w:r>
          </w:p>
        </w:tc>
        <w:tc>
          <w:tcPr>
            <w:tcW w:type="dxa" w:w="2835"/>
          </w:tcPr>
          <w:p>
            <w:pPr>
              <w:jc w:val="center"/>
            </w:pPr>
            <w:r>
              <w:rPr>
                <w:b/>
                <w:sz w:val="20"/>
              </w:rPr>
              <w:t>Loại</w:t>
            </w:r>
          </w:p>
        </w:tc>
      </w:tr>
      <w:tr>
        <w:tc>
          <w:tcPr>
            <w:tcW w:type="dxa" w:w="2835"/>
          </w:tcPr>
          <w:p>
            <w:pPr>
              <w:jc w:val="left"/>
            </w:pPr>
            <w:r>
              <w:rPr>
                <w:sz w:val="18"/>
              </w:rPr>
              <w:t>order_year</w:t>
            </w:r>
          </w:p>
        </w:tc>
        <w:tc>
          <w:tcPr>
            <w:tcW w:type="dxa" w:w="2835"/>
          </w:tcPr>
          <w:p>
            <w:pPr>
              <w:jc w:val="left"/>
            </w:pPr>
            <w:r>
              <w:rPr>
                <w:sz w:val="18"/>
              </w:rPr>
              <w:t>Năm của Order Date</w:t>
            </w:r>
          </w:p>
        </w:tc>
        <w:tc>
          <w:tcPr>
            <w:tcW w:type="dxa" w:w="2835"/>
          </w:tcPr>
          <w:p>
            <w:pPr>
              <w:jc w:val="left"/>
            </w:pPr>
            <w:r>
              <w:rPr>
                <w:sz w:val="18"/>
              </w:rPr>
              <w:t>integer</w:t>
            </w:r>
          </w:p>
        </w:tc>
      </w:tr>
      <w:tr>
        <w:tc>
          <w:tcPr>
            <w:tcW w:type="dxa" w:w="2835"/>
          </w:tcPr>
          <w:p>
            <w:pPr>
              <w:jc w:val="left"/>
            </w:pPr>
            <w:r>
              <w:rPr>
                <w:sz w:val="18"/>
              </w:rPr>
              <w:t>order_quarter</w:t>
            </w:r>
          </w:p>
        </w:tc>
        <w:tc>
          <w:tcPr>
            <w:tcW w:type="dxa" w:w="2835"/>
          </w:tcPr>
          <w:p>
            <w:pPr>
              <w:jc w:val="left"/>
            </w:pPr>
            <w:r>
              <w:rPr>
                <w:sz w:val="18"/>
              </w:rPr>
              <w:t>Quý: YYYY-QN</w:t>
            </w:r>
          </w:p>
        </w:tc>
        <w:tc>
          <w:tcPr>
            <w:tcW w:type="dxa" w:w="2835"/>
          </w:tcPr>
          <w:p>
            <w:pPr>
              <w:jc w:val="left"/>
            </w:pPr>
            <w:r>
              <w:rPr>
                <w:sz w:val="18"/>
              </w:rPr>
              <w:t>string</w:t>
            </w:r>
          </w:p>
        </w:tc>
      </w:tr>
      <w:tr>
        <w:tc>
          <w:tcPr>
            <w:tcW w:type="dxa" w:w="2835"/>
          </w:tcPr>
          <w:p>
            <w:pPr>
              <w:jc w:val="left"/>
            </w:pPr>
            <w:r>
              <w:rPr>
                <w:sz w:val="18"/>
              </w:rPr>
              <w:t>order_month</w:t>
            </w:r>
          </w:p>
        </w:tc>
        <w:tc>
          <w:tcPr>
            <w:tcW w:type="dxa" w:w="2835"/>
          </w:tcPr>
          <w:p>
            <w:pPr>
              <w:jc w:val="left"/>
            </w:pPr>
            <w:r>
              <w:rPr>
                <w:sz w:val="18"/>
              </w:rPr>
              <w:t>Tháng bắt đầu</w:t>
            </w:r>
          </w:p>
        </w:tc>
        <w:tc>
          <w:tcPr>
            <w:tcW w:type="dxa" w:w="2835"/>
          </w:tcPr>
          <w:p>
            <w:pPr>
              <w:jc w:val="left"/>
            </w:pPr>
            <w:r>
              <w:rPr>
                <w:sz w:val="18"/>
              </w:rPr>
              <w:t>datetime</w:t>
            </w:r>
          </w:p>
        </w:tc>
      </w:tr>
      <w:tr>
        <w:tc>
          <w:tcPr>
            <w:tcW w:type="dxa" w:w="2835"/>
          </w:tcPr>
          <w:p>
            <w:pPr>
              <w:jc w:val="left"/>
            </w:pPr>
            <w:r>
              <w:rPr>
                <w:sz w:val="18"/>
              </w:rPr>
              <w:t>order_month_label</w:t>
            </w:r>
          </w:p>
        </w:tc>
        <w:tc>
          <w:tcPr>
            <w:tcW w:type="dxa" w:w="2835"/>
          </w:tcPr>
          <w:p>
            <w:pPr>
              <w:jc w:val="left"/>
            </w:pPr>
            <w:r>
              <w:rPr>
                <w:sz w:val="18"/>
              </w:rPr>
              <w:t>Label tháng: YYYY-MM</w:t>
            </w:r>
          </w:p>
        </w:tc>
        <w:tc>
          <w:tcPr>
            <w:tcW w:type="dxa" w:w="2835"/>
          </w:tcPr>
          <w:p>
            <w:pPr>
              <w:jc w:val="left"/>
            </w:pPr>
            <w:r>
              <w:rPr>
                <w:sz w:val="18"/>
              </w:rPr>
              <w:t>string</w:t>
            </w:r>
          </w:p>
        </w:tc>
      </w:tr>
      <w:tr>
        <w:tc>
          <w:tcPr>
            <w:tcW w:type="dxa" w:w="2835"/>
          </w:tcPr>
          <w:p>
            <w:pPr>
              <w:jc w:val="left"/>
            </w:pPr>
            <w:r>
              <w:rPr>
                <w:sz w:val="18"/>
              </w:rPr>
              <w:t>order_weekday</w:t>
            </w:r>
          </w:p>
        </w:tc>
        <w:tc>
          <w:tcPr>
            <w:tcW w:type="dxa" w:w="2835"/>
          </w:tcPr>
          <w:p>
            <w:pPr>
              <w:jc w:val="left"/>
            </w:pPr>
            <w:r>
              <w:rPr>
                <w:sz w:val="18"/>
              </w:rPr>
              <w:t>Ngày trong tuần</w:t>
            </w:r>
          </w:p>
        </w:tc>
        <w:tc>
          <w:tcPr>
            <w:tcW w:type="dxa" w:w="2835"/>
          </w:tcPr>
          <w:p>
            <w:pPr>
              <w:jc w:val="left"/>
            </w:pPr>
            <w:r>
              <w:rPr>
                <w:sz w:val="18"/>
              </w:rPr>
              <w:t>ordered category</w:t>
            </w:r>
          </w:p>
        </w:tc>
      </w:tr>
      <w:tr>
        <w:tc>
          <w:tcPr>
            <w:tcW w:type="dxa" w:w="2835"/>
          </w:tcPr>
          <w:p>
            <w:pPr>
              <w:jc w:val="left"/>
            </w:pPr>
            <w:r>
              <w:rPr>
                <w:sz w:val="18"/>
              </w:rPr>
              <w:t>shipping_days</w:t>
            </w:r>
          </w:p>
        </w:tc>
        <w:tc>
          <w:tcPr>
            <w:tcW w:type="dxa" w:w="2835"/>
          </w:tcPr>
          <w:p>
            <w:pPr>
              <w:jc w:val="left"/>
            </w:pPr>
            <w:r>
              <w:rPr>
                <w:sz w:val="18"/>
              </w:rPr>
              <w:t>Số ngày giao hàng = Ship Date − Order Date</w:t>
            </w:r>
          </w:p>
        </w:tc>
        <w:tc>
          <w:tcPr>
            <w:tcW w:type="dxa" w:w="2835"/>
          </w:tcPr>
          <w:p>
            <w:pPr>
              <w:jc w:val="left"/>
            </w:pPr>
            <w:r>
              <w:rPr>
                <w:sz w:val="18"/>
              </w:rPr>
              <w:t>integer</w:t>
            </w:r>
          </w:p>
        </w:tc>
      </w:tr>
      <w:tr>
        <w:tc>
          <w:tcPr>
            <w:tcW w:type="dxa" w:w="2835"/>
          </w:tcPr>
          <w:p>
            <w:pPr>
              <w:jc w:val="left"/>
            </w:pPr>
            <w:r>
              <w:rPr>
                <w:sz w:val="18"/>
              </w:rPr>
              <w:t>profit_margin</w:t>
            </w:r>
          </w:p>
        </w:tc>
        <w:tc>
          <w:tcPr>
            <w:tcW w:type="dxa" w:w="2835"/>
          </w:tcPr>
          <w:p>
            <w:pPr>
              <w:jc w:val="left"/>
            </w:pPr>
            <w:r>
              <w:rPr>
                <w:sz w:val="18"/>
              </w:rPr>
              <w:t>profit / sales (chỉ khi sales &gt; 0)</w:t>
            </w:r>
          </w:p>
        </w:tc>
        <w:tc>
          <w:tcPr>
            <w:tcW w:type="dxa" w:w="2835"/>
          </w:tcPr>
          <w:p>
            <w:pPr>
              <w:jc w:val="left"/>
            </w:pPr>
            <w:r>
              <w:rPr>
                <w:sz w:val="18"/>
              </w:rPr>
              <w:t>float</w:t>
            </w:r>
          </w:p>
        </w:tc>
      </w:tr>
      <w:tr>
        <w:tc>
          <w:tcPr>
            <w:tcW w:type="dxa" w:w="2835"/>
          </w:tcPr>
          <w:p>
            <w:pPr>
              <w:jc w:val="left"/>
            </w:pPr>
            <w:r>
              <w:rPr>
                <w:sz w:val="18"/>
              </w:rPr>
              <w:t>is_loss_line</w:t>
            </w:r>
          </w:p>
        </w:tc>
        <w:tc>
          <w:tcPr>
            <w:tcW w:type="dxa" w:w="2835"/>
          </w:tcPr>
          <w:p>
            <w:pPr>
              <w:jc w:val="left"/>
            </w:pPr>
            <w:r>
              <w:rPr>
                <w:sz w:val="18"/>
              </w:rPr>
              <w:t>True nếu profit &lt; 0</w:t>
            </w:r>
          </w:p>
        </w:tc>
        <w:tc>
          <w:tcPr>
            <w:tcW w:type="dxa" w:w="2835"/>
          </w:tcPr>
          <w:p>
            <w:pPr>
              <w:jc w:val="left"/>
            </w:pPr>
            <w:r>
              <w:rPr>
                <w:sz w:val="18"/>
              </w:rPr>
              <w:t>boolean</w:t>
            </w:r>
          </w:p>
        </w:tc>
      </w:tr>
      <w:tr>
        <w:tc>
          <w:tcPr>
            <w:tcW w:type="dxa" w:w="2835"/>
          </w:tcPr>
          <w:p>
            <w:pPr>
              <w:jc w:val="left"/>
            </w:pPr>
            <w:r>
              <w:rPr>
                <w:sz w:val="18"/>
              </w:rPr>
              <w:t>discount_pct</w:t>
            </w:r>
          </w:p>
        </w:tc>
        <w:tc>
          <w:tcPr>
            <w:tcW w:type="dxa" w:w="2835"/>
          </w:tcPr>
          <w:p>
            <w:pPr>
              <w:jc w:val="left"/>
            </w:pPr>
            <w:r>
              <w:rPr>
                <w:sz w:val="18"/>
              </w:rPr>
              <w:t>discount × 100</w:t>
            </w:r>
          </w:p>
        </w:tc>
        <w:tc>
          <w:tcPr>
            <w:tcW w:type="dxa" w:w="2835"/>
          </w:tcPr>
          <w:p>
            <w:pPr>
              <w:jc w:val="left"/>
            </w:pPr>
            <w:r>
              <w:rPr>
                <w:sz w:val="18"/>
              </w:rPr>
              <w:t>float</w:t>
            </w:r>
          </w:p>
        </w:tc>
      </w:tr>
      <w:tr>
        <w:tc>
          <w:tcPr>
            <w:tcW w:type="dxa" w:w="2835"/>
          </w:tcPr>
          <w:p>
            <w:pPr>
              <w:jc w:val="left"/>
            </w:pPr>
            <w:r>
              <w:rPr>
                <w:sz w:val="18"/>
              </w:rPr>
              <w:t>discount_band</w:t>
            </w:r>
          </w:p>
        </w:tc>
        <w:tc>
          <w:tcPr>
            <w:tcW w:type="dxa" w:w="2835"/>
          </w:tcPr>
          <w:p>
            <w:pPr>
              <w:jc w:val="right"/>
            </w:pPr>
            <w:r>
              <w:rPr>
                <w:sz w:val="18"/>
              </w:rPr>
              <w:t>0% / 1-10% / 11-20% / 21-30% / &gt;30%</w:t>
            </w:r>
          </w:p>
        </w:tc>
        <w:tc>
          <w:tcPr>
            <w:tcW w:type="dxa" w:w="2835"/>
          </w:tcPr>
          <w:p>
            <w:pPr>
              <w:jc w:val="left"/>
            </w:pPr>
            <w:r>
              <w:rPr>
                <w:sz w:val="18"/>
              </w:rPr>
              <w:t>ordered category</w:t>
            </w:r>
          </w:p>
        </w:tc>
      </w:tr>
      <w:tr>
        <w:tc>
          <w:tcPr>
            <w:tcW w:type="dxa" w:w="2835"/>
          </w:tcPr>
          <w:p>
            <w:pPr>
              <w:jc w:val="left"/>
            </w:pPr>
            <w:r>
              <w:rPr>
                <w:sz w:val="18"/>
              </w:rPr>
              <w:t>sales_per_unit</w:t>
            </w:r>
          </w:p>
        </w:tc>
        <w:tc>
          <w:tcPr>
            <w:tcW w:type="dxa" w:w="2835"/>
          </w:tcPr>
          <w:p>
            <w:pPr>
              <w:jc w:val="left"/>
            </w:pPr>
            <w:r>
              <w:rPr>
                <w:sz w:val="18"/>
              </w:rPr>
              <w:t>sales / quantity</w:t>
            </w:r>
          </w:p>
        </w:tc>
        <w:tc>
          <w:tcPr>
            <w:tcW w:type="dxa" w:w="2835"/>
          </w:tcPr>
          <w:p>
            <w:pPr>
              <w:jc w:val="left"/>
            </w:pPr>
            <w:r>
              <w:rPr>
                <w:sz w:val="18"/>
              </w:rPr>
              <w:t>float</w:t>
            </w:r>
          </w:p>
        </w:tc>
      </w:tr>
      <w:tr>
        <w:tc>
          <w:tcPr>
            <w:tcW w:type="dxa" w:w="2835"/>
          </w:tcPr>
          <w:p>
            <w:pPr>
              <w:jc w:val="left"/>
            </w:pPr>
            <w:r>
              <w:rPr>
                <w:sz w:val="18"/>
              </w:rPr>
              <w:t>profit_per_unit</w:t>
            </w:r>
          </w:p>
        </w:tc>
        <w:tc>
          <w:tcPr>
            <w:tcW w:type="dxa" w:w="2835"/>
          </w:tcPr>
          <w:p>
            <w:pPr>
              <w:jc w:val="left"/>
            </w:pPr>
            <w:r>
              <w:rPr>
                <w:sz w:val="18"/>
              </w:rPr>
              <w:t>profit / quantity</w:t>
            </w:r>
          </w:p>
        </w:tc>
        <w:tc>
          <w:tcPr>
            <w:tcW w:type="dxa" w:w="2835"/>
          </w:tcPr>
          <w:p>
            <w:pPr>
              <w:jc w:val="left"/>
            </w:pPr>
            <w:r>
              <w:rPr>
                <w:sz w:val="18"/>
              </w:rPr>
              <w:t>float</w:t>
            </w:r>
          </w:p>
        </w:tc>
      </w:tr>
      <w:tr>
        <w:tc>
          <w:tcPr>
            <w:tcW w:type="dxa" w:w="2835"/>
          </w:tcPr>
          <w:p>
            <w:pPr>
              <w:jc w:val="left"/>
            </w:pPr>
            <w:r>
              <w:rPr>
                <w:sz w:val="18"/>
              </w:rPr>
              <w:t>is_repeat_customer</w:t>
            </w:r>
          </w:p>
        </w:tc>
        <w:tc>
          <w:tcPr>
            <w:tcW w:type="dxa" w:w="2835"/>
          </w:tcPr>
          <w:p>
            <w:pPr>
              <w:jc w:val="left"/>
            </w:pPr>
            <w:r>
              <w:rPr>
                <w:sz w:val="18"/>
              </w:rPr>
              <w:t>True nếu khách có ≥ 2 đơn</w:t>
            </w:r>
          </w:p>
        </w:tc>
        <w:tc>
          <w:tcPr>
            <w:tcW w:type="dxa" w:w="2835"/>
          </w:tcPr>
          <w:p>
            <w:pPr>
              <w:jc w:val="left"/>
            </w:pPr>
            <w:r>
              <w:rPr>
                <w:sz w:val="18"/>
              </w:rPr>
              <w:t>boolean</w:t>
            </w:r>
          </w:p>
        </w:tc>
      </w:tr>
      <w:tr>
        <w:tc>
          <w:tcPr>
            <w:tcW w:type="dxa" w:w="2835"/>
          </w:tcPr>
          <w:p>
            <w:pPr>
              <w:jc w:val="left"/>
            </w:pPr>
            <w:r>
              <w:rPr>
                <w:sz w:val="18"/>
              </w:rPr>
              <w:t>customer_order_count</w:t>
            </w:r>
          </w:p>
        </w:tc>
        <w:tc>
          <w:tcPr>
            <w:tcW w:type="dxa" w:w="2835"/>
          </w:tcPr>
          <w:p>
            <w:pPr>
              <w:jc w:val="left"/>
            </w:pPr>
            <w:r>
              <w:rPr>
                <w:sz w:val="18"/>
              </w:rPr>
              <w:t>nunique(Order ID) theo Customer ID</w:t>
            </w:r>
          </w:p>
        </w:tc>
        <w:tc>
          <w:tcPr>
            <w:tcW w:type="dxa" w:w="2835"/>
          </w:tcPr>
          <w:p>
            <w:pPr>
              <w:jc w:val="left"/>
            </w:pPr>
            <w:r>
              <w:rPr>
                <w:sz w:val="18"/>
              </w:rPr>
              <w:t>integer</w:t>
            </w:r>
          </w:p>
        </w:tc>
      </w:tr>
      <w:tr>
        <w:tc>
          <w:tcPr>
            <w:tcW w:type="dxa" w:w="2835"/>
          </w:tcPr>
          <w:p>
            <w:pPr>
              <w:jc w:val="left"/>
            </w:pPr>
            <w:r>
              <w:rPr>
                <w:sz w:val="18"/>
              </w:rPr>
              <w:t>customer_sales</w:t>
            </w:r>
          </w:p>
        </w:tc>
        <w:tc>
          <w:tcPr>
            <w:tcW w:type="dxa" w:w="2835"/>
          </w:tcPr>
          <w:p>
            <w:pPr>
              <w:jc w:val="left"/>
            </w:pPr>
            <w:r>
              <w:rPr>
                <w:sz w:val="18"/>
              </w:rPr>
              <w:t>Tổng sales theo khách hàng</w:t>
            </w:r>
          </w:p>
        </w:tc>
        <w:tc>
          <w:tcPr>
            <w:tcW w:type="dxa" w:w="2835"/>
          </w:tcPr>
          <w:p>
            <w:pPr>
              <w:jc w:val="left"/>
            </w:pPr>
            <w:r>
              <w:rPr>
                <w:sz w:val="18"/>
              </w:rPr>
              <w:t>float</w:t>
            </w:r>
          </w:p>
        </w:tc>
      </w:tr>
      <w:tr>
        <w:tc>
          <w:tcPr>
            <w:tcW w:type="dxa" w:w="2835"/>
          </w:tcPr>
          <w:p>
            <w:pPr>
              <w:jc w:val="left"/>
            </w:pPr>
            <w:r>
              <w:rPr>
                <w:sz w:val="18"/>
              </w:rPr>
              <w:t>customer_profit</w:t>
            </w:r>
          </w:p>
        </w:tc>
        <w:tc>
          <w:tcPr>
            <w:tcW w:type="dxa" w:w="2835"/>
          </w:tcPr>
          <w:p>
            <w:pPr>
              <w:jc w:val="left"/>
            </w:pPr>
            <w:r>
              <w:rPr>
                <w:sz w:val="18"/>
              </w:rPr>
              <w:t>Tổng profit theo khách hàng</w:t>
            </w:r>
          </w:p>
        </w:tc>
        <w:tc>
          <w:tcPr>
            <w:tcW w:type="dxa" w:w="2835"/>
          </w:tcPr>
          <w:p>
            <w:pPr>
              <w:jc w:val="left"/>
            </w:pPr>
            <w:r>
              <w:rPr>
                <w:sz w:val="18"/>
              </w:rPr>
              <w:t>float</w:t>
            </w:r>
          </w:p>
        </w:tc>
      </w:tr>
      <w:tr>
        <w:tc>
          <w:tcPr>
            <w:tcW w:type="dxa" w:w="2835"/>
          </w:tcPr>
          <w:p>
            <w:pPr>
              <w:jc w:val="left"/>
            </w:pPr>
            <w:r>
              <w:rPr>
                <w:sz w:val="18"/>
              </w:rPr>
              <w:t>customer_recency_days</w:t>
            </w:r>
          </w:p>
        </w:tc>
        <w:tc>
          <w:tcPr>
            <w:tcW w:type="dxa" w:w="2835"/>
          </w:tcPr>
          <w:p>
            <w:pPr>
              <w:jc w:val="left"/>
            </w:pPr>
            <w:r>
              <w:rPr>
                <w:sz w:val="18"/>
              </w:rPr>
              <w:t>Ngày kể từ đơn hàng cuối đến cutoff</w:t>
            </w:r>
          </w:p>
        </w:tc>
        <w:tc>
          <w:tcPr>
            <w:tcW w:type="dxa" w:w="2835"/>
          </w:tcPr>
          <w:p>
            <w:pPr>
              <w:jc w:val="left"/>
            </w:pPr>
            <w:r>
              <w:rPr>
                <w:sz w:val="18"/>
              </w:rPr>
              <w:t>integer</w:t>
            </w:r>
          </w:p>
        </w:tc>
      </w:tr>
    </w:tbl>
    <w:p/>
    <w:p>
      <w:pPr>
        <w:pStyle w:val="Heading2"/>
      </w:pPr>
      <w:r>
        <w:t>7.2. Discount bands — định nghĩa chính thức</w:t>
      </w:r>
    </w:p>
    <w:tbl>
      <w:tblPr>
        <w:tblStyle w:val="LightGrid-Accent1"/>
        <w:tblW w:type="auto" w:w="0"/>
        <w:jc w:val="center"/>
        <w:tblLook w:firstColumn="1" w:firstRow="1" w:lastColumn="0" w:lastRow="0" w:noHBand="0" w:noVBand="1" w:val="04A0"/>
      </w:tblPr>
      <w:tblGrid>
        <w:gridCol w:w="2835"/>
        <w:gridCol w:w="2835"/>
        <w:gridCol w:w="2835"/>
      </w:tblGrid>
      <w:tr>
        <w:tc>
          <w:tcPr>
            <w:tcW w:type="dxa" w:w="2835"/>
          </w:tcPr>
          <w:p>
            <w:pPr>
              <w:jc w:val="center"/>
            </w:pPr>
            <w:r>
              <w:rPr>
                <w:b/>
                <w:sz w:val="20"/>
              </w:rPr>
              <w:t>Label</w:t>
            </w:r>
          </w:p>
        </w:tc>
        <w:tc>
          <w:tcPr>
            <w:tcW w:type="dxa" w:w="2835"/>
          </w:tcPr>
          <w:p>
            <w:pPr>
              <w:jc w:val="center"/>
            </w:pPr>
            <w:r>
              <w:rPr>
                <w:b/>
                <w:sz w:val="20"/>
              </w:rPr>
              <w:t>Cận dưới (inclusive)</w:t>
            </w:r>
          </w:p>
        </w:tc>
        <w:tc>
          <w:tcPr>
            <w:tcW w:type="dxa" w:w="2835"/>
          </w:tcPr>
          <w:p>
            <w:pPr>
              <w:jc w:val="center"/>
            </w:pPr>
            <w:r>
              <w:rPr>
                <w:b/>
                <w:sz w:val="20"/>
              </w:rPr>
              <w:t>Cận trên (inclusive)</w:t>
            </w:r>
          </w:p>
        </w:tc>
      </w:tr>
      <w:tr>
        <w:tc>
          <w:tcPr>
            <w:tcW w:type="dxa" w:w="2835"/>
          </w:tcPr>
          <w:p>
            <w:pPr>
              <w:jc w:val="right"/>
            </w:pPr>
            <w:r>
              <w:rPr>
                <w:sz w:val="18"/>
              </w:rPr>
              <w:t>0%</w:t>
            </w:r>
          </w:p>
        </w:tc>
        <w:tc>
          <w:tcPr>
            <w:tcW w:type="dxa" w:w="2835"/>
          </w:tcPr>
          <w:p>
            <w:pPr>
              <w:jc w:val="right"/>
            </w:pPr>
            <w:r>
              <w:rPr>
                <w:sz w:val="18"/>
              </w:rPr>
              <w:t>0,00</w:t>
            </w:r>
          </w:p>
        </w:tc>
        <w:tc>
          <w:tcPr>
            <w:tcW w:type="dxa" w:w="2835"/>
          </w:tcPr>
          <w:p>
            <w:pPr>
              <w:jc w:val="right"/>
            </w:pPr>
            <w:r>
              <w:rPr>
                <w:sz w:val="18"/>
              </w:rPr>
              <w:t>0,00</w:t>
            </w:r>
          </w:p>
        </w:tc>
      </w:tr>
      <w:tr>
        <w:tc>
          <w:tcPr>
            <w:tcW w:type="dxa" w:w="2835"/>
          </w:tcPr>
          <w:p>
            <w:pPr>
              <w:jc w:val="right"/>
            </w:pPr>
            <w:r>
              <w:rPr>
                <w:sz w:val="18"/>
              </w:rPr>
              <w:t>1-10%</w:t>
            </w:r>
          </w:p>
        </w:tc>
        <w:tc>
          <w:tcPr>
            <w:tcW w:type="dxa" w:w="2835"/>
          </w:tcPr>
          <w:p>
            <w:pPr>
              <w:jc w:val="left"/>
            </w:pPr>
            <w:r>
              <w:rPr>
                <w:sz w:val="18"/>
              </w:rPr>
              <w:t>&gt;0,00</w:t>
            </w:r>
          </w:p>
        </w:tc>
        <w:tc>
          <w:tcPr>
            <w:tcW w:type="dxa" w:w="2835"/>
          </w:tcPr>
          <w:p>
            <w:pPr>
              <w:jc w:val="right"/>
            </w:pPr>
            <w:r>
              <w:rPr>
                <w:sz w:val="18"/>
              </w:rPr>
              <w:t>0,10</w:t>
            </w:r>
          </w:p>
        </w:tc>
      </w:tr>
      <w:tr>
        <w:tc>
          <w:tcPr>
            <w:tcW w:type="dxa" w:w="2835"/>
          </w:tcPr>
          <w:p>
            <w:pPr>
              <w:jc w:val="right"/>
            </w:pPr>
            <w:r>
              <w:rPr>
                <w:sz w:val="18"/>
              </w:rPr>
              <w:t>11-20%</w:t>
            </w:r>
          </w:p>
        </w:tc>
        <w:tc>
          <w:tcPr>
            <w:tcW w:type="dxa" w:w="2835"/>
          </w:tcPr>
          <w:p>
            <w:pPr>
              <w:jc w:val="left"/>
            </w:pPr>
            <w:r>
              <w:rPr>
                <w:sz w:val="18"/>
              </w:rPr>
              <w:t>&gt;0,10</w:t>
            </w:r>
          </w:p>
        </w:tc>
        <w:tc>
          <w:tcPr>
            <w:tcW w:type="dxa" w:w="2835"/>
          </w:tcPr>
          <w:p>
            <w:pPr>
              <w:jc w:val="right"/>
            </w:pPr>
            <w:r>
              <w:rPr>
                <w:sz w:val="18"/>
              </w:rPr>
              <w:t>0,20</w:t>
            </w:r>
          </w:p>
        </w:tc>
      </w:tr>
      <w:tr>
        <w:tc>
          <w:tcPr>
            <w:tcW w:type="dxa" w:w="2835"/>
          </w:tcPr>
          <w:p>
            <w:pPr>
              <w:jc w:val="right"/>
            </w:pPr>
            <w:r>
              <w:rPr>
                <w:sz w:val="18"/>
              </w:rPr>
              <w:t>21-30%</w:t>
            </w:r>
          </w:p>
        </w:tc>
        <w:tc>
          <w:tcPr>
            <w:tcW w:type="dxa" w:w="2835"/>
          </w:tcPr>
          <w:p>
            <w:pPr>
              <w:jc w:val="left"/>
            </w:pPr>
            <w:r>
              <w:rPr>
                <w:sz w:val="18"/>
              </w:rPr>
              <w:t>&gt;0,20</w:t>
            </w:r>
          </w:p>
        </w:tc>
        <w:tc>
          <w:tcPr>
            <w:tcW w:type="dxa" w:w="2835"/>
          </w:tcPr>
          <w:p>
            <w:pPr>
              <w:jc w:val="right"/>
            </w:pPr>
            <w:r>
              <w:rPr>
                <w:sz w:val="18"/>
              </w:rPr>
              <w:t>0,30</w:t>
            </w:r>
          </w:p>
        </w:tc>
      </w:tr>
      <w:tr>
        <w:tc>
          <w:tcPr>
            <w:tcW w:type="dxa" w:w="2835"/>
          </w:tcPr>
          <w:p>
            <w:pPr>
              <w:jc w:val="right"/>
            </w:pPr>
            <w:r>
              <w:rPr>
                <w:sz w:val="18"/>
              </w:rPr>
              <w:t>&gt;30%</w:t>
            </w:r>
          </w:p>
        </w:tc>
        <w:tc>
          <w:tcPr>
            <w:tcW w:type="dxa" w:w="2835"/>
          </w:tcPr>
          <w:p>
            <w:pPr>
              <w:jc w:val="left"/>
            </w:pPr>
            <w:r>
              <w:rPr>
                <w:sz w:val="18"/>
              </w:rPr>
              <w:t>&gt;0,30</w:t>
            </w:r>
          </w:p>
        </w:tc>
        <w:tc>
          <w:tcPr>
            <w:tcW w:type="dxa" w:w="2835"/>
          </w:tcPr>
          <w:p>
            <w:pPr>
              <w:jc w:val="right"/>
            </w:pPr>
            <w:r>
              <w:rPr>
                <w:sz w:val="18"/>
              </w:rPr>
              <w:t>1,00</w:t>
            </w:r>
          </w:p>
        </w:tc>
      </w:tr>
    </w:tbl>
    <w:p/>
    <w:p>
      <w:pPr>
        <w:pStyle w:val="Heading2"/>
      </w:pPr>
      <w:r>
        <w:t>7.3. State priority score — công thức</w:t>
      </w:r>
    </w:p>
    <w:p>
      <w:r>
        <w:t>Priority score là triage mechanism minh bạch, không phải statistical model:</w:t>
      </w:r>
    </w:p>
    <w:p>
      <w:pPr>
        <w:pStyle w:val="ListBullet"/>
      </w:pPr>
      <w:r>
        <w:t>+1 điểm nếu tổng profit &lt; 0</w:t>
      </w:r>
    </w:p>
    <w:p>
      <w:pPr>
        <w:pStyle w:val="ListBullet"/>
      </w:pPr>
      <w:r>
        <w:t>+1 điểm nếu doanh thu &gt; median doanh thu các state</w:t>
      </w:r>
    </w:p>
    <w:p>
      <w:pPr>
        <w:pStyle w:val="ListBullet"/>
      </w:pPr>
      <w:r>
        <w:t>+1 điểm nếu mean discount &gt; 20%</w:t>
      </w:r>
    </w:p>
    <w:p>
      <w:pPr>
        <w:pStyle w:val="ListBullet"/>
      </w:pPr>
      <w:r>
        <w:t>+1 điểm nếu loss-line rate &gt; 50%</w:t>
      </w:r>
    </w:p>
    <w:p>
      <w:pPr>
        <w:pStyle w:val="ListBullet"/>
      </w:pPr>
      <w:r>
        <w:t>+1 điểm nếu absolute loss &gt; $2.000</w:t>
      </w:r>
    </w:p>
    <w:p/>
    <w:p>
      <w:pPr>
        <w:pStyle w:val="Heading2"/>
      </w:pPr>
      <w:r>
        <w:t>7.4. Product classification matrix</w:t>
      </w:r>
    </w:p>
    <w:tbl>
      <w:tblPr>
        <w:tblStyle w:val="LightGrid-Accent1"/>
        <w:tblW w:type="auto" w:w="0"/>
        <w:jc w:val="center"/>
        <w:tblLook w:firstColumn="1" w:firstRow="1" w:lastColumn="0" w:lastRow="0" w:noHBand="0" w:noVBand="1" w:val="04A0"/>
      </w:tblPr>
      <w:tblGrid>
        <w:gridCol w:w="2835"/>
        <w:gridCol w:w="2835"/>
        <w:gridCol w:w="2835"/>
      </w:tblGrid>
      <w:tr>
        <w:tc>
          <w:tcPr>
            <w:tcW w:type="dxa" w:w="2835"/>
          </w:tcPr>
          <w:p>
            <w:pPr>
              <w:jc w:val="center"/>
            </w:pPr>
            <w:r>
              <w:rPr>
                <w:b/>
                <w:sz w:val="20"/>
              </w:rPr>
              <w:t>Phân loại</w:t>
            </w:r>
          </w:p>
        </w:tc>
        <w:tc>
          <w:tcPr>
            <w:tcW w:type="dxa" w:w="2835"/>
          </w:tcPr>
          <w:p>
            <w:pPr>
              <w:jc w:val="center"/>
            </w:pPr>
            <w:r>
              <w:rPr>
                <w:b/>
                <w:sz w:val="20"/>
              </w:rPr>
              <w:t>Quy tắc</w:t>
            </w:r>
          </w:p>
        </w:tc>
        <w:tc>
          <w:tcPr>
            <w:tcW w:type="dxa" w:w="2835"/>
          </w:tcPr>
          <w:p>
            <w:pPr>
              <w:jc w:val="center"/>
            </w:pPr>
            <w:r>
              <w:rPr>
                <w:b/>
                <w:sz w:val="20"/>
              </w:rPr>
              <w:t>Hành động đề xuất</w:t>
            </w:r>
          </w:p>
        </w:tc>
      </w:tr>
      <w:tr>
        <w:tc>
          <w:tcPr>
            <w:tcW w:type="dxa" w:w="2835"/>
          </w:tcPr>
          <w:p>
            <w:pPr>
              <w:jc w:val="left"/>
            </w:pPr>
            <w:r>
              <w:rPr>
                <w:sz w:val="18"/>
              </w:rPr>
              <w:t>Grow</w:t>
            </w:r>
          </w:p>
        </w:tc>
        <w:tc>
          <w:tcPr>
            <w:tcW w:type="dxa" w:w="2835"/>
          </w:tcPr>
          <w:p>
            <w:pPr>
              <w:jc w:val="left"/>
            </w:pPr>
            <w:r>
              <w:rPr>
                <w:sz w:val="18"/>
              </w:rPr>
              <w:t>Doanh thu cao, profit dương, biên chấp nhận được</w:t>
            </w:r>
          </w:p>
        </w:tc>
        <w:tc>
          <w:tcPr>
            <w:tcW w:type="dxa" w:w="2835"/>
          </w:tcPr>
          <w:p>
            <w:pPr>
              <w:jc w:val="left"/>
            </w:pPr>
            <w:r>
              <w:rPr>
                <w:sz w:val="18"/>
              </w:rPr>
              <w:t>Bảo vệ availability, test tăng trưởng có mục tiêu</w:t>
            </w:r>
          </w:p>
        </w:tc>
      </w:tr>
      <w:tr>
        <w:tc>
          <w:tcPr>
            <w:tcW w:type="dxa" w:w="2835"/>
          </w:tcPr>
          <w:p>
            <w:pPr>
              <w:jc w:val="left"/>
            </w:pPr>
            <w:r>
              <w:rPr>
                <w:sz w:val="18"/>
              </w:rPr>
              <w:t>Repair</w:t>
            </w:r>
          </w:p>
        </w:tc>
        <w:tc>
          <w:tcPr>
            <w:tcW w:type="dxa" w:w="2835"/>
          </w:tcPr>
          <w:p>
            <w:pPr>
              <w:jc w:val="left"/>
            </w:pPr>
            <w:r>
              <w:rPr>
                <w:sz w:val="18"/>
              </w:rPr>
              <w:t>Doanh thu cao, profit thấp/âm</w:t>
            </w:r>
          </w:p>
        </w:tc>
        <w:tc>
          <w:tcPr>
            <w:tcW w:type="dxa" w:w="2835"/>
          </w:tcPr>
          <w:p>
            <w:pPr>
              <w:jc w:val="left"/>
            </w:pPr>
            <w:r>
              <w:rPr>
                <w:sz w:val="18"/>
              </w:rPr>
              <w:t>Review giá, discount, chi phí sản phẩm, state exposure</w:t>
            </w:r>
          </w:p>
        </w:tc>
      </w:tr>
      <w:tr>
        <w:tc>
          <w:tcPr>
            <w:tcW w:type="dxa" w:w="2835"/>
          </w:tcPr>
          <w:p>
            <w:pPr>
              <w:jc w:val="left"/>
            </w:pPr>
            <w:r>
              <w:rPr>
                <w:sz w:val="18"/>
              </w:rPr>
              <w:t>Scale Selectively</w:t>
            </w:r>
          </w:p>
        </w:tc>
        <w:tc>
          <w:tcPr>
            <w:tcW w:type="dxa" w:w="2835"/>
          </w:tcPr>
          <w:p>
            <w:pPr>
              <w:jc w:val="left"/>
            </w:pPr>
            <w:r>
              <w:rPr>
                <w:sz w:val="18"/>
              </w:rPr>
              <w:t>Doanh thu thấp/vừa, biên cao</w:t>
            </w:r>
          </w:p>
        </w:tc>
        <w:tc>
          <w:tcPr>
            <w:tcW w:type="dxa" w:w="2835"/>
          </w:tcPr>
          <w:p>
            <w:pPr>
              <w:jc w:val="left"/>
            </w:pPr>
            <w:r>
              <w:rPr>
                <w:sz w:val="18"/>
              </w:rPr>
              <w:t>Cải thiện discoverability, cross-sell</w:t>
            </w:r>
          </w:p>
        </w:tc>
      </w:tr>
      <w:tr>
        <w:tc>
          <w:tcPr>
            <w:tcW w:type="dxa" w:w="2835"/>
          </w:tcPr>
          <w:p>
            <w:pPr>
              <w:jc w:val="left"/>
            </w:pPr>
            <w:r>
              <w:rPr>
                <w:sz w:val="18"/>
              </w:rPr>
              <w:t>Rationalize</w:t>
            </w:r>
          </w:p>
        </w:tc>
        <w:tc>
          <w:tcPr>
            <w:tcW w:type="dxa" w:w="2835"/>
          </w:tcPr>
          <w:p>
            <w:pPr>
              <w:jc w:val="left"/>
            </w:pPr>
            <w:r>
              <w:rPr>
                <w:sz w:val="18"/>
              </w:rPr>
              <w:t>Doanh thu thấp, profit thấp/âm</w:t>
            </w:r>
          </w:p>
        </w:tc>
        <w:tc>
          <w:tcPr>
            <w:tcW w:type="dxa" w:w="2835"/>
          </w:tcPr>
          <w:p>
            <w:pPr>
              <w:jc w:val="left"/>
            </w:pPr>
            <w:r>
              <w:rPr>
                <w:sz w:val="18"/>
              </w:rPr>
              <w:t>Review giảm promotion, thay đổi giá, hoặc ngừng</w:t>
            </w:r>
          </w:p>
        </w:tc>
      </w:tr>
    </w:tbl>
    <w:p/>
    <w:p>
      <w:pPr>
        <w:pStyle w:val="Heading2"/>
      </w:pPr>
      <w:r>
        <w:t>7.5. Quarterly performance đầy đủ</w:t>
      </w:r>
    </w:p>
    <w:tbl>
      <w:tblPr>
        <w:tblStyle w:val="LightGrid-Accent1"/>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Pr>
                <w:b/>
                <w:sz w:val="20"/>
              </w:rPr>
              <w:t>Quý</w:t>
            </w:r>
          </w:p>
        </w:tc>
        <w:tc>
          <w:tcPr>
            <w:tcW w:type="dxa" w:w="1417"/>
          </w:tcPr>
          <w:p>
            <w:pPr>
              <w:jc w:val="center"/>
            </w:pPr>
            <w:r>
              <w:rPr>
                <w:b/>
                <w:sz w:val="20"/>
              </w:rPr>
              <w:t>Doanh thu</w:t>
            </w:r>
          </w:p>
        </w:tc>
        <w:tc>
          <w:tcPr>
            <w:tcW w:type="dxa" w:w="1417"/>
          </w:tcPr>
          <w:p>
            <w:pPr>
              <w:jc w:val="center"/>
            </w:pPr>
            <w:r>
              <w:rPr>
                <w:b/>
                <w:sz w:val="20"/>
              </w:rPr>
              <w:t>Lợi nhuận</w:t>
            </w:r>
          </w:p>
        </w:tc>
        <w:tc>
          <w:tcPr>
            <w:tcW w:type="dxa" w:w="1417"/>
          </w:tcPr>
          <w:p>
            <w:pPr>
              <w:jc w:val="center"/>
            </w:pPr>
            <w:r>
              <w:rPr>
                <w:b/>
                <w:sz w:val="20"/>
              </w:rPr>
              <w:t>Biên %</w:t>
            </w:r>
          </w:p>
        </w:tc>
        <w:tc>
          <w:tcPr>
            <w:tcW w:type="dxa" w:w="1417"/>
          </w:tcPr>
          <w:p>
            <w:pPr>
              <w:jc w:val="center"/>
            </w:pPr>
            <w:r>
              <w:rPr>
                <w:b/>
                <w:sz w:val="20"/>
              </w:rPr>
              <w:t>Tăng DT</w:t>
            </w:r>
          </w:p>
        </w:tc>
        <w:tc>
          <w:tcPr>
            <w:tcW w:type="dxa" w:w="1417"/>
          </w:tcPr>
          <w:p>
            <w:pPr>
              <w:jc w:val="center"/>
            </w:pPr>
            <w:r>
              <w:rPr>
                <w:b/>
                <w:sz w:val="20"/>
              </w:rPr>
              <w:t>Tăng LN</w:t>
            </w:r>
          </w:p>
        </w:tc>
      </w:tr>
      <w:tr>
        <w:tc>
          <w:tcPr>
            <w:tcW w:type="dxa" w:w="1417"/>
          </w:tcPr>
          <w:p>
            <w:pPr>
              <w:jc w:val="right"/>
            </w:pPr>
            <w:r>
              <w:rPr>
                <w:sz w:val="18"/>
              </w:rPr>
              <w:t>2014-Q1</w:t>
            </w:r>
          </w:p>
        </w:tc>
        <w:tc>
          <w:tcPr>
            <w:tcW w:type="dxa" w:w="1417"/>
          </w:tcPr>
          <w:p>
            <w:pPr>
              <w:jc w:val="right"/>
            </w:pPr>
            <w:r>
              <w:rPr>
                <w:sz w:val="18"/>
              </w:rPr>
              <w:t>$22.656,14</w:t>
            </w:r>
          </w:p>
        </w:tc>
        <w:tc>
          <w:tcPr>
            <w:tcW w:type="dxa" w:w="1417"/>
          </w:tcPr>
          <w:p>
            <w:pPr>
              <w:jc w:val="right"/>
            </w:pPr>
            <w:r>
              <w:rPr>
                <w:sz w:val="18"/>
              </w:rPr>
              <w:t>$-202,50</w:t>
            </w:r>
          </w:p>
        </w:tc>
        <w:tc>
          <w:tcPr>
            <w:tcW w:type="dxa" w:w="1417"/>
          </w:tcPr>
          <w:p>
            <w:pPr>
              <w:jc w:val="right"/>
            </w:pPr>
            <w:r>
              <w:rPr>
                <w:sz w:val="18"/>
              </w:rPr>
              <w:t>-0,89%</w:t>
            </w:r>
          </w:p>
        </w:tc>
        <w:tc>
          <w:tcPr>
            <w:tcW w:type="dxa" w:w="1417"/>
          </w:tcPr>
          <w:p>
            <w:pPr>
              <w:jc w:val="left"/>
            </w:pPr>
            <w:r>
              <w:rPr>
                <w:sz w:val="18"/>
              </w:rPr>
              <w:t>—</w:t>
            </w:r>
          </w:p>
        </w:tc>
        <w:tc>
          <w:tcPr>
            <w:tcW w:type="dxa" w:w="1417"/>
          </w:tcPr>
          <w:p>
            <w:pPr>
              <w:jc w:val="left"/>
            </w:pPr>
            <w:r>
              <w:rPr>
                <w:sz w:val="18"/>
              </w:rPr>
              <w:t>—</w:t>
            </w:r>
          </w:p>
        </w:tc>
      </w:tr>
      <w:tr>
        <w:tc>
          <w:tcPr>
            <w:tcW w:type="dxa" w:w="1417"/>
          </w:tcPr>
          <w:p>
            <w:pPr>
              <w:jc w:val="right"/>
            </w:pPr>
            <w:r>
              <w:rPr>
                <w:sz w:val="18"/>
              </w:rPr>
              <w:t>2014-Q2</w:t>
            </w:r>
          </w:p>
        </w:tc>
        <w:tc>
          <w:tcPr>
            <w:tcW w:type="dxa" w:w="1417"/>
          </w:tcPr>
          <w:p>
            <w:pPr>
              <w:jc w:val="right"/>
            </w:pPr>
            <w:r>
              <w:rPr>
                <w:sz w:val="18"/>
              </w:rPr>
              <w:t>$28.063,75</w:t>
            </w:r>
          </w:p>
        </w:tc>
        <w:tc>
          <w:tcPr>
            <w:tcW w:type="dxa" w:w="1417"/>
          </w:tcPr>
          <w:p>
            <w:pPr>
              <w:jc w:val="right"/>
            </w:pPr>
            <w:r>
              <w:rPr>
                <w:sz w:val="18"/>
              </w:rPr>
              <w:t>$800,82</w:t>
            </w:r>
          </w:p>
        </w:tc>
        <w:tc>
          <w:tcPr>
            <w:tcW w:type="dxa" w:w="1417"/>
          </w:tcPr>
          <w:p>
            <w:pPr>
              <w:jc w:val="right"/>
            </w:pPr>
            <w:r>
              <w:rPr>
                <w:sz w:val="18"/>
              </w:rPr>
              <w:t>2,85%</w:t>
            </w:r>
          </w:p>
        </w:tc>
        <w:tc>
          <w:tcPr>
            <w:tcW w:type="dxa" w:w="1417"/>
          </w:tcPr>
          <w:p>
            <w:pPr>
              <w:jc w:val="right"/>
            </w:pPr>
            <w:r>
              <w:rPr>
                <w:sz w:val="18"/>
              </w:rPr>
              <w:t>23,87%</w:t>
            </w:r>
          </w:p>
        </w:tc>
        <w:tc>
          <w:tcPr>
            <w:tcW w:type="dxa" w:w="1417"/>
          </w:tcPr>
          <w:p>
            <w:pPr>
              <w:jc w:val="right"/>
            </w:pPr>
            <w:r>
              <w:rPr>
                <w:sz w:val="18"/>
              </w:rPr>
              <w:t>495,47%</w:t>
            </w:r>
          </w:p>
        </w:tc>
      </w:tr>
      <w:tr>
        <w:tc>
          <w:tcPr>
            <w:tcW w:type="dxa" w:w="1417"/>
          </w:tcPr>
          <w:p>
            <w:pPr>
              <w:jc w:val="right"/>
            </w:pPr>
            <w:r>
              <w:rPr>
                <w:sz w:val="18"/>
              </w:rPr>
              <w:t>2014-Q3</w:t>
            </w:r>
          </w:p>
        </w:tc>
        <w:tc>
          <w:tcPr>
            <w:tcW w:type="dxa" w:w="1417"/>
          </w:tcPr>
          <w:p>
            <w:pPr>
              <w:jc w:val="right"/>
            </w:pPr>
            <w:r>
              <w:rPr>
                <w:sz w:val="18"/>
              </w:rPr>
              <w:t>$41.957,88</w:t>
            </w:r>
          </w:p>
        </w:tc>
        <w:tc>
          <w:tcPr>
            <w:tcW w:type="dxa" w:w="1417"/>
          </w:tcPr>
          <w:p>
            <w:pPr>
              <w:jc w:val="right"/>
            </w:pPr>
            <w:r>
              <w:rPr>
                <w:sz w:val="18"/>
              </w:rPr>
              <w:t>$2.896,32</w:t>
            </w:r>
          </w:p>
        </w:tc>
        <w:tc>
          <w:tcPr>
            <w:tcW w:type="dxa" w:w="1417"/>
          </w:tcPr>
          <w:p>
            <w:pPr>
              <w:jc w:val="right"/>
            </w:pPr>
            <w:r>
              <w:rPr>
                <w:sz w:val="18"/>
              </w:rPr>
              <w:t>6,90%</w:t>
            </w:r>
          </w:p>
        </w:tc>
        <w:tc>
          <w:tcPr>
            <w:tcW w:type="dxa" w:w="1417"/>
          </w:tcPr>
          <w:p>
            <w:pPr>
              <w:jc w:val="right"/>
            </w:pPr>
            <w:r>
              <w:rPr>
                <w:sz w:val="18"/>
              </w:rPr>
              <w:t>49,51%</w:t>
            </w:r>
          </w:p>
        </w:tc>
        <w:tc>
          <w:tcPr>
            <w:tcW w:type="dxa" w:w="1417"/>
          </w:tcPr>
          <w:p>
            <w:pPr>
              <w:jc w:val="right"/>
            </w:pPr>
            <w:r>
              <w:rPr>
                <w:sz w:val="18"/>
              </w:rPr>
              <w:t>261,67%</w:t>
            </w:r>
          </w:p>
        </w:tc>
      </w:tr>
      <w:tr>
        <w:tc>
          <w:tcPr>
            <w:tcW w:type="dxa" w:w="1417"/>
          </w:tcPr>
          <w:p>
            <w:pPr>
              <w:jc w:val="right"/>
            </w:pPr>
            <w:r>
              <w:rPr>
                <w:sz w:val="18"/>
              </w:rPr>
              <w:t>2014-Q4</w:t>
            </w:r>
          </w:p>
        </w:tc>
        <w:tc>
          <w:tcPr>
            <w:tcW w:type="dxa" w:w="1417"/>
          </w:tcPr>
          <w:p>
            <w:pPr>
              <w:jc w:val="right"/>
            </w:pPr>
            <w:r>
              <w:rPr>
                <w:sz w:val="18"/>
              </w:rPr>
              <w:t>$64.515,09</w:t>
            </w:r>
          </w:p>
        </w:tc>
        <w:tc>
          <w:tcPr>
            <w:tcW w:type="dxa" w:w="1417"/>
          </w:tcPr>
          <w:p>
            <w:pPr>
              <w:jc w:val="right"/>
            </w:pPr>
            <w:r>
              <w:rPr>
                <w:sz w:val="18"/>
              </w:rPr>
              <w:t>$1.963,09</w:t>
            </w:r>
          </w:p>
        </w:tc>
        <w:tc>
          <w:tcPr>
            <w:tcW w:type="dxa" w:w="1417"/>
          </w:tcPr>
          <w:p>
            <w:pPr>
              <w:jc w:val="right"/>
            </w:pPr>
            <w:r>
              <w:rPr>
                <w:sz w:val="18"/>
              </w:rPr>
              <w:t>3,04%</w:t>
            </w:r>
          </w:p>
        </w:tc>
        <w:tc>
          <w:tcPr>
            <w:tcW w:type="dxa" w:w="1417"/>
          </w:tcPr>
          <w:p>
            <w:pPr>
              <w:jc w:val="right"/>
            </w:pPr>
            <w:r>
              <w:rPr>
                <w:sz w:val="18"/>
              </w:rPr>
              <w:t>53,76%</w:t>
            </w:r>
          </w:p>
        </w:tc>
        <w:tc>
          <w:tcPr>
            <w:tcW w:type="dxa" w:w="1417"/>
          </w:tcPr>
          <w:p>
            <w:pPr>
              <w:jc w:val="right"/>
            </w:pPr>
            <w:r>
              <w:rPr>
                <w:sz w:val="18"/>
              </w:rPr>
              <w:t>-32,22%</w:t>
            </w:r>
          </w:p>
        </w:tc>
      </w:tr>
      <w:tr>
        <w:tc>
          <w:tcPr>
            <w:tcW w:type="dxa" w:w="1417"/>
          </w:tcPr>
          <w:p>
            <w:pPr>
              <w:jc w:val="right"/>
            </w:pPr>
            <w:r>
              <w:rPr>
                <w:sz w:val="18"/>
              </w:rPr>
              <w:t>2015-Q1</w:t>
            </w:r>
          </w:p>
        </w:tc>
        <w:tc>
          <w:tcPr>
            <w:tcW w:type="dxa" w:w="1417"/>
          </w:tcPr>
          <w:p>
            <w:pPr>
              <w:jc w:val="right"/>
            </w:pPr>
            <w:r>
              <w:rPr>
                <w:sz w:val="18"/>
              </w:rPr>
              <w:t>$27.374,10</w:t>
            </w:r>
          </w:p>
        </w:tc>
        <w:tc>
          <w:tcPr>
            <w:tcW w:type="dxa" w:w="1417"/>
          </w:tcPr>
          <w:p>
            <w:pPr>
              <w:jc w:val="right"/>
            </w:pPr>
            <w:r>
              <w:rPr>
                <w:sz w:val="18"/>
              </w:rPr>
              <w:t>$-1.164,25</w:t>
            </w:r>
          </w:p>
        </w:tc>
        <w:tc>
          <w:tcPr>
            <w:tcW w:type="dxa" w:w="1417"/>
          </w:tcPr>
          <w:p>
            <w:pPr>
              <w:jc w:val="right"/>
            </w:pPr>
            <w:r>
              <w:rPr>
                <w:sz w:val="18"/>
              </w:rPr>
              <w:t>-4,25%</w:t>
            </w:r>
          </w:p>
        </w:tc>
        <w:tc>
          <w:tcPr>
            <w:tcW w:type="dxa" w:w="1417"/>
          </w:tcPr>
          <w:p>
            <w:pPr>
              <w:jc w:val="right"/>
            </w:pPr>
            <w:r>
              <w:rPr>
                <w:sz w:val="18"/>
              </w:rPr>
              <w:t>-57,57%</w:t>
            </w:r>
          </w:p>
        </w:tc>
        <w:tc>
          <w:tcPr>
            <w:tcW w:type="dxa" w:w="1417"/>
          </w:tcPr>
          <w:p>
            <w:pPr>
              <w:jc w:val="right"/>
            </w:pPr>
            <w:r>
              <w:rPr>
                <w:sz w:val="18"/>
              </w:rPr>
              <w:t>-159,31%</w:t>
            </w:r>
          </w:p>
        </w:tc>
      </w:tr>
      <w:tr>
        <w:tc>
          <w:tcPr>
            <w:tcW w:type="dxa" w:w="1417"/>
          </w:tcPr>
          <w:p>
            <w:pPr>
              <w:jc w:val="right"/>
            </w:pPr>
            <w:r>
              <w:rPr>
                <w:sz w:val="18"/>
              </w:rPr>
              <w:t>2015-Q2</w:t>
            </w:r>
          </w:p>
        </w:tc>
        <w:tc>
          <w:tcPr>
            <w:tcW w:type="dxa" w:w="1417"/>
          </w:tcPr>
          <w:p>
            <w:pPr>
              <w:jc w:val="right"/>
            </w:pPr>
            <w:r>
              <w:rPr>
                <w:sz w:val="18"/>
              </w:rPr>
              <w:t>$27.564,83</w:t>
            </w:r>
          </w:p>
        </w:tc>
        <w:tc>
          <w:tcPr>
            <w:tcW w:type="dxa" w:w="1417"/>
          </w:tcPr>
          <w:p>
            <w:pPr>
              <w:jc w:val="right"/>
            </w:pPr>
            <w:r>
              <w:rPr>
                <w:sz w:val="18"/>
              </w:rPr>
              <w:t>$826,58</w:t>
            </w:r>
          </w:p>
        </w:tc>
        <w:tc>
          <w:tcPr>
            <w:tcW w:type="dxa" w:w="1417"/>
          </w:tcPr>
          <w:p>
            <w:pPr>
              <w:jc w:val="right"/>
            </w:pPr>
            <w:r>
              <w:rPr>
                <w:sz w:val="18"/>
              </w:rPr>
              <w:t>3,00%</w:t>
            </w:r>
          </w:p>
        </w:tc>
        <w:tc>
          <w:tcPr>
            <w:tcW w:type="dxa" w:w="1417"/>
          </w:tcPr>
          <w:p>
            <w:pPr>
              <w:jc w:val="right"/>
            </w:pPr>
            <w:r>
              <w:rPr>
                <w:sz w:val="18"/>
              </w:rPr>
              <w:t>0,70%</w:t>
            </w:r>
          </w:p>
        </w:tc>
        <w:tc>
          <w:tcPr>
            <w:tcW w:type="dxa" w:w="1417"/>
          </w:tcPr>
          <w:p>
            <w:pPr>
              <w:jc w:val="right"/>
            </w:pPr>
            <w:r>
              <w:rPr>
                <w:sz w:val="18"/>
              </w:rPr>
              <w:t>171,00%</w:t>
            </w:r>
          </w:p>
        </w:tc>
      </w:tr>
      <w:tr>
        <w:tc>
          <w:tcPr>
            <w:tcW w:type="dxa" w:w="1417"/>
          </w:tcPr>
          <w:p>
            <w:pPr>
              <w:jc w:val="right"/>
            </w:pPr>
            <w:r>
              <w:rPr>
                <w:sz w:val="18"/>
              </w:rPr>
              <w:t>2015-Q3</w:t>
            </w:r>
          </w:p>
        </w:tc>
        <w:tc>
          <w:tcPr>
            <w:tcW w:type="dxa" w:w="1417"/>
          </w:tcPr>
          <w:p>
            <w:pPr>
              <w:jc w:val="right"/>
            </w:pPr>
            <w:r>
              <w:rPr>
                <w:sz w:val="18"/>
              </w:rPr>
              <w:t>$49.586,04</w:t>
            </w:r>
          </w:p>
        </w:tc>
        <w:tc>
          <w:tcPr>
            <w:tcW w:type="dxa" w:w="1417"/>
          </w:tcPr>
          <w:p>
            <w:pPr>
              <w:jc w:val="right"/>
            </w:pPr>
            <w:r>
              <w:rPr>
                <w:sz w:val="18"/>
              </w:rPr>
              <w:t>$537,55</w:t>
            </w:r>
          </w:p>
        </w:tc>
        <w:tc>
          <w:tcPr>
            <w:tcW w:type="dxa" w:w="1417"/>
          </w:tcPr>
          <w:p>
            <w:pPr>
              <w:jc w:val="right"/>
            </w:pPr>
            <w:r>
              <w:rPr>
                <w:sz w:val="18"/>
              </w:rPr>
              <w:t>1,08%</w:t>
            </w:r>
          </w:p>
        </w:tc>
        <w:tc>
          <w:tcPr>
            <w:tcW w:type="dxa" w:w="1417"/>
          </w:tcPr>
          <w:p>
            <w:pPr>
              <w:jc w:val="right"/>
            </w:pPr>
            <w:r>
              <w:rPr>
                <w:sz w:val="18"/>
              </w:rPr>
              <w:t>79,89%</w:t>
            </w:r>
          </w:p>
        </w:tc>
        <w:tc>
          <w:tcPr>
            <w:tcW w:type="dxa" w:w="1417"/>
          </w:tcPr>
          <w:p>
            <w:pPr>
              <w:jc w:val="right"/>
            </w:pPr>
            <w:r>
              <w:rPr>
                <w:sz w:val="18"/>
              </w:rPr>
              <w:t>-34,97%</w:t>
            </w:r>
          </w:p>
        </w:tc>
      </w:tr>
      <w:tr>
        <w:tc>
          <w:tcPr>
            <w:tcW w:type="dxa" w:w="1417"/>
          </w:tcPr>
          <w:p>
            <w:pPr>
              <w:jc w:val="right"/>
            </w:pPr>
            <w:r>
              <w:rPr>
                <w:sz w:val="18"/>
              </w:rPr>
              <w:t>2015-Q4</w:t>
            </w:r>
          </w:p>
        </w:tc>
        <w:tc>
          <w:tcPr>
            <w:tcW w:type="dxa" w:w="1417"/>
          </w:tcPr>
          <w:p>
            <w:pPr>
              <w:jc w:val="right"/>
            </w:pPr>
            <w:r>
              <w:rPr>
                <w:sz w:val="18"/>
              </w:rPr>
              <w:t>$65.993,28</w:t>
            </w:r>
          </w:p>
        </w:tc>
        <w:tc>
          <w:tcPr>
            <w:tcW w:type="dxa" w:w="1417"/>
          </w:tcPr>
          <w:p>
            <w:pPr>
              <w:jc w:val="right"/>
            </w:pPr>
            <w:r>
              <w:rPr>
                <w:sz w:val="18"/>
              </w:rPr>
              <w:t>$2.815,32</w:t>
            </w:r>
          </w:p>
        </w:tc>
        <w:tc>
          <w:tcPr>
            <w:tcW w:type="dxa" w:w="1417"/>
          </w:tcPr>
          <w:p>
            <w:pPr>
              <w:jc w:val="right"/>
            </w:pPr>
            <w:r>
              <w:rPr>
                <w:sz w:val="18"/>
              </w:rPr>
              <w:t>4,27%</w:t>
            </w:r>
          </w:p>
        </w:tc>
        <w:tc>
          <w:tcPr>
            <w:tcW w:type="dxa" w:w="1417"/>
          </w:tcPr>
          <w:p>
            <w:pPr>
              <w:jc w:val="right"/>
            </w:pPr>
            <w:r>
              <w:rPr>
                <w:sz w:val="18"/>
              </w:rPr>
              <w:t>33,09%</w:t>
            </w:r>
          </w:p>
        </w:tc>
        <w:tc>
          <w:tcPr>
            <w:tcW w:type="dxa" w:w="1417"/>
          </w:tcPr>
          <w:p>
            <w:pPr>
              <w:jc w:val="right"/>
            </w:pPr>
            <w:r>
              <w:rPr>
                <w:sz w:val="18"/>
              </w:rPr>
              <w:t>423,73%</w:t>
            </w:r>
          </w:p>
        </w:tc>
      </w:tr>
    </w:tbl>
    <w:p/>
    <w:p>
      <w:pPr>
        <w:pStyle w:val="Heading2"/>
      </w:pPr>
      <w:r>
        <w:t>7.6. Danh sách artifacts đã tạo</w:t>
      </w:r>
    </w:p>
    <w:p>
      <w:pPr>
        <w:pStyle w:val="ListBullet"/>
      </w:pPr>
      <w:r>
        <w:t>data/processed/furniture_sales_clean.parquet — Bảng fact đã làm sạch</w:t>
      </w:r>
    </w:p>
    <w:p>
      <w:pPr>
        <w:pStyle w:val="ListBullet"/>
      </w:pPr>
      <w:r>
        <w:t>data/processed/customer_summary.parquet — Tóm tắt theo khách hàng</w:t>
      </w:r>
    </w:p>
    <w:p>
      <w:pPr>
        <w:pStyle w:val="ListBullet"/>
      </w:pPr>
      <w:r>
        <w:t>data/processed/product_summary.parquet — Tóm tắt theo sản phẩm</w:t>
      </w:r>
    </w:p>
    <w:p>
      <w:pPr>
        <w:pStyle w:val="ListBullet"/>
      </w:pPr>
      <w:r>
        <w:t>data/processed/order_summary.parquet — Tóm tắt theo đơn hàng</w:t>
      </w:r>
    </w:p>
    <w:p>
      <w:pPr>
        <w:pStyle w:val="ListBullet"/>
      </w:pPr>
      <w:r>
        <w:t>data/processed/metric_baseline.json — Các giá trị baseline và metadata</w:t>
      </w:r>
    </w:p>
    <w:p>
      <w:pPr>
        <w:pStyle w:val="ListBullet"/>
      </w:pPr>
      <w:r>
        <w:t>reports/data_quality_report.md — Báo cáo chất lượng dữ liệu</w:t>
      </w:r>
    </w:p>
    <w:p>
      <w:pPr>
        <w:pStyle w:val="ListBullet"/>
      </w:pPr>
      <w:r>
        <w:t>reports/executive_summary.md — Tóm tắt điều hành</w:t>
      </w:r>
    </w:p>
    <w:p>
      <w:pPr>
        <w:pStyle w:val="ListBullet"/>
      </w:pPr>
      <w:r>
        <w:t>reports/business_questions.md — Trả lời câu hỏi kinh doanh A-F</w:t>
      </w:r>
    </w:p>
    <w:p>
      <w:pPr>
        <w:pStyle w:val="ListBullet"/>
      </w:pPr>
      <w:r>
        <w:t>reports/recommendations.md — Khuyến nghị hành động</w:t>
      </w:r>
    </w:p>
    <w:p>
      <w:pPr>
        <w:pStyle w:val="ListBullet"/>
      </w:pPr>
      <w:r>
        <w:t>reports/tables/*.csv — 34 bảng drill-down chi tiết</w:t>
      </w:r>
    </w:p>
    <w:p>
      <w:pPr>
        <w:pStyle w:val="ListBullet"/>
      </w:pPr>
      <w:r>
        <w:t>reports/figures/*.png — 10 biểu đồ chuyên nghiệp</w:t>
      </w:r>
    </w:p>
    <w:p/>
    <w:p>
      <w:pPr>
        <w:pStyle w:val="Heading2"/>
      </w:pPr>
      <w:r>
        <w:t>7.7. Hạn chế và phạm vi phân tích</w:t>
      </w:r>
    </w:p>
    <w:p>
      <w:pPr>
        <w:pStyle w:val="ListBullet"/>
      </w:pPr>
      <w:r>
        <w:t>Phân tích chỉ bao phủ danh mục Furniture — không mở rộng kết luận cho toàn công ty.</w:t>
      </w:r>
    </w:p>
    <w:p>
      <w:pPr>
        <w:pStyle w:val="ListBullet"/>
      </w:pPr>
      <w:r>
        <w:t>Không có COGS (giá vốn hàng bán) — không thể tái tạo gross margin chính xác.</w:t>
      </w:r>
    </w:p>
    <w:p>
      <w:pPr>
        <w:pStyle w:val="ListBullet"/>
      </w:pPr>
      <w:r>
        <w:t>Không có freight cost, marketing spend, returns — không xác nhận cơ chế nhân quả đầy đủ.</w:t>
      </w:r>
    </w:p>
    <w:p>
      <w:pPr>
        <w:pStyle w:val="ListBullet"/>
      </w:pPr>
      <w:r>
        <w:t>Discount và profit có tương quan mạnh, nhưng tương quan ≠ nhân quả.</w:t>
      </w:r>
    </w:p>
    <w:p>
      <w:pPr>
        <w:pStyle w:val="ListBullet"/>
      </w:pPr>
      <w:r>
        <w:t>Customer metrics là within-window (2014-2017), không phải lifetime behavior.</w:t>
      </w:r>
    </w:p>
    <w:p>
      <w:pPr>
        <w:pStyle w:val="ListBullet"/>
      </w:pPr>
      <w:r>
        <w:t>Forecast (nếu có) chỉ mang tính khám phá, cần temporal validation riêng.</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