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NGOẠI NGỮ - TIN HỌC TP.HCM</w:t>
      </w:r>
    </w:p>
    <w:p>
      <w:pPr>
        <w:jc w:val="center"/>
      </w:pPr>
      <w:r>
        <w:rPr>
          <w:b/>
          <w:sz w:val="24"/>
        </w:rPr>
        <w:t>Khoa Công Nghệ Thông Tin</w:t>
      </w:r>
    </w:p>
    <w:p/>
    <w:p>
      <w:pPr>
        <w:jc w:val="center"/>
      </w:pPr>
      <w:r>
        <w:rPr>
          <w:i/>
          <w:sz w:val="22"/>
        </w:rPr>
        <w:t>Đề tài</w:t>
      </w:r>
    </w:p>
    <w:p>
      <w:pPr>
        <w:jc w:val="center"/>
      </w:pPr>
      <w:r>
        <w:rPr>
          <w:b/>
          <w:sz w:val="24"/>
        </w:rPr>
        <w:t>Phân tích dữ liệu bán hàng đồ gỗ tối ưu hoá doanh thu và lợi nhuận</w:t>
      </w:r>
    </w:p>
    <w:p/>
    <w:p>
      <w:pPr>
        <w:jc w:val="center"/>
      </w:pPr>
      <w:r>
        <w:rPr>
          <w:sz w:val="22"/>
        </w:rPr>
        <w:t>GVHD: [Tên Giáo Viên Hướng Dẫn]</w:t>
      </w:r>
    </w:p>
    <w:p>
      <w:pPr>
        <w:jc w:val="center"/>
      </w:pPr>
      <w:r>
        <w:rPr>
          <w:b/>
          <w:sz w:val="22"/>
        </w:rPr>
        <w:t>Tháng 7 Năm 2026</w:t>
      </w:r>
    </w:p>
    <w:p>
      <w:r>
        <w:br w:type="page"/>
      </w:r>
    </w:p>
    <w:p>
      <w:pPr>
        <w:pStyle w:val="Heading1"/>
      </w:pPr>
      <w:r>
        <w:rPr>
          <w:b/>
          <w:sz w:val="28"/>
        </w:rPr>
        <w:t>I. Giới thiệu</w:t>
      </w:r>
    </w:p>
    <w:p>
      <w:pPr>
        <w:spacing w:after="240"/>
      </w:pPr>
      <w:r>
        <w:t>Bộ dữ liệu phân tích bán hàng đồ gỗ (Furniture Sales Dataset) chứa thông tin chi tiết về 2.121 dòng giao dịch thuộc 1.764 đơn hàng của 707 khách hàng, bao gồm thông tin sản phẩm, thời gian, địa điểm, khách hàng, và doanh thu / lợi nhuận. Dữ liệu bao phủ giai đoạn từ tháng 1 năm 2014 đến tháng 12 năm 2017.</w:t>
      </w:r>
    </w:p>
    <w:p>
      <w:pPr>
        <w:spacing w:after="120"/>
      </w:pPr>
      <w:r>
        <w:t>Mục tiêu của đề tài là phân tích khám phá (EDA) bộ dữ liệu này nhằm hiểu rõ:</w:t>
      </w:r>
    </w:p>
    <w:p>
      <w:pPr>
        <w:pStyle w:val="ListBullet"/>
      </w:pPr>
      <w:r>
        <w:t>Doanh thu và lợi nhuận được tạo ra từ những sản phẩm, vùng, và nhóm khách hàng nào</w:t>
      </w:r>
    </w:p>
    <w:p>
      <w:pPr>
        <w:pStyle w:val="ListBullet"/>
      </w:pPr>
      <w:r>
        <w:t>Mối quan hệ giữa mức giảm giá (discount) và lợi nhuận</w:t>
      </w:r>
    </w:p>
    <w:p>
      <w:pPr>
        <w:pStyle w:val="ListBullet"/>
      </w:pPr>
      <w:r>
        <w:t>Các yếu tố rủi ro chính ảnh hưởng đến chất lượng lợi nhuận</w:t>
      </w:r>
    </w:p>
    <w:p>
      <w:pPr>
        <w:spacing w:after="240"/>
      </w:pPr>
      <w:r>
        <w:t>Để thực hiện đề tài, nhóm sử dụng các công cụ xử lý dữ liệu (Python, Pandas, NumPy) để làm sạch, biến đổi và tính toán các chỉ tiêu kinh doanh. Kết quả được trình bày qua các biểu đồ chuyên nghiệp (matplotlib, plotly) và bảng phân tích chi tiết. Phân tích tuân thủ nguyên tắc: phân biệt sự thật quan sát từ dữ liệu, giả thuyết có bằng chứng, và khuyến nghị hành động.</w:t>
      </w:r>
    </w:p>
    <w:p>
      <w:r>
        <w:br w:type="page"/>
      </w:r>
    </w:p>
    <w:p>
      <w:pPr>
        <w:pStyle w:val="Heading1"/>
      </w:pPr>
      <w:r>
        <w:rPr>
          <w:b/>
          <w:sz w:val="28"/>
        </w:rPr>
        <w:t>II. Nội dung</w:t>
      </w:r>
    </w:p>
    <w:p>
      <w:r>
        <w:t>Tên bộ dữ liệu: Furniture Sales Revenue &amp; Profit Optimization Dataset</w:t>
      </w:r>
    </w:p>
    <w:p>
      <w:r>
        <w:t>Nguồn dữ liệu: Dữ liệu bán hàng lịch sử từ hệ thống bán lẻ, phân loại và xác nhận là danh mục Furniture.</w:t>
      </w:r>
    </w:p>
    <w:p>
      <w:pPr>
        <w:spacing w:after="120"/>
      </w:pPr>
      <w:r>
        <w:t>Cấu trúc: 2.121 dòng dữ liệu, 21 cột thuộc tính. Các nhóm biến chính:</w:t>
      </w:r>
    </w:p>
    <w:tbl>
      <w:tblPr>
        <w:tblStyle w:val="LightGrid-Accent1"/>
        <w:tblW w:type="auto" w:w="0"/>
        <w:tblLook w:firstColumn="1" w:firstRow="1" w:lastColumn="0" w:lastRow="0" w:noHBand="0" w:noVBand="1" w:val="04A0"/>
      </w:tblPr>
      <w:tblGrid>
        <w:gridCol w:w="4320"/>
        <w:gridCol w:w="4320"/>
      </w:tblGrid>
      <w:tr>
        <w:tc>
          <w:tcPr>
            <w:tcW w:type="dxa" w:w="4320"/>
            <w:shd w:fill="D3D3D3"/>
          </w:tcPr>
          <w:p>
            <w:pPr>
              <w:jc w:val="center"/>
            </w:pPr>
            <w:r>
              <w:rPr>
                <w:b/>
                <w:sz w:val="20"/>
              </w:rPr>
              <w:t>Nhóm biến</w:t>
            </w:r>
          </w:p>
        </w:tc>
        <w:tc>
          <w:tcPr>
            <w:tcW w:type="dxa" w:w="4320"/>
            <w:shd w:fill="D3D3D3"/>
          </w:tcPr>
          <w:p>
            <w:pPr>
              <w:jc w:val="center"/>
            </w:pPr>
            <w:r>
              <w:rPr>
                <w:b/>
                <w:sz w:val="20"/>
              </w:rPr>
              <w:t>Ý nghĩa</w:t>
            </w:r>
          </w:p>
        </w:tc>
      </w:tr>
      <w:tr>
        <w:tc>
          <w:tcPr>
            <w:tcW w:type="dxa" w:w="4320"/>
          </w:tcPr>
          <w:p>
            <w:pPr>
              <w:jc w:val="center"/>
            </w:pPr>
            <w:r>
              <w:rPr>
                <w:sz w:val="20"/>
              </w:rPr>
              <w:t>Định danh</w:t>
            </w:r>
          </w:p>
        </w:tc>
        <w:tc>
          <w:tcPr>
            <w:tcW w:type="dxa" w:w="4320"/>
          </w:tcPr>
          <w:p>
            <w:pPr>
              <w:jc w:val="center"/>
            </w:pPr>
            <w:r>
              <w:rPr>
                <w:sz w:val="20"/>
              </w:rPr>
              <w:t>Row ID, Order ID, Customer ID</w:t>
            </w:r>
          </w:p>
        </w:tc>
      </w:tr>
      <w:tr>
        <w:tc>
          <w:tcPr>
            <w:tcW w:type="dxa" w:w="4320"/>
          </w:tcPr>
          <w:p>
            <w:pPr>
              <w:jc w:val="center"/>
            </w:pPr>
            <w:r>
              <w:rPr>
                <w:sz w:val="20"/>
              </w:rPr>
              <w:t>Thời gian</w:t>
            </w:r>
          </w:p>
        </w:tc>
        <w:tc>
          <w:tcPr>
            <w:tcW w:type="dxa" w:w="4320"/>
          </w:tcPr>
          <w:p>
            <w:pPr>
              <w:jc w:val="center"/>
            </w:pPr>
            <w:r>
              <w:rPr>
                <w:sz w:val="20"/>
              </w:rPr>
              <w:t>Order Date (2014-2017), Ship Date</w:t>
            </w:r>
          </w:p>
        </w:tc>
      </w:tr>
      <w:tr>
        <w:tc>
          <w:tcPr>
            <w:tcW w:type="dxa" w:w="4320"/>
          </w:tcPr>
          <w:p>
            <w:pPr>
              <w:jc w:val="center"/>
            </w:pPr>
            <w:r>
              <w:rPr>
                <w:sz w:val="20"/>
              </w:rPr>
              <w:t>Địa lý</w:t>
            </w:r>
          </w:p>
        </w:tc>
        <w:tc>
          <w:tcPr>
            <w:tcW w:type="dxa" w:w="4320"/>
          </w:tcPr>
          <w:p>
            <w:pPr>
              <w:jc w:val="center"/>
            </w:pPr>
            <w:r>
              <w:rPr>
                <w:sz w:val="20"/>
              </w:rPr>
              <w:t>4 Regions, 48 States, 371 Cities</w:t>
            </w:r>
          </w:p>
        </w:tc>
      </w:tr>
      <w:tr>
        <w:tc>
          <w:tcPr>
            <w:tcW w:type="dxa" w:w="4320"/>
          </w:tcPr>
          <w:p>
            <w:pPr>
              <w:jc w:val="center"/>
            </w:pPr>
            <w:r>
              <w:rPr>
                <w:sz w:val="20"/>
              </w:rPr>
              <w:t>Sản phẩm</w:t>
            </w:r>
          </w:p>
        </w:tc>
        <w:tc>
          <w:tcPr>
            <w:tcW w:type="dxa" w:w="4320"/>
          </w:tcPr>
          <w:p>
            <w:pPr>
              <w:jc w:val="center"/>
            </w:pPr>
            <w:r>
              <w:rPr>
                <w:sz w:val="20"/>
              </w:rPr>
              <w:t>Chairs, Tables, Bookcases, Furnishings</w:t>
            </w:r>
          </w:p>
        </w:tc>
      </w:tr>
      <w:tr>
        <w:tc>
          <w:tcPr>
            <w:tcW w:type="dxa" w:w="4320"/>
          </w:tcPr>
          <w:p>
            <w:pPr>
              <w:jc w:val="center"/>
            </w:pPr>
            <w:r>
              <w:rPr>
                <w:sz w:val="20"/>
              </w:rPr>
              <w:t>Khách hàng</w:t>
            </w:r>
          </w:p>
        </w:tc>
        <w:tc>
          <w:tcPr>
            <w:tcW w:type="dxa" w:w="4320"/>
          </w:tcPr>
          <w:p>
            <w:pPr>
              <w:jc w:val="center"/>
            </w:pPr>
            <w:r>
              <w:rPr>
                <w:sz w:val="20"/>
              </w:rPr>
              <w:t>Consumer, Corporate, Home Office</w:t>
            </w:r>
          </w:p>
        </w:tc>
      </w:tr>
      <w:tr>
        <w:tc>
          <w:tcPr>
            <w:tcW w:type="dxa" w:w="4320"/>
          </w:tcPr>
          <w:p>
            <w:pPr>
              <w:jc w:val="center"/>
            </w:pPr>
            <w:r>
              <w:rPr>
                <w:sz w:val="20"/>
              </w:rPr>
              <w:t>Tài chính</w:t>
            </w:r>
          </w:p>
        </w:tc>
        <w:tc>
          <w:tcPr>
            <w:tcW w:type="dxa" w:w="4320"/>
          </w:tcPr>
          <w:p>
            <w:pPr>
              <w:jc w:val="center"/>
            </w:pPr>
            <w:r>
              <w:rPr>
                <w:sz w:val="20"/>
              </w:rPr>
              <w:t>Sales, Profit, Discount, Quantity</w:t>
            </w:r>
          </w:p>
        </w:tc>
      </w:tr>
      <w:tr>
        <w:tc>
          <w:tcPr>
            <w:tcW w:type="dxa" w:w="4320"/>
          </w:tcPr>
          <w:p>
            <w:pPr>
              <w:jc w:val="center"/>
            </w:pPr>
            <w:r>
              <w:rPr>
                <w:sz w:val="20"/>
              </w:rPr>
              <w:t>Vận chuyển</w:t>
            </w:r>
          </w:p>
        </w:tc>
        <w:tc>
          <w:tcPr>
            <w:tcW w:type="dxa" w:w="4320"/>
          </w:tcPr>
          <w:p>
            <w:pPr>
              <w:jc w:val="center"/>
            </w:pPr>
            <w:r>
              <w:rPr>
                <w:sz w:val="20"/>
              </w:rPr>
              <w:t>Standard, Second, First, Same Day Class</w:t>
            </w:r>
          </w:p>
        </w:tc>
      </w:tr>
    </w:tbl>
    <w:p>
      <w:pPr>
        <w:spacing w:after="120"/>
      </w:pPr>
    </w:p>
    <w:p>
      <w:r>
        <w:t>Các chỉ tiêu chính tính từ dữ liệu gốc:</w:t>
      </w:r>
    </w:p>
    <w:p>
      <w:pPr>
        <w:pStyle w:val="ListBullet"/>
      </w:pPr>
      <w:r>
        <w:t>Weighted profit margin = Tổng lợi nhuận / Tổng doanh thu</w:t>
      </w:r>
    </w:p>
    <w:p>
      <w:pPr>
        <w:pStyle w:val="ListBullet"/>
      </w:pPr>
      <w:r>
        <w:t>Loss-line rate = Số dòng lỗ / Tổng dòng</w:t>
      </w:r>
    </w:p>
    <w:p>
      <w:pPr>
        <w:pStyle w:val="ListBullet"/>
      </w:pPr>
      <w:r>
        <w:t>Average Order Value (AOV) = Tổng doanh thu / Số đơn hàng</w:t>
      </w:r>
    </w:p>
    <w:p>
      <w:r>
        <w:br w:type="page"/>
      </w:r>
    </w:p>
    <w:p>
      <w:pPr>
        <w:pStyle w:val="Heading1"/>
      </w:pPr>
      <w:r>
        <w:rPr>
          <w:b/>
          <w:sz w:val="28"/>
        </w:rPr>
        <w:t>III. Phương pháp phân tích</w:t>
      </w:r>
    </w:p>
    <w:p>
      <w:pPr>
        <w:spacing w:after="120"/>
      </w:pPr>
      <w:r>
        <w:t>Quy trình phân tích được thực hiện theo các bước sau:</w:t>
      </w:r>
    </w:p>
    <w:p>
      <w:pPr>
        <w:pStyle w:val="ListNumber"/>
      </w:pPr>
      <w:r>
        <w:t>Bước 1 - Kiểm tra chất lượng: Kiểm tra kích thước (2.121 dòng, 21 cột), kiểu dữ liệu, giá trị thiếu, bản ghi trùng lặp, Row ID duy nhất, danh mục Furniture, và ràng buộc kinh doanh.</w:t>
      </w:r>
    </w:p>
    <w:p>
      <w:pPr>
        <w:pStyle w:val="ListNumber"/>
      </w:pPr>
      <w:r>
        <w:t>Bước 2 - Xác nhận baseline: Tính tổng doanh thu, lợi nhuận, số đơn hàng, khách hàng để đối sánh với giá trị kỳ vọng.</w:t>
      </w:r>
    </w:p>
    <w:p>
      <w:pPr>
        <w:pStyle w:val="ListNumber"/>
      </w:pPr>
      <w:r>
        <w:t>Bước 3 - Phân tích thời gian: Phân tích doanh thu, lợi nhuận, biên theo tháng, quý, năm để nhận diện xu hướng và sự phân kỳ.</w:t>
      </w:r>
    </w:p>
    <w:p>
      <w:pPr>
        <w:pStyle w:val="ListNumber"/>
      </w:pPr>
      <w:r>
        <w:t>Bước 4 - Phân tích sản phẩm: So sánh 4 sub-category theo doanh thu, lợi nhuận, biên, tỷ lệ dòng lỗ.</w:t>
      </w:r>
    </w:p>
    <w:p>
      <w:pPr>
        <w:pStyle w:val="ListNumber"/>
      </w:pPr>
      <w:r>
        <w:t>Bước 5 - Phân tích giảm giá: Phân tích mối quan hệ giữa mức discount (0%, 1-10%, 11-20%, 21-30%, &gt;30%) và các chỉ tiêu.</w:t>
      </w:r>
    </w:p>
    <w:p>
      <w:pPr>
        <w:pStyle w:val="ListNumber"/>
      </w:pPr>
      <w:r>
        <w:t>Bước 6 - Phân tích địa lý: Phân tích doanh thu, lợi nhuận, discount theo 4 vùng và 48 tiểu bang. Tính priority score cho mỗi tiểu bang.</w:t>
      </w:r>
    </w:p>
    <w:p>
      <w:pPr>
        <w:pStyle w:val="ListNumber"/>
      </w:pPr>
      <w:r>
        <w:t>Bước 7 - Tổng hợp và khuyến nghị: Xác định các scope cần ưu tiên, cùng bằng chứng cụ thể và hành động đề xuất.</w:t>
      </w:r>
    </w:p>
    <w:p/>
    <w:p>
      <w:pPr>
        <w:spacing w:after="240"/>
      </w:pPr>
      <w:r>
        <w:t>Kết quả kiểm tra chất lượng: Bộ dữ liệu không có bản ghi trùng lặp, không có giá trị thiếu, Row ID là duy nhất, danh mục là Furniture hằng số, tổng doanh thu $741.999,80 và tổng lợi nhuận $18.451,27 khớp baseline kỳ vọng. Dữ liệu được coi là chất lượng cao.</w:t>
      </w:r>
    </w:p>
    <w:p>
      <w:r>
        <w:br w:type="page"/>
      </w:r>
    </w:p>
    <w:p>
      <w:pPr>
        <w:pStyle w:val="Heading1"/>
      </w:pPr>
      <w:r>
        <w:rPr>
          <w:b/>
          <w:sz w:val="28"/>
        </w:rPr>
        <w:t>IV. Kết quả phân tích</w:t>
      </w:r>
    </w:p>
    <w:p>
      <w:pPr>
        <w:pStyle w:val="Heading2"/>
      </w:pPr>
      <w:r>
        <w:rPr>
          <w:sz w:val="24"/>
        </w:rPr>
        <w:t>4.1. Tổng quan KPI chính</w:t>
      </w:r>
    </w:p>
    <w:p>
      <w:pPr>
        <w:spacing w:after="120"/>
      </w:pPr>
      <w:r>
        <w:t>Bảng dưới đây tóm tắt các chỉ tiêu chính cho toàn bộ bộ dữ liệu:</w:t>
      </w:r>
    </w:p>
    <w:tbl>
      <w:tblPr>
        <w:tblStyle w:val="LightGrid-Accent1"/>
        <w:tblW w:type="auto" w:w="0"/>
        <w:tblLook w:firstColumn="1" w:firstRow="1" w:lastColumn="0" w:lastRow="0" w:noHBand="0" w:noVBand="1" w:val="04A0"/>
      </w:tblPr>
      <w:tblGrid>
        <w:gridCol w:w="4320"/>
        <w:gridCol w:w="4320"/>
      </w:tblGrid>
      <w:tr>
        <w:tc>
          <w:tcPr>
            <w:tcW w:type="dxa" w:w="4320"/>
            <w:shd w:fill="D3D3D3"/>
          </w:tcPr>
          <w:p>
            <w:pPr>
              <w:jc w:val="center"/>
            </w:pPr>
            <w:r>
              <w:rPr>
                <w:b/>
                <w:sz w:val="20"/>
              </w:rPr>
              <w:t>KPI</w:t>
            </w:r>
          </w:p>
        </w:tc>
        <w:tc>
          <w:tcPr>
            <w:tcW w:type="dxa" w:w="4320"/>
            <w:shd w:fill="D3D3D3"/>
          </w:tcPr>
          <w:p>
            <w:pPr>
              <w:jc w:val="center"/>
            </w:pPr>
            <w:r>
              <w:rPr>
                <w:b/>
                <w:sz w:val="20"/>
              </w:rPr>
              <w:t>Giá trị</w:t>
            </w:r>
          </w:p>
        </w:tc>
      </w:tr>
      <w:tr>
        <w:tc>
          <w:tcPr>
            <w:tcW w:type="dxa" w:w="4320"/>
          </w:tcPr>
          <w:p>
            <w:pPr>
              <w:jc w:val="center"/>
            </w:pPr>
            <w:r>
              <w:rPr>
                <w:sz w:val="20"/>
              </w:rPr>
              <w:t>Tổng doanh thu</w:t>
            </w:r>
          </w:p>
        </w:tc>
        <w:tc>
          <w:tcPr>
            <w:tcW w:type="dxa" w:w="4320"/>
          </w:tcPr>
          <w:p>
            <w:pPr>
              <w:jc w:val="center"/>
            </w:pPr>
            <w:r>
              <w:rPr>
                <w:sz w:val="20"/>
              </w:rPr>
              <w:t>$741.999,80</w:t>
            </w:r>
          </w:p>
        </w:tc>
      </w:tr>
      <w:tr>
        <w:tc>
          <w:tcPr>
            <w:tcW w:type="dxa" w:w="4320"/>
          </w:tcPr>
          <w:p>
            <w:pPr>
              <w:jc w:val="center"/>
            </w:pPr>
            <w:r>
              <w:rPr>
                <w:sz w:val="20"/>
              </w:rPr>
              <w:t>Tổng lợi nhuận</w:t>
            </w:r>
          </w:p>
        </w:tc>
        <w:tc>
          <w:tcPr>
            <w:tcW w:type="dxa" w:w="4320"/>
          </w:tcPr>
          <w:p>
            <w:pPr>
              <w:jc w:val="center"/>
            </w:pPr>
            <w:r>
              <w:rPr>
                <w:sz w:val="20"/>
              </w:rPr>
              <w:t>$18.451,27</w:t>
            </w:r>
          </w:p>
        </w:tc>
      </w:tr>
      <w:tr>
        <w:tc>
          <w:tcPr>
            <w:tcW w:type="dxa" w:w="4320"/>
          </w:tcPr>
          <w:p>
            <w:pPr>
              <w:jc w:val="center"/>
            </w:pPr>
            <w:r>
              <w:rPr>
                <w:sz w:val="20"/>
              </w:rPr>
              <w:t>Biên lợi nhuận có trọng số</w:t>
            </w:r>
          </w:p>
        </w:tc>
        <w:tc>
          <w:tcPr>
            <w:tcW w:type="dxa" w:w="4320"/>
          </w:tcPr>
          <w:p>
            <w:pPr>
              <w:jc w:val="center"/>
            </w:pPr>
            <w:r>
              <w:rPr>
                <w:sz w:val="20"/>
              </w:rPr>
              <w:t>2,49%</w:t>
            </w:r>
          </w:p>
        </w:tc>
      </w:tr>
      <w:tr>
        <w:tc>
          <w:tcPr>
            <w:tcW w:type="dxa" w:w="4320"/>
          </w:tcPr>
          <w:p>
            <w:pPr>
              <w:jc w:val="center"/>
            </w:pPr>
            <w:r>
              <w:rPr>
                <w:sz w:val="20"/>
              </w:rPr>
              <w:t>Số đơn hàng</w:t>
            </w:r>
          </w:p>
        </w:tc>
        <w:tc>
          <w:tcPr>
            <w:tcW w:type="dxa" w:w="4320"/>
          </w:tcPr>
          <w:p>
            <w:pPr>
              <w:jc w:val="center"/>
            </w:pPr>
            <w:r>
              <w:rPr>
                <w:sz w:val="20"/>
              </w:rPr>
              <w:t>1.764</w:t>
            </w:r>
          </w:p>
        </w:tc>
      </w:tr>
      <w:tr>
        <w:tc>
          <w:tcPr>
            <w:tcW w:type="dxa" w:w="4320"/>
          </w:tcPr>
          <w:p>
            <w:pPr>
              <w:jc w:val="center"/>
            </w:pPr>
            <w:r>
              <w:rPr>
                <w:sz w:val="20"/>
              </w:rPr>
              <w:t>Số khách hàng</w:t>
            </w:r>
          </w:p>
        </w:tc>
        <w:tc>
          <w:tcPr>
            <w:tcW w:type="dxa" w:w="4320"/>
          </w:tcPr>
          <w:p>
            <w:pPr>
              <w:jc w:val="center"/>
            </w:pPr>
            <w:r>
              <w:rPr>
                <w:sz w:val="20"/>
              </w:rPr>
              <w:t>707</w:t>
            </w:r>
          </w:p>
        </w:tc>
      </w:tr>
      <w:tr>
        <w:tc>
          <w:tcPr>
            <w:tcW w:type="dxa" w:w="4320"/>
          </w:tcPr>
          <w:p>
            <w:pPr>
              <w:jc w:val="center"/>
            </w:pPr>
            <w:r>
              <w:rPr>
                <w:sz w:val="20"/>
              </w:rPr>
              <w:t>Average Order Value</w:t>
            </w:r>
          </w:p>
        </w:tc>
        <w:tc>
          <w:tcPr>
            <w:tcW w:type="dxa" w:w="4320"/>
          </w:tcPr>
          <w:p>
            <w:pPr>
              <w:jc w:val="center"/>
            </w:pPr>
            <w:r>
              <w:rPr>
                <w:sz w:val="20"/>
              </w:rPr>
              <w:t>$420,63</w:t>
            </w:r>
          </w:p>
        </w:tc>
      </w:tr>
      <w:tr>
        <w:tc>
          <w:tcPr>
            <w:tcW w:type="dxa" w:w="4320"/>
          </w:tcPr>
          <w:p>
            <w:pPr>
              <w:jc w:val="center"/>
            </w:pPr>
            <w:r>
              <w:rPr>
                <w:sz w:val="20"/>
              </w:rPr>
              <w:t>Dòng giao dịch lỗ</w:t>
            </w:r>
          </w:p>
        </w:tc>
        <w:tc>
          <w:tcPr>
            <w:tcW w:type="dxa" w:w="4320"/>
          </w:tcPr>
          <w:p>
            <w:pPr>
              <w:jc w:val="center"/>
            </w:pPr>
            <w:r>
              <w:rPr>
                <w:sz w:val="20"/>
              </w:rPr>
              <w:t>714</w:t>
            </w:r>
          </w:p>
        </w:tc>
      </w:tr>
      <w:tr>
        <w:tc>
          <w:tcPr>
            <w:tcW w:type="dxa" w:w="4320"/>
          </w:tcPr>
          <w:p>
            <w:pPr>
              <w:jc w:val="center"/>
            </w:pPr>
            <w:r>
              <w:rPr>
                <w:sz w:val="20"/>
              </w:rPr>
              <w:t>Tỷ lệ dòng lỗ</w:t>
            </w:r>
          </w:p>
        </w:tc>
        <w:tc>
          <w:tcPr>
            <w:tcW w:type="dxa" w:w="4320"/>
          </w:tcPr>
          <w:p>
            <w:pPr>
              <w:jc w:val="center"/>
            </w:pPr>
            <w:r>
              <w:rPr>
                <w:sz w:val="20"/>
              </w:rPr>
              <w:t>33,66%</w:t>
            </w:r>
          </w:p>
        </w:tc>
      </w:tr>
    </w:tbl>
    <w:p/>
    <w:p>
      <w:pPr>
        <w:spacing w:after="240"/>
      </w:pPr>
      <w:r>
        <w:t>Sự thật quan sát: Biên lợi nhuận chỉ 2,49% là rất thấp; 33,66% tổng dòng bị lỗ, cho thấy lỗ là vấn đề cấu trúc cần xử lý.</w:t>
      </w:r>
    </w:p>
    <w:p>
      <w:pPr>
        <w:pStyle w:val="Heading2"/>
      </w:pPr>
      <w:r>
        <w:rPr>
          <w:sz w:val="24"/>
        </w:rPr>
        <w:t>4.2. Hiệu quả điều hành theo năm</w:t>
      </w:r>
    </w:p>
    <w:p>
      <w:pPr>
        <w:spacing w:after="120"/>
      </w:pPr>
      <w:r>
        <w:t>Xu hướng doanh thu, lợi nhuận, và biên theo năm: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center"/>
            </w:pPr>
            <w:r>
              <w:rPr>
                <w:b/>
                <w:sz w:val="20"/>
              </w:rPr>
              <w:t>Năm</w:t>
            </w:r>
          </w:p>
        </w:tc>
        <w:tc>
          <w:tcPr>
            <w:tcW w:type="dxa" w:w="1440"/>
            <w:shd w:fill="D3D3D3"/>
          </w:tcPr>
          <w:p>
            <w:pPr>
              <w:jc w:val="center"/>
            </w:pPr>
            <w:r>
              <w:rPr>
                <w:b/>
                <w:sz w:val="20"/>
              </w:rPr>
              <w:t>Doanh thu</w:t>
            </w:r>
          </w:p>
        </w:tc>
        <w:tc>
          <w:tcPr>
            <w:tcW w:type="dxa" w:w="1440"/>
            <w:shd w:fill="D3D3D3"/>
          </w:tcPr>
          <w:p>
            <w:pPr>
              <w:jc w:val="center"/>
            </w:pPr>
            <w:r>
              <w:rPr>
                <w:b/>
                <w:sz w:val="20"/>
              </w:rPr>
              <w:t>Lợi nhuận</w:t>
            </w:r>
          </w:p>
        </w:tc>
        <w:tc>
          <w:tcPr>
            <w:tcW w:type="dxa" w:w="1440"/>
            <w:shd w:fill="D3D3D3"/>
          </w:tcPr>
          <w:p>
            <w:pPr>
              <w:jc w:val="center"/>
            </w:pPr>
            <w:r>
              <w:rPr>
                <w:b/>
                <w:sz w:val="20"/>
              </w:rPr>
              <w:t>Biên %</w:t>
            </w:r>
          </w:p>
        </w:tc>
        <w:tc>
          <w:tcPr>
            <w:tcW w:type="dxa" w:w="1440"/>
            <w:shd w:fill="D3D3D3"/>
          </w:tcPr>
          <w:p>
            <w:pPr>
              <w:jc w:val="center"/>
            </w:pPr>
            <w:r>
              <w:rPr>
                <w:b/>
                <w:sz w:val="20"/>
              </w:rPr>
              <w:t>Tăng DT</w:t>
            </w:r>
          </w:p>
        </w:tc>
        <w:tc>
          <w:tcPr>
            <w:tcW w:type="dxa" w:w="1440"/>
            <w:shd w:fill="D3D3D3"/>
          </w:tcPr>
          <w:p>
            <w:pPr>
              <w:jc w:val="center"/>
            </w:pPr>
            <w:r>
              <w:rPr>
                <w:b/>
                <w:sz w:val="20"/>
              </w:rPr>
              <w:t>Tăng LN</w:t>
            </w:r>
          </w:p>
        </w:tc>
      </w:tr>
      <w:tr>
        <w:tc>
          <w:tcPr>
            <w:tcW w:type="dxa" w:w="1440"/>
          </w:tcPr>
          <w:p>
            <w:pPr>
              <w:jc w:val="center"/>
            </w:pPr>
            <w:r>
              <w:rPr>
                <w:sz w:val="20"/>
              </w:rPr>
              <w:t>2014</w:t>
            </w:r>
          </w:p>
        </w:tc>
        <w:tc>
          <w:tcPr>
            <w:tcW w:type="dxa" w:w="1440"/>
          </w:tcPr>
          <w:p>
            <w:pPr>
              <w:jc w:val="center"/>
            </w:pPr>
            <w:r>
              <w:rPr>
                <w:sz w:val="20"/>
              </w:rPr>
              <w:t>$157.192,85</w:t>
            </w:r>
          </w:p>
        </w:tc>
        <w:tc>
          <w:tcPr>
            <w:tcW w:type="dxa" w:w="1440"/>
          </w:tcPr>
          <w:p>
            <w:pPr>
              <w:jc w:val="center"/>
            </w:pPr>
            <w:r>
              <w:rPr>
                <w:sz w:val="20"/>
              </w:rPr>
              <w:t>$5.457,73</w:t>
            </w:r>
          </w:p>
        </w:tc>
        <w:tc>
          <w:tcPr>
            <w:tcW w:type="dxa" w:w="1440"/>
          </w:tcPr>
          <w:p>
            <w:pPr>
              <w:jc w:val="center"/>
            </w:pPr>
            <w:r>
              <w:rPr>
                <w:sz w:val="20"/>
              </w:rPr>
              <w:t>3,47%</w:t>
            </w:r>
          </w:p>
        </w:tc>
        <w:tc>
          <w:tcPr>
            <w:tcW w:type="dxa" w:w="1440"/>
          </w:tcPr>
          <w:p>
            <w:pPr>
              <w:jc w:val="center"/>
            </w:pPr>
            <w:r>
              <w:rPr>
                <w:sz w:val="20"/>
              </w:rPr>
              <w:t>—</w:t>
            </w:r>
          </w:p>
        </w:tc>
        <w:tc>
          <w:tcPr>
            <w:tcW w:type="dxa" w:w="1440"/>
          </w:tcPr>
          <w:p>
            <w:pPr>
              <w:jc w:val="center"/>
            </w:pPr>
            <w:r>
              <w:rPr>
                <w:sz w:val="20"/>
              </w:rPr>
              <w:t>—</w:t>
            </w:r>
          </w:p>
        </w:tc>
      </w:tr>
      <w:tr>
        <w:tc>
          <w:tcPr>
            <w:tcW w:type="dxa" w:w="1440"/>
          </w:tcPr>
          <w:p>
            <w:pPr>
              <w:jc w:val="center"/>
            </w:pPr>
            <w:r>
              <w:rPr>
                <w:sz w:val="20"/>
              </w:rPr>
              <w:t>2015</w:t>
            </w:r>
          </w:p>
        </w:tc>
        <w:tc>
          <w:tcPr>
            <w:tcW w:type="dxa" w:w="1440"/>
          </w:tcPr>
          <w:p>
            <w:pPr>
              <w:jc w:val="center"/>
            </w:pPr>
            <w:r>
              <w:rPr>
                <w:sz w:val="20"/>
              </w:rPr>
              <w:t>$170.518,24</w:t>
            </w:r>
          </w:p>
        </w:tc>
        <w:tc>
          <w:tcPr>
            <w:tcW w:type="dxa" w:w="1440"/>
          </w:tcPr>
          <w:p>
            <w:pPr>
              <w:jc w:val="center"/>
            </w:pPr>
            <w:r>
              <w:rPr>
                <w:sz w:val="20"/>
              </w:rPr>
              <w:t>$3.015,20</w:t>
            </w:r>
          </w:p>
        </w:tc>
        <w:tc>
          <w:tcPr>
            <w:tcW w:type="dxa" w:w="1440"/>
          </w:tcPr>
          <w:p>
            <w:pPr>
              <w:jc w:val="center"/>
            </w:pPr>
            <w:r>
              <w:rPr>
                <w:sz w:val="20"/>
              </w:rPr>
              <w:t>1,77%</w:t>
            </w:r>
          </w:p>
        </w:tc>
        <w:tc>
          <w:tcPr>
            <w:tcW w:type="dxa" w:w="1440"/>
          </w:tcPr>
          <w:p>
            <w:pPr>
              <w:jc w:val="center"/>
            </w:pPr>
            <w:r>
              <w:rPr>
                <w:sz w:val="20"/>
              </w:rPr>
              <w:t>+8,48%</w:t>
            </w:r>
          </w:p>
        </w:tc>
        <w:tc>
          <w:tcPr>
            <w:tcW w:type="dxa" w:w="1440"/>
          </w:tcPr>
          <w:p>
            <w:pPr>
              <w:jc w:val="center"/>
            </w:pPr>
            <w:r>
              <w:rPr>
                <w:sz w:val="20"/>
              </w:rPr>
              <w:t>-44,75%</w:t>
            </w:r>
          </w:p>
        </w:tc>
      </w:tr>
      <w:tr>
        <w:tc>
          <w:tcPr>
            <w:tcW w:type="dxa" w:w="1440"/>
          </w:tcPr>
          <w:p>
            <w:pPr>
              <w:jc w:val="center"/>
            </w:pPr>
            <w:r>
              <w:rPr>
                <w:sz w:val="20"/>
              </w:rPr>
              <w:t>2016</w:t>
            </w:r>
          </w:p>
        </w:tc>
        <w:tc>
          <w:tcPr>
            <w:tcW w:type="dxa" w:w="1440"/>
          </w:tcPr>
          <w:p>
            <w:pPr>
              <w:jc w:val="center"/>
            </w:pPr>
            <w:r>
              <w:rPr>
                <w:sz w:val="20"/>
              </w:rPr>
              <w:t>$198.901,44</w:t>
            </w:r>
          </w:p>
        </w:tc>
        <w:tc>
          <w:tcPr>
            <w:tcW w:type="dxa" w:w="1440"/>
          </w:tcPr>
          <w:p>
            <w:pPr>
              <w:jc w:val="center"/>
            </w:pPr>
            <w:r>
              <w:rPr>
                <w:sz w:val="20"/>
              </w:rPr>
              <w:t>$6.959,95</w:t>
            </w:r>
          </w:p>
        </w:tc>
        <w:tc>
          <w:tcPr>
            <w:tcW w:type="dxa" w:w="1440"/>
          </w:tcPr>
          <w:p>
            <w:pPr>
              <w:jc w:val="center"/>
            </w:pPr>
            <w:r>
              <w:rPr>
                <w:sz w:val="20"/>
              </w:rPr>
              <w:t>3,50%</w:t>
            </w:r>
          </w:p>
        </w:tc>
        <w:tc>
          <w:tcPr>
            <w:tcW w:type="dxa" w:w="1440"/>
          </w:tcPr>
          <w:p>
            <w:pPr>
              <w:jc w:val="center"/>
            </w:pPr>
            <w:r>
              <w:rPr>
                <w:sz w:val="20"/>
              </w:rPr>
              <w:t>+16,65%</w:t>
            </w:r>
          </w:p>
        </w:tc>
        <w:tc>
          <w:tcPr>
            <w:tcW w:type="dxa" w:w="1440"/>
          </w:tcPr>
          <w:p>
            <w:pPr>
              <w:jc w:val="center"/>
            </w:pPr>
            <w:r>
              <w:rPr>
                <w:sz w:val="20"/>
              </w:rPr>
              <w:t>+130,83%</w:t>
            </w:r>
          </w:p>
        </w:tc>
      </w:tr>
      <w:tr>
        <w:tc>
          <w:tcPr>
            <w:tcW w:type="dxa" w:w="1440"/>
          </w:tcPr>
          <w:p>
            <w:pPr>
              <w:jc w:val="center"/>
            </w:pPr>
            <w:r>
              <w:rPr>
                <w:sz w:val="20"/>
              </w:rPr>
              <w:t>2017</w:t>
            </w:r>
          </w:p>
        </w:tc>
        <w:tc>
          <w:tcPr>
            <w:tcW w:type="dxa" w:w="1440"/>
          </w:tcPr>
          <w:p>
            <w:pPr>
              <w:jc w:val="center"/>
            </w:pPr>
            <w:r>
              <w:rPr>
                <w:sz w:val="20"/>
              </w:rPr>
              <w:t>$215.387,27</w:t>
            </w:r>
          </w:p>
        </w:tc>
        <w:tc>
          <w:tcPr>
            <w:tcW w:type="dxa" w:w="1440"/>
          </w:tcPr>
          <w:p>
            <w:pPr>
              <w:jc w:val="center"/>
            </w:pPr>
            <w:r>
              <w:rPr>
                <w:sz w:val="20"/>
              </w:rPr>
              <w:t>$3.018,39</w:t>
            </w:r>
          </w:p>
        </w:tc>
        <w:tc>
          <w:tcPr>
            <w:tcW w:type="dxa" w:w="1440"/>
          </w:tcPr>
          <w:p>
            <w:pPr>
              <w:jc w:val="center"/>
            </w:pPr>
            <w:r>
              <w:rPr>
                <w:sz w:val="20"/>
              </w:rPr>
              <w:t>1,40%</w:t>
            </w:r>
          </w:p>
        </w:tc>
        <w:tc>
          <w:tcPr>
            <w:tcW w:type="dxa" w:w="1440"/>
          </w:tcPr>
          <w:p>
            <w:pPr>
              <w:jc w:val="center"/>
            </w:pPr>
            <w:r>
              <w:rPr>
                <w:sz w:val="20"/>
              </w:rPr>
              <w:t>+8,29%</w:t>
            </w:r>
          </w:p>
        </w:tc>
        <w:tc>
          <w:tcPr>
            <w:tcW w:type="dxa" w:w="1440"/>
          </w:tcPr>
          <w:p>
            <w:pPr>
              <w:jc w:val="center"/>
            </w:pPr>
            <w:r>
              <w:rPr>
                <w:sz w:val="20"/>
              </w:rPr>
              <w:t>-56,63%</w:t>
            </w:r>
          </w:p>
        </w:tc>
      </w:tr>
    </w:tbl>
    <w:p/>
    <w:p>
      <w:pPr>
        <w:spacing w:after="240"/>
      </w:pPr>
      <w:r>
        <w:t>Sự thật quan sát: Doanh thu tăng liên tục 37% từ 2014-2017, nhưng lợi nhuận không tăng theo tỷ lệ. Năm 2015 lợi nhuận giảm 44,75%. Năm 2017 đạt doanh thu cao nhất nhưng lợi nhuận thấp nhất (1,40% biên).</w:t>
      </w:r>
    </w:p>
    <w:p>
      <w:pPr>
        <w:pStyle w:val="Heading2"/>
      </w:pPr>
      <w:r>
        <w:rPr>
          <w:sz w:val="24"/>
        </w:rPr>
        <w:t>4.3. Hiệu quả theo sub-category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pPr>
              <w:jc w:val="center"/>
            </w:pPr>
            <w:r>
              <w:rPr>
                <w:b/>
                <w:sz w:val="20"/>
              </w:rPr>
              <w:t>Sub-Category</w:t>
            </w:r>
          </w:p>
        </w:tc>
        <w:tc>
          <w:tcPr>
            <w:tcW w:type="dxa" w:w="1728"/>
            <w:shd w:fill="D3D3D3"/>
          </w:tcPr>
          <w:p>
            <w:pPr>
              <w:jc w:val="center"/>
            </w:pPr>
            <w:r>
              <w:rPr>
                <w:b/>
                <w:sz w:val="20"/>
              </w:rPr>
              <w:t>Doanh thu</w:t>
            </w:r>
          </w:p>
        </w:tc>
        <w:tc>
          <w:tcPr>
            <w:tcW w:type="dxa" w:w="1728"/>
            <w:shd w:fill="D3D3D3"/>
          </w:tcPr>
          <w:p>
            <w:pPr>
              <w:jc w:val="center"/>
            </w:pPr>
            <w:r>
              <w:rPr>
                <w:b/>
                <w:sz w:val="20"/>
              </w:rPr>
              <w:t>Lợi nhuận</w:t>
            </w:r>
          </w:p>
        </w:tc>
        <w:tc>
          <w:tcPr>
            <w:tcW w:type="dxa" w:w="1728"/>
            <w:shd w:fill="D3D3D3"/>
          </w:tcPr>
          <w:p>
            <w:pPr>
              <w:jc w:val="center"/>
            </w:pPr>
            <w:r>
              <w:rPr>
                <w:b/>
                <w:sz w:val="20"/>
              </w:rPr>
              <w:t>Biên %</w:t>
            </w:r>
          </w:p>
        </w:tc>
        <w:tc>
          <w:tcPr>
            <w:tcW w:type="dxa" w:w="1728"/>
            <w:shd w:fill="D3D3D3"/>
          </w:tcPr>
          <w:p>
            <w:pPr>
              <w:jc w:val="center"/>
            </w:pPr>
            <w:r>
              <w:rPr>
                <w:b/>
                <w:sz w:val="20"/>
              </w:rPr>
              <w:t>Loss-line %</w:t>
            </w:r>
          </w:p>
        </w:tc>
      </w:tr>
      <w:tr>
        <w:tc>
          <w:tcPr>
            <w:tcW w:type="dxa" w:w="1728"/>
          </w:tcPr>
          <w:p>
            <w:pPr>
              <w:jc w:val="center"/>
            </w:pPr>
            <w:r>
              <w:rPr>
                <w:sz w:val="20"/>
              </w:rPr>
              <w:t>Chairs</w:t>
            </w:r>
          </w:p>
        </w:tc>
        <w:tc>
          <w:tcPr>
            <w:tcW w:type="dxa" w:w="1728"/>
          </w:tcPr>
          <w:p>
            <w:pPr>
              <w:jc w:val="center"/>
            </w:pPr>
            <w:r>
              <w:rPr>
                <w:sz w:val="20"/>
              </w:rPr>
              <w:t>$328.449,10</w:t>
            </w:r>
          </w:p>
        </w:tc>
        <w:tc>
          <w:tcPr>
            <w:tcW w:type="dxa" w:w="1728"/>
          </w:tcPr>
          <w:p>
            <w:pPr>
              <w:jc w:val="center"/>
            </w:pPr>
            <w:r>
              <w:rPr>
                <w:sz w:val="20"/>
              </w:rPr>
              <w:t>$26.590,17</w:t>
            </w:r>
          </w:p>
        </w:tc>
        <w:tc>
          <w:tcPr>
            <w:tcW w:type="dxa" w:w="1728"/>
          </w:tcPr>
          <w:p>
            <w:pPr>
              <w:jc w:val="center"/>
            </w:pPr>
            <w:r>
              <w:rPr>
                <w:sz w:val="20"/>
              </w:rPr>
              <w:t>8,10%</w:t>
            </w:r>
          </w:p>
        </w:tc>
        <w:tc>
          <w:tcPr>
            <w:tcW w:type="dxa" w:w="1728"/>
          </w:tcPr>
          <w:p>
            <w:pPr>
              <w:jc w:val="center"/>
            </w:pPr>
            <w:r>
              <w:rPr>
                <w:sz w:val="20"/>
              </w:rPr>
              <w:t>38,09%</w:t>
            </w:r>
          </w:p>
        </w:tc>
      </w:tr>
      <w:tr>
        <w:tc>
          <w:tcPr>
            <w:tcW w:type="dxa" w:w="1728"/>
          </w:tcPr>
          <w:p>
            <w:pPr>
              <w:jc w:val="center"/>
            </w:pPr>
            <w:r>
              <w:rPr>
                <w:sz w:val="20"/>
              </w:rPr>
              <w:t>Furnishings</w:t>
            </w:r>
          </w:p>
        </w:tc>
        <w:tc>
          <w:tcPr>
            <w:tcW w:type="dxa" w:w="1728"/>
          </w:tcPr>
          <w:p>
            <w:pPr>
              <w:jc w:val="center"/>
            </w:pPr>
            <w:r>
              <w:rPr>
                <w:sz w:val="20"/>
              </w:rPr>
              <w:t>$91.705,16</w:t>
            </w:r>
          </w:p>
        </w:tc>
        <w:tc>
          <w:tcPr>
            <w:tcW w:type="dxa" w:w="1728"/>
          </w:tcPr>
          <w:p>
            <w:pPr>
              <w:jc w:val="center"/>
            </w:pPr>
            <w:r>
              <w:rPr>
                <w:sz w:val="20"/>
              </w:rPr>
              <w:t>$13.059,14</w:t>
            </w:r>
          </w:p>
        </w:tc>
        <w:tc>
          <w:tcPr>
            <w:tcW w:type="dxa" w:w="1728"/>
          </w:tcPr>
          <w:p>
            <w:pPr>
              <w:jc w:val="center"/>
            </w:pPr>
            <w:r>
              <w:rPr>
                <w:sz w:val="20"/>
              </w:rPr>
              <w:t>14,24%</w:t>
            </w:r>
          </w:p>
        </w:tc>
        <w:tc>
          <w:tcPr>
            <w:tcW w:type="dxa" w:w="1728"/>
          </w:tcPr>
          <w:p>
            <w:pPr>
              <w:jc w:val="center"/>
            </w:pPr>
            <w:r>
              <w:rPr>
                <w:sz w:val="20"/>
              </w:rPr>
              <w:t>17,45%</w:t>
            </w:r>
          </w:p>
        </w:tc>
      </w:tr>
      <w:tr>
        <w:tc>
          <w:tcPr>
            <w:tcW w:type="dxa" w:w="1728"/>
          </w:tcPr>
          <w:p>
            <w:pPr>
              <w:jc w:val="center"/>
            </w:pPr>
            <w:r>
              <w:rPr>
                <w:sz w:val="20"/>
              </w:rPr>
              <w:t>Bookcases</w:t>
            </w:r>
          </w:p>
        </w:tc>
        <w:tc>
          <w:tcPr>
            <w:tcW w:type="dxa" w:w="1728"/>
          </w:tcPr>
          <w:p>
            <w:pPr>
              <w:jc w:val="center"/>
            </w:pPr>
            <w:r>
              <w:rPr>
                <w:sz w:val="20"/>
              </w:rPr>
              <w:t>$114.880,00</w:t>
            </w:r>
          </w:p>
        </w:tc>
        <w:tc>
          <w:tcPr>
            <w:tcW w:type="dxa" w:w="1728"/>
          </w:tcPr>
          <w:p>
            <w:pPr>
              <w:jc w:val="center"/>
            </w:pPr>
            <w:r>
              <w:rPr>
                <w:sz w:val="20"/>
              </w:rPr>
              <w:t>-$3.472,56</w:t>
            </w:r>
          </w:p>
        </w:tc>
        <w:tc>
          <w:tcPr>
            <w:tcW w:type="dxa" w:w="1728"/>
          </w:tcPr>
          <w:p>
            <w:pPr>
              <w:jc w:val="center"/>
            </w:pPr>
            <w:r>
              <w:rPr>
                <w:sz w:val="20"/>
              </w:rPr>
              <w:t>-3,02%</w:t>
            </w:r>
          </w:p>
        </w:tc>
        <w:tc>
          <w:tcPr>
            <w:tcW w:type="dxa" w:w="1728"/>
          </w:tcPr>
          <w:p>
            <w:pPr>
              <w:jc w:val="center"/>
            </w:pPr>
            <w:r>
              <w:rPr>
                <w:sz w:val="20"/>
              </w:rPr>
              <w:t>47,81%</w:t>
            </w:r>
          </w:p>
        </w:tc>
      </w:tr>
      <w:tr>
        <w:tc>
          <w:tcPr>
            <w:tcW w:type="dxa" w:w="1728"/>
          </w:tcPr>
          <w:p>
            <w:pPr>
              <w:jc w:val="center"/>
            </w:pPr>
            <w:r>
              <w:rPr>
                <w:sz w:val="20"/>
              </w:rPr>
              <w:t>Tables</w:t>
            </w:r>
          </w:p>
        </w:tc>
        <w:tc>
          <w:tcPr>
            <w:tcW w:type="dxa" w:w="1728"/>
          </w:tcPr>
          <w:p>
            <w:pPr>
              <w:jc w:val="center"/>
            </w:pPr>
            <w:r>
              <w:rPr>
                <w:sz w:val="20"/>
              </w:rPr>
              <w:t>$206.965,53</w:t>
            </w:r>
          </w:p>
        </w:tc>
        <w:tc>
          <w:tcPr>
            <w:tcW w:type="dxa" w:w="1728"/>
          </w:tcPr>
          <w:p>
            <w:pPr>
              <w:jc w:val="center"/>
            </w:pPr>
            <w:r>
              <w:rPr>
                <w:sz w:val="20"/>
              </w:rPr>
              <w:t>-$17.725,48</w:t>
            </w:r>
          </w:p>
        </w:tc>
        <w:tc>
          <w:tcPr>
            <w:tcW w:type="dxa" w:w="1728"/>
          </w:tcPr>
          <w:p>
            <w:pPr>
              <w:jc w:val="center"/>
            </w:pPr>
            <w:r>
              <w:rPr>
                <w:sz w:val="20"/>
              </w:rPr>
              <w:t>-8,56%</w:t>
            </w:r>
          </w:p>
        </w:tc>
        <w:tc>
          <w:tcPr>
            <w:tcW w:type="dxa" w:w="1728"/>
          </w:tcPr>
          <w:p>
            <w:pPr>
              <w:jc w:val="center"/>
            </w:pPr>
            <w:r>
              <w:rPr>
                <w:sz w:val="20"/>
              </w:rPr>
              <w:t>63,64%</w:t>
            </w:r>
          </w:p>
        </w:tc>
      </w:tr>
    </w:tbl>
    <w:p/>
    <w:p>
      <w:pPr>
        <w:spacing w:after="240"/>
      </w:pPr>
      <w:r>
        <w:t>Sự thật quan sát: Chairs lợi nhuận cao nhất (+$26.590); Furnishings biên tốt nhất (14,24%); Tables lỗ lớn nhất (-$17.725); Bookcases cũng lỗ (-$3.473).</w:t>
      </w:r>
    </w:p>
    <w:p>
      <w:pPr>
        <w:pStyle w:val="Heading2"/>
      </w:pPr>
      <w:r>
        <w:rPr>
          <w:sz w:val="24"/>
        </w:rPr>
        <w:t>4.4. Rủi ro discount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pPr>
              <w:jc w:val="center"/>
            </w:pPr>
            <w:r>
              <w:rPr>
                <w:b/>
                <w:sz w:val="20"/>
              </w:rPr>
              <w:t>Discount band</w:t>
            </w:r>
          </w:p>
        </w:tc>
        <w:tc>
          <w:tcPr>
            <w:tcW w:type="dxa" w:w="1728"/>
            <w:shd w:fill="D3D3D3"/>
          </w:tcPr>
          <w:p>
            <w:pPr>
              <w:jc w:val="center"/>
            </w:pPr>
            <w:r>
              <w:rPr>
                <w:b/>
                <w:sz w:val="20"/>
              </w:rPr>
              <w:t>Doanh thu</w:t>
            </w:r>
          </w:p>
        </w:tc>
        <w:tc>
          <w:tcPr>
            <w:tcW w:type="dxa" w:w="1728"/>
            <w:shd w:fill="D3D3D3"/>
          </w:tcPr>
          <w:p>
            <w:pPr>
              <w:jc w:val="center"/>
            </w:pPr>
            <w:r>
              <w:rPr>
                <w:b/>
                <w:sz w:val="20"/>
              </w:rPr>
              <w:t>Lợi nhuận</w:t>
            </w:r>
          </w:p>
        </w:tc>
        <w:tc>
          <w:tcPr>
            <w:tcW w:type="dxa" w:w="1728"/>
            <w:shd w:fill="D3D3D3"/>
          </w:tcPr>
          <w:p>
            <w:pPr>
              <w:jc w:val="center"/>
            </w:pPr>
            <w:r>
              <w:rPr>
                <w:b/>
                <w:sz w:val="20"/>
              </w:rPr>
              <w:t>Biên %</w:t>
            </w:r>
          </w:p>
        </w:tc>
        <w:tc>
          <w:tcPr>
            <w:tcW w:type="dxa" w:w="1728"/>
            <w:shd w:fill="D3D3D3"/>
          </w:tcPr>
          <w:p>
            <w:pPr>
              <w:jc w:val="center"/>
            </w:pPr>
            <w:r>
              <w:rPr>
                <w:b/>
                <w:sz w:val="20"/>
              </w:rPr>
              <w:t>Loss-line %</w:t>
            </w:r>
          </w:p>
        </w:tc>
      </w:tr>
      <w:tr>
        <w:tc>
          <w:tcPr>
            <w:tcW w:type="dxa" w:w="1728"/>
          </w:tcPr>
          <w:p>
            <w:pPr>
              <w:jc w:val="center"/>
            </w:pPr>
            <w:r>
              <w:rPr>
                <w:sz w:val="20"/>
              </w:rPr>
              <w:t>0%</w:t>
            </w:r>
          </w:p>
        </w:tc>
        <w:tc>
          <w:tcPr>
            <w:tcW w:type="dxa" w:w="1728"/>
          </w:tcPr>
          <w:p>
            <w:pPr>
              <w:jc w:val="center"/>
            </w:pPr>
            <w:r>
              <w:rPr>
                <w:sz w:val="20"/>
              </w:rPr>
              <w:t>$256.025,27</w:t>
            </w:r>
          </w:p>
        </w:tc>
        <w:tc>
          <w:tcPr>
            <w:tcW w:type="dxa" w:w="1728"/>
          </w:tcPr>
          <w:p>
            <w:pPr>
              <w:jc w:val="center"/>
            </w:pPr>
            <w:r>
              <w:rPr>
                <w:sz w:val="20"/>
              </w:rPr>
              <w:t>$58.133,08</w:t>
            </w:r>
          </w:p>
        </w:tc>
        <w:tc>
          <w:tcPr>
            <w:tcW w:type="dxa" w:w="1728"/>
          </w:tcPr>
          <w:p>
            <w:pPr>
              <w:jc w:val="center"/>
            </w:pPr>
            <w:r>
              <w:rPr>
                <w:sz w:val="20"/>
              </w:rPr>
              <w:t>22,71%</w:t>
            </w:r>
          </w:p>
        </w:tc>
        <w:tc>
          <w:tcPr>
            <w:tcW w:type="dxa" w:w="1728"/>
          </w:tcPr>
          <w:p>
            <w:pPr>
              <w:jc w:val="center"/>
            </w:pPr>
            <w:r>
              <w:rPr>
                <w:sz w:val="20"/>
              </w:rPr>
              <w:t>0,00%</w:t>
            </w:r>
          </w:p>
        </w:tc>
      </w:tr>
      <w:tr>
        <w:tc>
          <w:tcPr>
            <w:tcW w:type="dxa" w:w="1728"/>
          </w:tcPr>
          <w:p>
            <w:pPr>
              <w:jc w:val="center"/>
            </w:pPr>
            <w:r>
              <w:rPr>
                <w:sz w:val="20"/>
              </w:rPr>
              <w:t>1-10%</w:t>
            </w:r>
          </w:p>
        </w:tc>
        <w:tc>
          <w:tcPr>
            <w:tcW w:type="dxa" w:w="1728"/>
          </w:tcPr>
          <w:p>
            <w:pPr>
              <w:jc w:val="center"/>
            </w:pPr>
            <w:r>
              <w:rPr>
                <w:sz w:val="20"/>
              </w:rPr>
              <w:t>$46.634,25</w:t>
            </w:r>
          </w:p>
        </w:tc>
        <w:tc>
          <w:tcPr>
            <w:tcW w:type="dxa" w:w="1728"/>
          </w:tcPr>
          <w:p>
            <w:pPr>
              <w:jc w:val="center"/>
            </w:pPr>
            <w:r>
              <w:rPr>
                <w:sz w:val="20"/>
              </w:rPr>
              <w:t>$7.111,01</w:t>
            </w:r>
          </w:p>
        </w:tc>
        <w:tc>
          <w:tcPr>
            <w:tcW w:type="dxa" w:w="1728"/>
          </w:tcPr>
          <w:p>
            <w:pPr>
              <w:jc w:val="center"/>
            </w:pPr>
            <w:r>
              <w:rPr>
                <w:sz w:val="20"/>
              </w:rPr>
              <w:t>15,25%</w:t>
            </w:r>
          </w:p>
        </w:tc>
        <w:tc>
          <w:tcPr>
            <w:tcW w:type="dxa" w:w="1728"/>
          </w:tcPr>
          <w:p>
            <w:pPr>
              <w:jc w:val="center"/>
            </w:pPr>
            <w:r>
              <w:rPr>
                <w:sz w:val="20"/>
              </w:rPr>
              <w:t>5,26%</w:t>
            </w:r>
          </w:p>
        </w:tc>
      </w:tr>
      <w:tr>
        <w:tc>
          <w:tcPr>
            <w:tcW w:type="dxa" w:w="1728"/>
          </w:tcPr>
          <w:p>
            <w:pPr>
              <w:jc w:val="center"/>
            </w:pPr>
            <w:r>
              <w:rPr>
                <w:sz w:val="20"/>
              </w:rPr>
              <w:t>11-20%</w:t>
            </w:r>
          </w:p>
        </w:tc>
        <w:tc>
          <w:tcPr>
            <w:tcW w:type="dxa" w:w="1728"/>
          </w:tcPr>
          <w:p>
            <w:pPr>
              <w:jc w:val="center"/>
            </w:pPr>
            <w:r>
              <w:rPr>
                <w:sz w:val="20"/>
              </w:rPr>
              <w:t>$244.189,54</w:t>
            </w:r>
          </w:p>
        </w:tc>
        <w:tc>
          <w:tcPr>
            <w:tcW w:type="dxa" w:w="1728"/>
          </w:tcPr>
          <w:p>
            <w:pPr>
              <w:jc w:val="center"/>
            </w:pPr>
            <w:r>
              <w:rPr>
                <w:sz w:val="20"/>
              </w:rPr>
              <w:t>$7.684,94</w:t>
            </w:r>
          </w:p>
        </w:tc>
        <w:tc>
          <w:tcPr>
            <w:tcW w:type="dxa" w:w="1728"/>
          </w:tcPr>
          <w:p>
            <w:pPr>
              <w:jc w:val="center"/>
            </w:pPr>
            <w:r>
              <w:rPr>
                <w:sz w:val="20"/>
              </w:rPr>
              <w:t>3,15%</w:t>
            </w:r>
          </w:p>
        </w:tc>
        <w:tc>
          <w:tcPr>
            <w:tcW w:type="dxa" w:w="1728"/>
          </w:tcPr>
          <w:p>
            <w:pPr>
              <w:jc w:val="center"/>
            </w:pPr>
            <w:r>
              <w:rPr>
                <w:sz w:val="20"/>
              </w:rPr>
              <w:t>27,44%</w:t>
            </w:r>
          </w:p>
        </w:tc>
      </w:tr>
      <w:tr>
        <w:tc>
          <w:tcPr>
            <w:tcW w:type="dxa" w:w="1728"/>
          </w:tcPr>
          <w:p>
            <w:pPr>
              <w:jc w:val="center"/>
            </w:pPr>
            <w:r>
              <w:rPr>
                <w:sz w:val="20"/>
              </w:rPr>
              <w:t>21-30%</w:t>
            </w:r>
          </w:p>
        </w:tc>
        <w:tc>
          <w:tcPr>
            <w:tcW w:type="dxa" w:w="1728"/>
          </w:tcPr>
          <w:p>
            <w:pPr>
              <w:jc w:val="center"/>
            </w:pPr>
            <w:r>
              <w:rPr>
                <w:sz w:val="20"/>
              </w:rPr>
              <w:t>$99.470,35</w:t>
            </w:r>
          </w:p>
        </w:tc>
        <w:tc>
          <w:tcPr>
            <w:tcW w:type="dxa" w:w="1728"/>
          </w:tcPr>
          <w:p>
            <w:pPr>
              <w:jc w:val="center"/>
            </w:pPr>
            <w:r>
              <w:rPr>
                <w:sz w:val="20"/>
              </w:rPr>
              <w:t>-$10.695,32</w:t>
            </w:r>
          </w:p>
        </w:tc>
        <w:tc>
          <w:tcPr>
            <w:tcW w:type="dxa" w:w="1728"/>
          </w:tcPr>
          <w:p>
            <w:pPr>
              <w:jc w:val="center"/>
            </w:pPr>
            <w:r>
              <w:rPr>
                <w:sz w:val="20"/>
              </w:rPr>
              <w:t>-10,75%</w:t>
            </w:r>
          </w:p>
        </w:tc>
        <w:tc>
          <w:tcPr>
            <w:tcW w:type="dxa" w:w="1728"/>
          </w:tcPr>
          <w:p>
            <w:pPr>
              <w:jc w:val="center"/>
            </w:pPr>
            <w:r>
              <w:rPr>
                <w:sz w:val="20"/>
              </w:rPr>
              <w:t>93,24%</w:t>
            </w:r>
          </w:p>
        </w:tc>
      </w:tr>
      <w:tr>
        <w:tc>
          <w:tcPr>
            <w:tcW w:type="dxa" w:w="1728"/>
          </w:tcPr>
          <w:p>
            <w:pPr>
              <w:jc w:val="center"/>
            </w:pPr>
            <w:r>
              <w:rPr>
                <w:sz w:val="20"/>
              </w:rPr>
              <w:t>&gt;30%</w:t>
            </w:r>
          </w:p>
        </w:tc>
        <w:tc>
          <w:tcPr>
            <w:tcW w:type="dxa" w:w="1728"/>
          </w:tcPr>
          <w:p>
            <w:pPr>
              <w:jc w:val="center"/>
            </w:pPr>
            <w:r>
              <w:rPr>
                <w:sz w:val="20"/>
              </w:rPr>
              <w:t>$95.680,39</w:t>
            </w:r>
          </w:p>
        </w:tc>
        <w:tc>
          <w:tcPr>
            <w:tcW w:type="dxa" w:w="1728"/>
          </w:tcPr>
          <w:p>
            <w:pPr>
              <w:jc w:val="center"/>
            </w:pPr>
            <w:r>
              <w:rPr>
                <w:sz w:val="20"/>
              </w:rPr>
              <w:t>-$43.782,44</w:t>
            </w:r>
          </w:p>
        </w:tc>
        <w:tc>
          <w:tcPr>
            <w:tcW w:type="dxa" w:w="1728"/>
          </w:tcPr>
          <w:p>
            <w:pPr>
              <w:jc w:val="center"/>
            </w:pPr>
            <w:r>
              <w:rPr>
                <w:sz w:val="20"/>
              </w:rPr>
              <w:t>-45,76%</w:t>
            </w:r>
          </w:p>
        </w:tc>
        <w:tc>
          <w:tcPr>
            <w:tcW w:type="dxa" w:w="1728"/>
          </w:tcPr>
          <w:p>
            <w:pPr>
              <w:jc w:val="center"/>
            </w:pPr>
            <w:r>
              <w:rPr>
                <w:sz w:val="20"/>
              </w:rPr>
              <w:t>100,00%</w:t>
            </w:r>
          </w:p>
        </w:tc>
      </w:tr>
    </w:tbl>
    <w:p/>
    <w:p>
      <w:pPr>
        <w:spacing w:after="240"/>
      </w:pPr>
      <w:r>
        <w:t>Sự thật quan sát: Discount 0% biên 22,71%, tỷ lệ lỗ 0%. Discount &gt;=30% biên -45,76%, 100% lỗ. Nhóm discount &gt;=30% chiếm 26,30% doanh thu nhưng tạo lỗ -$54.477,76 (60,2% tổng lỗ).</w:t>
      </w:r>
    </w:p>
    <w:p>
      <w:pPr>
        <w:pStyle w:val="Heading2"/>
      </w:pPr>
      <w:r>
        <w:rPr>
          <w:sz w:val="24"/>
        </w:rPr>
        <w:t>4.5. Rủi ro theo vùng (region)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center"/>
            </w:pPr>
            <w:r>
              <w:rPr>
                <w:b/>
                <w:sz w:val="20"/>
              </w:rPr>
              <w:t>Vùng</w:t>
            </w:r>
          </w:p>
        </w:tc>
        <w:tc>
          <w:tcPr>
            <w:tcW w:type="dxa" w:w="1440"/>
            <w:shd w:fill="D3D3D3"/>
          </w:tcPr>
          <w:p>
            <w:pPr>
              <w:jc w:val="center"/>
            </w:pPr>
            <w:r>
              <w:rPr>
                <w:b/>
                <w:sz w:val="20"/>
              </w:rPr>
              <w:t>Doanh thu</w:t>
            </w:r>
          </w:p>
        </w:tc>
        <w:tc>
          <w:tcPr>
            <w:tcW w:type="dxa" w:w="1440"/>
            <w:shd w:fill="D3D3D3"/>
          </w:tcPr>
          <w:p>
            <w:pPr>
              <w:jc w:val="center"/>
            </w:pPr>
            <w:r>
              <w:rPr>
                <w:b/>
                <w:sz w:val="20"/>
              </w:rPr>
              <w:t>Lợi nhuận</w:t>
            </w:r>
          </w:p>
        </w:tc>
        <w:tc>
          <w:tcPr>
            <w:tcW w:type="dxa" w:w="1440"/>
            <w:shd w:fill="D3D3D3"/>
          </w:tcPr>
          <w:p>
            <w:pPr>
              <w:jc w:val="center"/>
            </w:pPr>
            <w:r>
              <w:rPr>
                <w:b/>
                <w:sz w:val="20"/>
              </w:rPr>
              <w:t>Biên %</w:t>
            </w:r>
          </w:p>
        </w:tc>
        <w:tc>
          <w:tcPr>
            <w:tcW w:type="dxa" w:w="1440"/>
            <w:shd w:fill="D3D3D3"/>
          </w:tcPr>
          <w:p>
            <w:pPr>
              <w:jc w:val="center"/>
            </w:pPr>
            <w:r>
              <w:rPr>
                <w:b/>
                <w:sz w:val="20"/>
              </w:rPr>
              <w:t>Disc %</w:t>
            </w:r>
          </w:p>
        </w:tc>
        <w:tc>
          <w:tcPr>
            <w:tcW w:type="dxa" w:w="1440"/>
            <w:shd w:fill="D3D3D3"/>
          </w:tcPr>
          <w:p>
            <w:pPr>
              <w:jc w:val="center"/>
            </w:pPr>
            <w:r>
              <w:rPr>
                <w:b/>
                <w:sz w:val="20"/>
              </w:rPr>
              <w:t>Loss %</w:t>
            </w:r>
          </w:p>
        </w:tc>
      </w:tr>
      <w:tr>
        <w:tc>
          <w:tcPr>
            <w:tcW w:type="dxa" w:w="1440"/>
          </w:tcPr>
          <w:p>
            <w:pPr>
              <w:jc w:val="center"/>
            </w:pPr>
            <w:r>
              <w:rPr>
                <w:sz w:val="20"/>
              </w:rPr>
              <w:t>West</w:t>
            </w:r>
          </w:p>
        </w:tc>
        <w:tc>
          <w:tcPr>
            <w:tcW w:type="dxa" w:w="1440"/>
          </w:tcPr>
          <w:p>
            <w:pPr>
              <w:jc w:val="center"/>
            </w:pPr>
            <w:r>
              <w:rPr>
                <w:sz w:val="20"/>
              </w:rPr>
              <w:t>$252.612,74</w:t>
            </w:r>
          </w:p>
        </w:tc>
        <w:tc>
          <w:tcPr>
            <w:tcW w:type="dxa" w:w="1440"/>
          </w:tcPr>
          <w:p>
            <w:pPr>
              <w:jc w:val="center"/>
            </w:pPr>
            <w:r>
              <w:rPr>
                <w:sz w:val="20"/>
              </w:rPr>
              <w:t>$11.504,95</w:t>
            </w:r>
          </w:p>
        </w:tc>
        <w:tc>
          <w:tcPr>
            <w:tcW w:type="dxa" w:w="1440"/>
          </w:tcPr>
          <w:p>
            <w:pPr>
              <w:jc w:val="center"/>
            </w:pPr>
            <w:r>
              <w:rPr>
                <w:sz w:val="20"/>
              </w:rPr>
              <w:t>4,55%</w:t>
            </w:r>
          </w:p>
        </w:tc>
        <w:tc>
          <w:tcPr>
            <w:tcW w:type="dxa" w:w="1440"/>
          </w:tcPr>
          <w:p>
            <w:pPr>
              <w:jc w:val="center"/>
            </w:pPr>
            <w:r>
              <w:rPr>
                <w:sz w:val="20"/>
              </w:rPr>
              <w:t>13,14%</w:t>
            </w:r>
          </w:p>
        </w:tc>
        <w:tc>
          <w:tcPr>
            <w:tcW w:type="dxa" w:w="1440"/>
          </w:tcPr>
          <w:p>
            <w:pPr>
              <w:jc w:val="center"/>
            </w:pPr>
            <w:r>
              <w:rPr>
                <w:sz w:val="20"/>
              </w:rPr>
              <w:t>21,92%</w:t>
            </w:r>
          </w:p>
        </w:tc>
      </w:tr>
      <w:tr>
        <w:tc>
          <w:tcPr>
            <w:tcW w:type="dxa" w:w="1440"/>
          </w:tcPr>
          <w:p>
            <w:pPr>
              <w:jc w:val="center"/>
            </w:pPr>
            <w:r>
              <w:rPr>
                <w:sz w:val="20"/>
              </w:rPr>
              <w:t>South</w:t>
            </w:r>
          </w:p>
        </w:tc>
        <w:tc>
          <w:tcPr>
            <w:tcW w:type="dxa" w:w="1440"/>
          </w:tcPr>
          <w:p>
            <w:pPr>
              <w:jc w:val="center"/>
            </w:pPr>
            <w:r>
              <w:rPr>
                <w:sz w:val="20"/>
              </w:rPr>
              <w:t>$117.298,68</w:t>
            </w:r>
          </w:p>
        </w:tc>
        <w:tc>
          <w:tcPr>
            <w:tcW w:type="dxa" w:w="1440"/>
          </w:tcPr>
          <w:p>
            <w:pPr>
              <w:jc w:val="center"/>
            </w:pPr>
            <w:r>
              <w:rPr>
                <w:sz w:val="20"/>
              </w:rPr>
              <w:t>$6.771,21</w:t>
            </w:r>
          </w:p>
        </w:tc>
        <w:tc>
          <w:tcPr>
            <w:tcW w:type="dxa" w:w="1440"/>
          </w:tcPr>
          <w:p>
            <w:pPr>
              <w:jc w:val="center"/>
            </w:pPr>
            <w:r>
              <w:rPr>
                <w:sz w:val="20"/>
              </w:rPr>
              <w:t>5,77%</w:t>
            </w:r>
          </w:p>
        </w:tc>
        <w:tc>
          <w:tcPr>
            <w:tcW w:type="dxa" w:w="1440"/>
          </w:tcPr>
          <w:p>
            <w:pPr>
              <w:jc w:val="center"/>
            </w:pPr>
            <w:r>
              <w:rPr>
                <w:sz w:val="20"/>
              </w:rPr>
              <w:t>12,15%</w:t>
            </w:r>
          </w:p>
        </w:tc>
        <w:tc>
          <w:tcPr>
            <w:tcW w:type="dxa" w:w="1440"/>
          </w:tcPr>
          <w:p>
            <w:pPr>
              <w:jc w:val="center"/>
            </w:pPr>
            <w:r>
              <w:rPr>
                <w:sz w:val="20"/>
              </w:rPr>
              <w:t>17,47%</w:t>
            </w:r>
          </w:p>
        </w:tc>
      </w:tr>
      <w:tr>
        <w:tc>
          <w:tcPr>
            <w:tcW w:type="dxa" w:w="1440"/>
          </w:tcPr>
          <w:p>
            <w:pPr>
              <w:jc w:val="center"/>
            </w:pPr>
            <w:r>
              <w:rPr>
                <w:sz w:val="20"/>
              </w:rPr>
              <w:t>East</w:t>
            </w:r>
          </w:p>
        </w:tc>
        <w:tc>
          <w:tcPr>
            <w:tcW w:type="dxa" w:w="1440"/>
          </w:tcPr>
          <w:p>
            <w:pPr>
              <w:jc w:val="center"/>
            </w:pPr>
            <w:r>
              <w:rPr>
                <w:sz w:val="20"/>
              </w:rPr>
              <w:t>$208.291,20</w:t>
            </w:r>
          </w:p>
        </w:tc>
        <w:tc>
          <w:tcPr>
            <w:tcW w:type="dxa" w:w="1440"/>
          </w:tcPr>
          <w:p>
            <w:pPr>
              <w:jc w:val="center"/>
            </w:pPr>
            <w:r>
              <w:rPr>
                <w:sz w:val="20"/>
              </w:rPr>
              <w:t>$3.046,17</w:t>
            </w:r>
          </w:p>
        </w:tc>
        <w:tc>
          <w:tcPr>
            <w:tcW w:type="dxa" w:w="1440"/>
          </w:tcPr>
          <w:p>
            <w:pPr>
              <w:jc w:val="center"/>
            </w:pPr>
            <w:r>
              <w:rPr>
                <w:sz w:val="20"/>
              </w:rPr>
              <w:t>1,46%</w:t>
            </w:r>
          </w:p>
        </w:tc>
        <w:tc>
          <w:tcPr>
            <w:tcW w:type="dxa" w:w="1440"/>
          </w:tcPr>
          <w:p>
            <w:pPr>
              <w:jc w:val="center"/>
            </w:pPr>
            <w:r>
              <w:rPr>
                <w:sz w:val="20"/>
              </w:rPr>
              <w:t>15,41%</w:t>
            </w:r>
          </w:p>
        </w:tc>
        <w:tc>
          <w:tcPr>
            <w:tcW w:type="dxa" w:w="1440"/>
          </w:tcPr>
          <w:p>
            <w:pPr>
              <w:jc w:val="center"/>
            </w:pPr>
            <w:r>
              <w:rPr>
                <w:sz w:val="20"/>
              </w:rPr>
              <w:t>30,62%</w:t>
            </w:r>
          </w:p>
        </w:tc>
      </w:tr>
      <w:tr>
        <w:tc>
          <w:tcPr>
            <w:tcW w:type="dxa" w:w="1440"/>
          </w:tcPr>
          <w:p>
            <w:pPr>
              <w:jc w:val="center"/>
            </w:pPr>
            <w:r>
              <w:rPr>
                <w:sz w:val="20"/>
              </w:rPr>
              <w:t>Central</w:t>
            </w:r>
          </w:p>
        </w:tc>
        <w:tc>
          <w:tcPr>
            <w:tcW w:type="dxa" w:w="1440"/>
          </w:tcPr>
          <w:p>
            <w:pPr>
              <w:jc w:val="center"/>
            </w:pPr>
            <w:r>
              <w:rPr>
                <w:sz w:val="20"/>
              </w:rPr>
              <w:t>$163.797,16</w:t>
            </w:r>
          </w:p>
        </w:tc>
        <w:tc>
          <w:tcPr>
            <w:tcW w:type="dxa" w:w="1440"/>
          </w:tcPr>
          <w:p>
            <w:pPr>
              <w:jc w:val="center"/>
            </w:pPr>
            <w:r>
              <w:rPr>
                <w:sz w:val="20"/>
              </w:rPr>
              <w:t>-$2.871,05</w:t>
            </w:r>
          </w:p>
        </w:tc>
        <w:tc>
          <w:tcPr>
            <w:tcW w:type="dxa" w:w="1440"/>
          </w:tcPr>
          <w:p>
            <w:pPr>
              <w:jc w:val="center"/>
            </w:pPr>
            <w:r>
              <w:rPr>
                <w:sz w:val="20"/>
              </w:rPr>
              <w:t>-1,75%</w:t>
            </w:r>
          </w:p>
        </w:tc>
        <w:tc>
          <w:tcPr>
            <w:tcW w:type="dxa" w:w="1440"/>
          </w:tcPr>
          <w:p>
            <w:pPr>
              <w:jc w:val="center"/>
            </w:pPr>
            <w:r>
              <w:rPr>
                <w:sz w:val="20"/>
              </w:rPr>
              <w:t>29,74%</w:t>
            </w:r>
          </w:p>
        </w:tc>
        <w:tc>
          <w:tcPr>
            <w:tcW w:type="dxa" w:w="1440"/>
          </w:tcPr>
          <w:p>
            <w:pPr>
              <w:jc w:val="center"/>
            </w:pPr>
            <w:r>
              <w:rPr>
                <w:sz w:val="20"/>
              </w:rPr>
              <w:t>65,90%</w:t>
            </w:r>
          </w:p>
        </w:tc>
      </w:tr>
    </w:tbl>
    <w:p/>
    <w:p>
      <w:pPr>
        <w:spacing w:after="240"/>
      </w:pPr>
      <w:r>
        <w:t>Sự thật quan sát: West biên 4,55%; South biên 5,77%; East biên 1,46%; Central lỗ -$2.871 với discount trung bình cao 29,74%. Central là vùng rủi ro chính.</w:t>
      </w:r>
    </w:p>
    <w:p>
      <w:pPr>
        <w:pStyle w:val="Heading2"/>
      </w:pPr>
      <w:r>
        <w:rPr>
          <w:sz w:val="24"/>
        </w:rPr>
        <w:t>4.6. Top 10 sản phẩm gây lỗ lớn nhất</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pPr>
              <w:jc w:val="center"/>
            </w:pPr>
            <w:r>
              <w:rPr>
                <w:b/>
                <w:sz w:val="20"/>
              </w:rPr>
              <w:t>Sản phẩm</w:t>
            </w:r>
          </w:p>
        </w:tc>
        <w:tc>
          <w:tcPr>
            <w:tcW w:type="dxa" w:w="2880"/>
            <w:shd w:fill="D3D3D3"/>
          </w:tcPr>
          <w:p>
            <w:pPr>
              <w:jc w:val="center"/>
            </w:pPr>
            <w:r>
              <w:rPr>
                <w:b/>
                <w:sz w:val="20"/>
              </w:rPr>
              <w:t>Sub-Category</w:t>
            </w:r>
          </w:p>
        </w:tc>
        <w:tc>
          <w:tcPr>
            <w:tcW w:type="dxa" w:w="2880"/>
            <w:shd w:fill="D3D3D3"/>
          </w:tcPr>
          <w:p>
            <w:pPr>
              <w:jc w:val="center"/>
            </w:pPr>
            <w:r>
              <w:rPr>
                <w:b/>
                <w:sz w:val="20"/>
              </w:rPr>
              <w:t>Lợi nhuận</w:t>
            </w:r>
          </w:p>
        </w:tc>
      </w:tr>
      <w:tr>
        <w:tc>
          <w:tcPr>
            <w:tcW w:type="dxa" w:w="2880"/>
          </w:tcPr>
          <w:p>
            <w:pPr>
              <w:jc w:val="center"/>
            </w:pPr>
            <w:r>
              <w:rPr>
                <w:sz w:val="20"/>
              </w:rPr>
              <w:t>Chromcraft Bull-Nose Conference Tables</w:t>
            </w:r>
          </w:p>
        </w:tc>
        <w:tc>
          <w:tcPr>
            <w:tcW w:type="dxa" w:w="2880"/>
          </w:tcPr>
          <w:p>
            <w:pPr>
              <w:jc w:val="center"/>
            </w:pPr>
            <w:r>
              <w:rPr>
                <w:sz w:val="20"/>
              </w:rPr>
              <w:t>Tables</w:t>
            </w:r>
          </w:p>
        </w:tc>
        <w:tc>
          <w:tcPr>
            <w:tcW w:type="dxa" w:w="2880"/>
          </w:tcPr>
          <w:p>
            <w:pPr>
              <w:jc w:val="center"/>
            </w:pPr>
            <w:r>
              <w:rPr>
                <w:sz w:val="20"/>
              </w:rPr>
              <w:t>-$2.876,12</w:t>
            </w:r>
          </w:p>
        </w:tc>
      </w:tr>
      <w:tr>
        <w:tc>
          <w:tcPr>
            <w:tcW w:type="dxa" w:w="2880"/>
          </w:tcPr>
          <w:p>
            <w:pPr>
              <w:jc w:val="center"/>
            </w:pPr>
            <w:r>
              <w:rPr>
                <w:sz w:val="20"/>
              </w:rPr>
              <w:t>Bush Advantage Racetrack Conference Table</w:t>
            </w:r>
          </w:p>
        </w:tc>
        <w:tc>
          <w:tcPr>
            <w:tcW w:type="dxa" w:w="2880"/>
          </w:tcPr>
          <w:p>
            <w:pPr>
              <w:jc w:val="center"/>
            </w:pPr>
            <w:r>
              <w:rPr>
                <w:sz w:val="20"/>
              </w:rPr>
              <w:t>Tables</w:t>
            </w:r>
          </w:p>
        </w:tc>
        <w:tc>
          <w:tcPr>
            <w:tcW w:type="dxa" w:w="2880"/>
          </w:tcPr>
          <w:p>
            <w:pPr>
              <w:jc w:val="center"/>
            </w:pPr>
            <w:r>
              <w:rPr>
                <w:sz w:val="20"/>
              </w:rPr>
              <w:t>-$1.934,40</w:t>
            </w:r>
          </w:p>
        </w:tc>
      </w:tr>
      <w:tr>
        <w:tc>
          <w:tcPr>
            <w:tcW w:type="dxa" w:w="2880"/>
          </w:tcPr>
          <w:p>
            <w:pPr>
              <w:jc w:val="center"/>
            </w:pPr>
            <w:r>
              <w:rPr>
                <w:sz w:val="20"/>
              </w:rPr>
              <w:t>Balt Solid Wood Round Tables</w:t>
            </w:r>
          </w:p>
        </w:tc>
        <w:tc>
          <w:tcPr>
            <w:tcW w:type="dxa" w:w="2880"/>
          </w:tcPr>
          <w:p>
            <w:pPr>
              <w:jc w:val="center"/>
            </w:pPr>
            <w:r>
              <w:rPr>
                <w:sz w:val="20"/>
              </w:rPr>
              <w:t>Tables</w:t>
            </w:r>
          </w:p>
        </w:tc>
        <w:tc>
          <w:tcPr>
            <w:tcW w:type="dxa" w:w="2880"/>
          </w:tcPr>
          <w:p>
            <w:pPr>
              <w:jc w:val="center"/>
            </w:pPr>
            <w:r>
              <w:rPr>
                <w:sz w:val="20"/>
              </w:rPr>
              <w:t>-$1.201,06</w:t>
            </w:r>
          </w:p>
        </w:tc>
      </w:tr>
      <w:tr>
        <w:tc>
          <w:tcPr>
            <w:tcW w:type="dxa" w:w="2880"/>
          </w:tcPr>
          <w:p>
            <w:pPr>
              <w:jc w:val="center"/>
            </w:pPr>
            <w:r>
              <w:rPr>
                <w:sz w:val="20"/>
              </w:rPr>
              <w:t>BoxOffice Design Meeting Room Tables</w:t>
            </w:r>
          </w:p>
        </w:tc>
        <w:tc>
          <w:tcPr>
            <w:tcW w:type="dxa" w:w="2880"/>
          </w:tcPr>
          <w:p>
            <w:pPr>
              <w:jc w:val="center"/>
            </w:pPr>
            <w:r>
              <w:rPr>
                <w:sz w:val="20"/>
              </w:rPr>
              <w:t>Tables</w:t>
            </w:r>
          </w:p>
        </w:tc>
        <w:tc>
          <w:tcPr>
            <w:tcW w:type="dxa" w:w="2880"/>
          </w:tcPr>
          <w:p>
            <w:pPr>
              <w:jc w:val="center"/>
            </w:pPr>
            <w:r>
              <w:rPr>
                <w:sz w:val="20"/>
              </w:rPr>
              <w:t>-$1.148,44</w:t>
            </w:r>
          </w:p>
        </w:tc>
      </w:tr>
      <w:tr>
        <w:tc>
          <w:tcPr>
            <w:tcW w:type="dxa" w:w="2880"/>
          </w:tcPr>
          <w:p>
            <w:pPr>
              <w:jc w:val="center"/>
            </w:pPr>
            <w:r>
              <w:rPr>
                <w:sz w:val="20"/>
              </w:rPr>
              <w:t>Riverside Furniture Oval Coffee Table</w:t>
            </w:r>
          </w:p>
        </w:tc>
        <w:tc>
          <w:tcPr>
            <w:tcW w:type="dxa" w:w="2880"/>
          </w:tcPr>
          <w:p>
            <w:pPr>
              <w:jc w:val="center"/>
            </w:pPr>
            <w:r>
              <w:rPr>
                <w:sz w:val="20"/>
              </w:rPr>
              <w:t>Tables</w:t>
            </w:r>
          </w:p>
        </w:tc>
        <w:tc>
          <w:tcPr>
            <w:tcW w:type="dxa" w:w="2880"/>
          </w:tcPr>
          <w:p>
            <w:pPr>
              <w:jc w:val="center"/>
            </w:pPr>
            <w:r>
              <w:rPr>
                <w:sz w:val="20"/>
              </w:rPr>
              <w:t>-$1.147,40</w:t>
            </w:r>
          </w:p>
        </w:tc>
      </w:tr>
      <w:tr>
        <w:tc>
          <w:tcPr>
            <w:tcW w:type="dxa" w:w="2880"/>
          </w:tcPr>
          <w:p>
            <w:pPr>
              <w:jc w:val="center"/>
            </w:pPr>
            <w:r>
              <w:rPr>
                <w:sz w:val="20"/>
              </w:rPr>
              <w:t>Riverside Palais Royal Lawyers Bookcase</w:t>
            </w:r>
          </w:p>
        </w:tc>
        <w:tc>
          <w:tcPr>
            <w:tcW w:type="dxa" w:w="2880"/>
          </w:tcPr>
          <w:p>
            <w:pPr>
              <w:jc w:val="center"/>
            </w:pPr>
            <w:r>
              <w:rPr>
                <w:sz w:val="20"/>
              </w:rPr>
              <w:t>Bookcases</w:t>
            </w:r>
          </w:p>
        </w:tc>
        <w:tc>
          <w:tcPr>
            <w:tcW w:type="dxa" w:w="2880"/>
          </w:tcPr>
          <w:p>
            <w:pPr>
              <w:jc w:val="center"/>
            </w:pPr>
            <w:r>
              <w:rPr>
                <w:sz w:val="20"/>
              </w:rPr>
              <w:t>-$975,10</w:t>
            </w:r>
          </w:p>
        </w:tc>
      </w:tr>
      <w:tr>
        <w:tc>
          <w:tcPr>
            <w:tcW w:type="dxa" w:w="2880"/>
          </w:tcPr>
          <w:p>
            <w:pPr>
              <w:jc w:val="center"/>
            </w:pPr>
            <w:r>
              <w:rPr>
                <w:sz w:val="20"/>
              </w:rPr>
              <w:t>Hon 2090 Pillow Soft Series Chairs</w:t>
            </w:r>
          </w:p>
        </w:tc>
        <w:tc>
          <w:tcPr>
            <w:tcW w:type="dxa" w:w="2880"/>
          </w:tcPr>
          <w:p>
            <w:pPr>
              <w:jc w:val="center"/>
            </w:pPr>
            <w:r>
              <w:rPr>
                <w:sz w:val="20"/>
              </w:rPr>
              <w:t>Chairs</w:t>
            </w:r>
          </w:p>
        </w:tc>
        <w:tc>
          <w:tcPr>
            <w:tcW w:type="dxa" w:w="2880"/>
          </w:tcPr>
          <w:p>
            <w:pPr>
              <w:jc w:val="center"/>
            </w:pPr>
            <w:r>
              <w:rPr>
                <w:sz w:val="20"/>
              </w:rPr>
              <w:t>-$989,05</w:t>
            </w:r>
          </w:p>
        </w:tc>
      </w:tr>
      <w:tr>
        <w:tc>
          <w:tcPr>
            <w:tcW w:type="dxa" w:w="2880"/>
          </w:tcPr>
          <w:p>
            <w:pPr>
              <w:jc w:val="center"/>
            </w:pPr>
            <w:r>
              <w:rPr>
                <w:sz w:val="20"/>
              </w:rPr>
              <w:t>Bretford Height-Adjustable Work Tables</w:t>
            </w:r>
          </w:p>
        </w:tc>
        <w:tc>
          <w:tcPr>
            <w:tcW w:type="dxa" w:w="2880"/>
          </w:tcPr>
          <w:p>
            <w:pPr>
              <w:jc w:val="center"/>
            </w:pPr>
            <w:r>
              <w:rPr>
                <w:sz w:val="20"/>
              </w:rPr>
              <w:t>Tables</w:t>
            </w:r>
          </w:p>
        </w:tc>
        <w:tc>
          <w:tcPr>
            <w:tcW w:type="dxa" w:w="2880"/>
          </w:tcPr>
          <w:p>
            <w:pPr>
              <w:jc w:val="center"/>
            </w:pPr>
            <w:r>
              <w:rPr>
                <w:sz w:val="20"/>
              </w:rPr>
              <w:t>-$964,19</w:t>
            </w:r>
          </w:p>
        </w:tc>
      </w:tr>
      <w:tr>
        <w:tc>
          <w:tcPr>
            <w:tcW w:type="dxa" w:w="2880"/>
          </w:tcPr>
          <w:p>
            <w:pPr>
              <w:jc w:val="center"/>
            </w:pPr>
            <w:r>
              <w:rPr>
                <w:sz w:val="20"/>
              </w:rPr>
              <w:t>Bevis Oval Conference Table, Walnut</w:t>
            </w:r>
          </w:p>
        </w:tc>
        <w:tc>
          <w:tcPr>
            <w:tcW w:type="dxa" w:w="2880"/>
          </w:tcPr>
          <w:p>
            <w:pPr>
              <w:jc w:val="center"/>
            </w:pPr>
            <w:r>
              <w:rPr>
                <w:sz w:val="20"/>
              </w:rPr>
              <w:t>Tables</w:t>
            </w:r>
          </w:p>
        </w:tc>
        <w:tc>
          <w:tcPr>
            <w:tcW w:type="dxa" w:w="2880"/>
          </w:tcPr>
          <w:p>
            <w:pPr>
              <w:jc w:val="center"/>
            </w:pPr>
            <w:r>
              <w:rPr>
                <w:sz w:val="20"/>
              </w:rPr>
              <w:t>-$856,01</w:t>
            </w:r>
          </w:p>
        </w:tc>
      </w:tr>
      <w:tr>
        <w:tc>
          <w:tcPr>
            <w:tcW w:type="dxa" w:w="2880"/>
          </w:tcPr>
          <w:p>
            <w:pPr>
              <w:jc w:val="center"/>
            </w:pPr>
            <w:r>
              <w:rPr>
                <w:sz w:val="20"/>
              </w:rPr>
              <w:t>BPI Conference Tables</w:t>
            </w:r>
          </w:p>
        </w:tc>
        <w:tc>
          <w:tcPr>
            <w:tcW w:type="dxa" w:w="2880"/>
          </w:tcPr>
          <w:p>
            <w:pPr>
              <w:jc w:val="center"/>
            </w:pPr>
            <w:r>
              <w:rPr>
                <w:sz w:val="20"/>
              </w:rPr>
              <w:t>Tables</w:t>
            </w:r>
          </w:p>
        </w:tc>
        <w:tc>
          <w:tcPr>
            <w:tcW w:type="dxa" w:w="2880"/>
          </w:tcPr>
          <w:p>
            <w:pPr>
              <w:jc w:val="center"/>
            </w:pPr>
            <w:r>
              <w:rPr>
                <w:sz w:val="20"/>
              </w:rPr>
              <w:t>-$795,97</w:t>
            </w:r>
          </w:p>
        </w:tc>
      </w:tr>
    </w:tbl>
    <w:p/>
    <w:p>
      <w:r>
        <w:t>Sự thật quan sát: 9/10 sản phẩm lỗ lớn là Tables. Tổng lỗ từ 10 sản phẩm này là -$12.887,54 (72,7% tổng lỗ Tables). Chủ yếu là bàn hội nghị/công ty.</w:t>
      </w:r>
    </w:p>
    <w:p>
      <w:r>
        <w:br w:type="page"/>
      </w:r>
    </w:p>
    <w:p>
      <w:pPr>
        <w:pStyle w:val="Heading1"/>
      </w:pPr>
      <w:r>
        <w:rPr>
          <w:b/>
          <w:sz w:val="28"/>
        </w:rPr>
        <w:t>V. Tổng Quan</w:t>
      </w:r>
    </w:p>
    <w:p>
      <w:pPr>
        <w:spacing w:after="120"/>
      </w:pPr>
      <w:r>
        <w:t>Qua quá trình phân tích khám phá bộ dữ liệu bán hàng Furniture, nhóm rút ra một số kết quả chính:</w:t>
      </w:r>
    </w:p>
    <w:p>
      <w:r>
        <w:t>1. Doanh thu và lợi nhuận phân kỳ: Doanh thu $741.999,80 nhưng lợi nhuận chỉ $18.451,27 (biên 2,49%), với 33,66% dòng lỗ. Chất lượng doanh số là vấn đề cấu trúc.</w:t>
      </w:r>
    </w:p>
    <w:p>
      <w:r>
        <w:t>2. Sự không đồng bộ giữa năm: Doanh thu tăng 37% từ 2014-2017 nhưng lợi nhuận không tăng theo tỷ lệ. Năm 2017 doanh thu cao nhất nhưng lợi nhuận thấp nhất (1,40% biên).</w:t>
      </w:r>
    </w:p>
    <w:p>
      <w:r>
        <w:t>3. Sub-category không cân bằng: Chairs lợi nhuận +$26.590; Furnishings biên 14,24%; Tables lỗ -$17.725; Bookcases lỗ -$3.473. Chiến lược cần bảo vệ nhóm lợi nhuận và sửa nhóm lỗ.</w:t>
      </w:r>
    </w:p>
    <w:p>
      <w:r>
        <w:t>4. Discount là yếu tố rủi ro chính: Discount 0% biên 22,71%; discount &gt;=30% biên -45,76% và 100% lỗ. Nhóm discount &gt;=30% chiếm 26,30% doanh thu nhưng lỗ $-54.477,76 (60,2% tổng lỗ).</w:t>
      </w:r>
    </w:p>
    <w:p>
      <w:r>
        <w:t>5. Rủi ro địa lý: Central lỗ $-2.871 với discount trung bình 29,74%. West và South là vùng lợi nhuận mạnh.</w:t>
      </w:r>
    </w:p>
    <w:p>
      <w:r>
        <w:t>6. Khuyến nghị ưu tiên: (1) Dừng discount &gt;=30% blanket; yêu cầu phê duyệt margin; (2) Sửa chữa Tables và Bookcases trước khi scale; (3) Giảm discount ở Central; (4) Bảo vệ Chairs/Furnishings; (5) Xem lại 10 sản phẩm lỗ lớn nhất.</w:t>
      </w:r>
    </w:p>
    <w:p/>
    <w:p>
      <w:r>
        <w:t>Những phát hiện này cung cấp cơ sở rõ ràng để hướng dẫn các quyết định chiến lược về sản phẩm, giá cả, và khuyến mại trong danh mục Furniture, nhằm mục tiêu tăng doanh thu bền vững mà không hy sinh lợi nhuận.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