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theoretical concepts behind the assignment center on Stable Diffusion, a state-of-the-art latent diffusion model used for high-fidelity text-to-image generation.1. Stable Diffusion Model (Latent Diffusion)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Stable Diffusion is classified as a latent diffusion model designed to synthesize images from textual descriptions. Its core efficiency is derived from the fact that it operates in a compressed latent space rather than the traditional, high-dimensional pixel space. This operation in the latent space enables faster processing, increased memory efficiency, and the capacity to generate high-quality images.2. Core Architectural Components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is built upon four primary theoretical components: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CLIP Text Encoder: Converts the user's input text prompt into numerical embeddings, making the text understandable to the model.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Latent U-Net: Serves as the core model, responsible for performing progressive denoising operations within the latent space.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Scheduler: An algorithm that manages and controls the overall sequence and number of noise removal steps or denoising iterations.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Variational Autoencoder (VAE) Decoder: Responsible for the final conversion, translating the fully denoised output from the compressed latent space back into the finished, high-resolution image.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 System Workflow (The Denoising Process)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theory is implemented through a sequential workflow that transforms text into an image: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 Encoding: The user-provided text prompt is converted into embeddings by the CLIP Text Encoder.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Noise Initialization: Random Gaussian noise is initialized in the latent space, which serves as the starting point for the image.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Denoising (Iteration): The Latent U-Net progressively removes this noise over many steps, conditioned by the text embeddings to guide the image formation.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Diffusion Control: The Scheduler algorithm governs the sequence and control of these diffusion steps.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Image Decoding: The VAE Decoder translates the final, denoised latent representation back into the final image that is visible to the user.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