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D">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0E">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0F">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News | Events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w:t>
      </w:r>
      <w:r w:rsidDel="00000000" w:rsidR="00000000" w:rsidRPr="00000000">
        <w:rPr>
          <w:rtl w:val="0"/>
        </w:rPr>
        <w:t xml:space="preserve">Contact Us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 w:customStyle="1">
    <w:name w:val="quote"/>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C7LdmUHLMppik6hqZhcz/2HNKQ==">AMUW2mX4Vqw/N7O0mxI7S/d/+tZFhrBdkzSn9JXUP8oke5bO1lQ3jwjDsZ8DlUwOZgRaloumY70VS/94tVwTTAJR+0aZ17ETs+5nElVvwRU03G70xbn0WlRQVl5pvwQkZ36/qsy6ExOT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2021-05-24T04:04:00Z</dcterms:created>
  <dc:creator>Quyen Phan</dc:creator>
</cp:coreProperties>
</file>