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lang w:val="en-GB"/>
        </w:rPr>
        <w:id w:val="2041400724"/>
        <w:docPartObj>
          <w:docPartGallery w:val="Cover Pages"/>
          <w:docPartUnique/>
        </w:docPartObj>
      </w:sdtPr>
      <w:sdtEndPr>
        <w:rPr>
          <w:rFonts w:ascii="Times New Roman" w:hAnsi="Times New Roman" w:cs="Times New Roman"/>
          <w:lang w:val="en-MW"/>
        </w:rPr>
      </w:sdtEndPr>
      <w:sdtContent>
        <w:p w:rsidR="007E0FDF" w:rsidRPr="00212B22" w:rsidRDefault="007E0FDF" w:rsidP="00285CFE">
          <w:pPr>
            <w:jc w:val="center"/>
            <w:rPr>
              <w:rFonts w:ascii="Arial" w:hAnsi="Arial" w:cs="Arial"/>
              <w:lang w:val="en-GB"/>
            </w:rPr>
          </w:pPr>
          <w:r w:rsidRPr="00212B22">
            <w:rPr>
              <w:rFonts w:ascii="Arial" w:hAnsi="Arial" w:cs="Arial"/>
              <w:noProof/>
              <w:lang w:val="en-GB"/>
            </w:rPr>
            <w:drawing>
              <wp:anchor distT="0" distB="0" distL="114300" distR="114300" simplePos="0" relativeHeight="251659264" behindDoc="0" locked="0" layoutInCell="1" allowOverlap="1" wp14:anchorId="014B69AA" wp14:editId="452148F1">
                <wp:simplePos x="0" y="0"/>
                <wp:positionH relativeFrom="margin">
                  <wp:align>center</wp:align>
                </wp:positionH>
                <wp:positionV relativeFrom="paragraph">
                  <wp:posOffset>-327025</wp:posOffset>
                </wp:positionV>
                <wp:extent cx="3361038" cy="1062681"/>
                <wp:effectExtent l="0" t="0" r="0" b="4445"/>
                <wp:wrapNone/>
                <wp:docPr id="728449818" name="Picture 1" descr="C:\Users\Stalo\Downloads\UNICA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alo\Downloads\UNICAF logo.png"/>
                        <pic:cNvPicPr>
                          <a:picLocks noChangeAspect="1" noChangeArrowheads="1"/>
                        </pic:cNvPicPr>
                      </pic:nvPicPr>
                      <pic:blipFill>
                        <a:blip r:embed="rId6" cstate="print"/>
                        <a:srcRect/>
                        <a:stretch>
                          <a:fillRect/>
                        </a:stretch>
                      </pic:blipFill>
                      <pic:spPr bwMode="auto">
                        <a:xfrm>
                          <a:off x="0" y="0"/>
                          <a:ext cx="3361038" cy="1062681"/>
                        </a:xfrm>
                        <a:prstGeom prst="rect">
                          <a:avLst/>
                        </a:prstGeom>
                        <a:noFill/>
                        <a:ln w="9525">
                          <a:noFill/>
                          <a:miter lim="800000"/>
                          <a:headEnd/>
                          <a:tailEnd/>
                        </a:ln>
                      </pic:spPr>
                    </pic:pic>
                  </a:graphicData>
                </a:graphic>
              </wp:anchor>
            </w:drawing>
          </w:r>
        </w:p>
        <w:p w:rsidR="007E0FDF" w:rsidRPr="00212B22" w:rsidRDefault="007E0FDF" w:rsidP="00285CFE">
          <w:pPr>
            <w:jc w:val="center"/>
            <w:rPr>
              <w:rFonts w:ascii="Arial" w:hAnsi="Arial" w:cs="Arial"/>
              <w:b/>
              <w:lang w:val="en-GB"/>
            </w:rPr>
          </w:pPr>
        </w:p>
        <w:p w:rsidR="007E0FDF" w:rsidRPr="00212B22" w:rsidRDefault="007E0FDF" w:rsidP="00FC226A">
          <w:pPr>
            <w:jc w:val="center"/>
            <w:rPr>
              <w:b/>
              <w:bCs/>
              <w:sz w:val="28"/>
              <w:szCs w:val="28"/>
              <w:lang w:val="en-GB"/>
            </w:rPr>
          </w:pPr>
          <w:bookmarkStart w:id="0" w:name="_Toc476911271"/>
        </w:p>
        <w:p w:rsidR="007E0FDF" w:rsidRDefault="007E0FDF" w:rsidP="00D3707F">
          <w:pPr>
            <w:jc w:val="center"/>
            <w:rPr>
              <w:rFonts w:asciiTheme="minorHAnsi" w:eastAsia="Arial" w:hAnsiTheme="minorHAnsi" w:cstheme="minorHAnsi"/>
              <w:color w:val="333333"/>
              <w:sz w:val="32"/>
              <w:szCs w:val="32"/>
            </w:rPr>
          </w:pPr>
        </w:p>
        <w:p w:rsidR="007E0FDF" w:rsidRDefault="007E0FDF" w:rsidP="00D3707F">
          <w:pPr>
            <w:jc w:val="center"/>
            <w:rPr>
              <w:rFonts w:asciiTheme="minorHAnsi" w:eastAsia="Arial" w:hAnsiTheme="minorHAnsi" w:cstheme="minorHAnsi"/>
              <w:color w:val="333333"/>
              <w:sz w:val="32"/>
              <w:szCs w:val="32"/>
            </w:rPr>
          </w:pPr>
        </w:p>
        <w:p w:rsidR="007E0FDF" w:rsidRDefault="007E0FDF" w:rsidP="00D3707F">
          <w:pPr>
            <w:jc w:val="center"/>
            <w:rPr>
              <w:rFonts w:asciiTheme="minorHAnsi" w:eastAsia="Arial" w:hAnsiTheme="minorHAnsi" w:cstheme="minorHAnsi"/>
              <w:color w:val="333333"/>
              <w:sz w:val="32"/>
              <w:szCs w:val="32"/>
            </w:rPr>
          </w:pPr>
        </w:p>
        <w:p w:rsidR="007E0FDF" w:rsidRDefault="007E0FDF" w:rsidP="00D3707F">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 xml:space="preserve">UNICAF UNIVERSITY MALAWI </w:t>
          </w:r>
        </w:p>
        <w:p w:rsidR="007E0FDF" w:rsidRDefault="007E0FDF" w:rsidP="00D3707F">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DOCTOR OF BUSINESS ADMINISTRATION</w:t>
          </w:r>
        </w:p>
        <w:bookmarkEnd w:id="0"/>
        <w:p w:rsidR="007E0FDF" w:rsidRDefault="007E0FDF" w:rsidP="00FC226A"/>
        <w:p w:rsidR="007E0FDF" w:rsidRDefault="007E0FDF" w:rsidP="00FC226A"/>
        <w:p w:rsidR="007E0FDF" w:rsidRDefault="007E0FDF" w:rsidP="00FC226A"/>
        <w:p w:rsidR="007E0FDF" w:rsidRDefault="007E0FDF" w:rsidP="00FC226A"/>
        <w:p w:rsidR="007E0FDF" w:rsidRDefault="007E0FDF" w:rsidP="00FC226A"/>
        <w:p w:rsidR="007E0FDF" w:rsidRDefault="007E0FDF" w:rsidP="00FC226A"/>
        <w:p w:rsidR="007E0FDF" w:rsidRDefault="007E0FDF" w:rsidP="00FC226A"/>
        <w:p w:rsidR="007E0FDF" w:rsidRDefault="007E0FDF" w:rsidP="00FC226A"/>
        <w:p w:rsidR="007E0FDF" w:rsidRPr="00212B22" w:rsidRDefault="007E0FDF" w:rsidP="00FC226A">
          <w:pPr>
            <w:rPr>
              <w:lang w:val="en-GB"/>
            </w:rPr>
          </w:pPr>
        </w:p>
        <w:p w:rsidR="007E0FDF" w:rsidRDefault="007E0FDF" w:rsidP="007E0FDF">
          <w:pPr>
            <w:jc w:val="center"/>
          </w:pPr>
          <w:r w:rsidRPr="007E0FDF">
            <w:rPr>
              <w:b/>
              <w:bCs/>
              <w:sz w:val="28"/>
              <w:szCs w:val="28"/>
              <w:lang w:val="en-GB"/>
            </w:rPr>
            <w:t>COMPARING AND CONTRASTING VIEWS OF WHAT CONSTITUTES A THEORY</w:t>
          </w:r>
        </w:p>
        <w:p w:rsidR="007E0FDF" w:rsidRDefault="007E0FDF" w:rsidP="00FC226A"/>
        <w:p w:rsidR="007E0FDF" w:rsidRDefault="007E0FDF" w:rsidP="00FC226A"/>
        <w:p w:rsidR="007E0FDF" w:rsidRDefault="007E0FDF" w:rsidP="00FC226A"/>
        <w:p w:rsidR="007E0FDF" w:rsidRDefault="007E0FDF" w:rsidP="00FC226A"/>
        <w:p w:rsidR="007E0FDF" w:rsidRDefault="007E0FDF" w:rsidP="00FC226A"/>
        <w:p w:rsidR="007E0FDF" w:rsidRPr="00212B22" w:rsidRDefault="007E0FDF" w:rsidP="00FC226A">
          <w:pPr>
            <w:rPr>
              <w:lang w:val="en-GB"/>
            </w:rPr>
          </w:pPr>
        </w:p>
        <w:p w:rsidR="007E0FDF" w:rsidRPr="00F05853" w:rsidRDefault="007E0FDF" w:rsidP="00407231">
          <w:pPr>
            <w:spacing w:line="480" w:lineRule="auto"/>
            <w:jc w:val="center"/>
            <w:rPr>
              <w:rFonts w:eastAsia="Arial"/>
              <w:sz w:val="28"/>
              <w:szCs w:val="28"/>
            </w:rPr>
          </w:pPr>
          <w:r w:rsidRPr="00F05853">
            <w:rPr>
              <w:rFonts w:eastAsia="Arial"/>
              <w:sz w:val="28"/>
              <w:szCs w:val="28"/>
            </w:rPr>
            <w:t>CAROLINE MFUNE</w:t>
          </w:r>
        </w:p>
        <w:p w:rsidR="007E0FDF" w:rsidRPr="00F05853" w:rsidRDefault="007E0FDF" w:rsidP="00407231">
          <w:pPr>
            <w:spacing w:line="480" w:lineRule="auto"/>
            <w:jc w:val="center"/>
            <w:rPr>
              <w:rFonts w:eastAsia="Arial"/>
              <w:sz w:val="28"/>
              <w:szCs w:val="28"/>
            </w:rPr>
          </w:pPr>
          <w:r w:rsidRPr="00F05853">
            <w:rPr>
              <w:rFonts w:eastAsia="Arial"/>
              <w:sz w:val="28"/>
              <w:szCs w:val="28"/>
            </w:rPr>
            <w:t>STUDENT NUMBER: R2508D20039087</w:t>
          </w:r>
        </w:p>
        <w:p w:rsidR="007E0FDF" w:rsidRPr="00F05853" w:rsidRDefault="007E0FDF" w:rsidP="00407231">
          <w:pPr>
            <w:spacing w:line="480" w:lineRule="auto"/>
            <w:jc w:val="center"/>
            <w:rPr>
              <w:rFonts w:eastAsia="Arial"/>
              <w:sz w:val="28"/>
              <w:szCs w:val="28"/>
            </w:rPr>
          </w:pPr>
          <w:r w:rsidRPr="00F05853">
            <w:rPr>
              <w:rFonts w:eastAsia="Arial"/>
              <w:sz w:val="28"/>
              <w:szCs w:val="28"/>
            </w:rPr>
            <w:t xml:space="preserve"> RESEARCH METHODS:  UU-DBA-810-84765</w:t>
          </w:r>
        </w:p>
        <w:p w:rsidR="007E0FDF" w:rsidRPr="00212B22" w:rsidRDefault="007E0FDF" w:rsidP="00407231">
          <w:pPr>
            <w:spacing w:line="480" w:lineRule="auto"/>
            <w:jc w:val="center"/>
            <w:rPr>
              <w:b/>
              <w:bCs/>
              <w:lang w:val="en-GB"/>
            </w:rPr>
          </w:pPr>
          <w:r w:rsidRPr="00F05853">
            <w:rPr>
              <w:rFonts w:eastAsia="Arial"/>
              <w:sz w:val="28"/>
              <w:szCs w:val="28"/>
            </w:rPr>
            <w:t>TOTOR NAME: DR DOROS MICHAEL</w:t>
          </w:r>
        </w:p>
        <w:p w:rsidR="007E0FDF" w:rsidRPr="00212B22" w:rsidRDefault="007E0FDF" w:rsidP="00285CFE">
          <w:pPr>
            <w:spacing w:line="360" w:lineRule="auto"/>
            <w:jc w:val="center"/>
            <w:rPr>
              <w:b/>
              <w:bCs/>
              <w:lang w:val="en-GB"/>
            </w:rPr>
          </w:pPr>
        </w:p>
        <w:p w:rsidR="007E0FDF" w:rsidRPr="00212B22" w:rsidRDefault="007E0FDF" w:rsidP="00285CFE">
          <w:pPr>
            <w:spacing w:line="360" w:lineRule="auto"/>
            <w:jc w:val="center"/>
            <w:rPr>
              <w:b/>
              <w:bCs/>
              <w:lang w:val="en-GB"/>
            </w:rPr>
          </w:pPr>
        </w:p>
        <w:p w:rsidR="007E0FDF" w:rsidRPr="00212B22" w:rsidRDefault="007E0FDF" w:rsidP="00285CFE">
          <w:pPr>
            <w:spacing w:line="360" w:lineRule="auto"/>
            <w:jc w:val="center"/>
            <w:rPr>
              <w:b/>
              <w:bCs/>
              <w:lang w:val="en-GB"/>
            </w:rPr>
          </w:pPr>
        </w:p>
        <w:p w:rsidR="007E0FDF" w:rsidRPr="00D3707F" w:rsidRDefault="007E0FDF" w:rsidP="00285CFE">
          <w:pPr>
            <w:spacing w:line="360" w:lineRule="auto"/>
            <w:jc w:val="center"/>
            <w:rPr>
              <w:b/>
              <w:bCs/>
              <w:sz w:val="28"/>
              <w:szCs w:val="28"/>
              <w:lang w:val="en-GB"/>
            </w:rPr>
          </w:pPr>
          <w:r w:rsidRPr="00D3707F">
            <w:rPr>
              <w:b/>
              <w:bCs/>
              <w:sz w:val="28"/>
              <w:szCs w:val="28"/>
            </w:rPr>
            <w:t>0</w:t>
          </w:r>
          <w:r>
            <w:rPr>
              <w:b/>
              <w:bCs/>
              <w:sz w:val="28"/>
              <w:szCs w:val="28"/>
            </w:rPr>
            <w:t>8</w:t>
          </w:r>
          <w:r w:rsidRPr="00D3707F">
            <w:rPr>
              <w:b/>
              <w:bCs/>
              <w:sz w:val="28"/>
              <w:szCs w:val="28"/>
              <w:vertAlign w:val="superscript"/>
            </w:rPr>
            <w:t>th</w:t>
          </w:r>
          <w:r w:rsidRPr="00D3707F">
            <w:rPr>
              <w:b/>
              <w:bCs/>
              <w:sz w:val="28"/>
              <w:szCs w:val="28"/>
            </w:rPr>
            <w:t xml:space="preserve"> </w:t>
          </w:r>
          <w:r>
            <w:rPr>
              <w:b/>
              <w:bCs/>
              <w:sz w:val="28"/>
              <w:szCs w:val="28"/>
            </w:rPr>
            <w:t>March</w:t>
          </w:r>
          <w:r w:rsidRPr="00D3707F">
            <w:rPr>
              <w:b/>
              <w:bCs/>
              <w:sz w:val="28"/>
              <w:szCs w:val="28"/>
            </w:rPr>
            <w:t xml:space="preserve"> 2026</w:t>
          </w:r>
        </w:p>
        <w:p w:rsidR="005F2AD1" w:rsidRDefault="007E0FDF" w:rsidP="007E0FDF"/>
      </w:sdtContent>
    </w:sdt>
    <w:p w:rsidR="007E0FDF" w:rsidRDefault="007E0FDF">
      <w:pPr>
        <w:spacing w:line="480" w:lineRule="auto"/>
      </w:pPr>
    </w:p>
    <w:p w:rsidR="007E0FDF" w:rsidRDefault="007E0FDF">
      <w:pPr>
        <w:spacing w:line="480" w:lineRule="auto"/>
      </w:pPr>
    </w:p>
    <w:p w:rsidR="007E0FDF" w:rsidRDefault="007E0FDF">
      <w:pPr>
        <w:spacing w:line="480" w:lineRule="auto"/>
      </w:pPr>
    </w:p>
    <w:p w:rsidR="007E0FDF" w:rsidRDefault="007E0FDF">
      <w:pPr>
        <w:rPr>
          <w:b/>
          <w:bCs/>
          <w:sz w:val="24"/>
          <w:szCs w:val="24"/>
        </w:rPr>
      </w:pPr>
      <w:r>
        <w:rPr>
          <w:b/>
          <w:bCs/>
          <w:sz w:val="24"/>
          <w:szCs w:val="24"/>
        </w:rPr>
        <w:br w:type="page"/>
      </w:r>
    </w:p>
    <w:sdt>
      <w:sdtPr>
        <w:rPr>
          <w:sz w:val="24"/>
          <w:szCs w:val="24"/>
        </w:rPr>
        <w:id w:val="-1435353590"/>
        <w:docPartObj>
          <w:docPartGallery w:val="Table of Contents"/>
          <w:docPartUnique/>
        </w:docPartObj>
      </w:sdtPr>
      <w:sdtEndPr>
        <w:rPr>
          <w:rFonts w:ascii="Times New Roman" w:eastAsia="Times New Roman" w:hAnsi="Times New Roman" w:cs="Times New Roman"/>
          <w:b/>
          <w:bCs/>
          <w:noProof/>
          <w:color w:val="auto"/>
          <w:lang w:val="en-MW" w:eastAsia="en-MW"/>
        </w:rPr>
      </w:sdtEndPr>
      <w:sdtContent>
        <w:p w:rsidR="00407231" w:rsidRPr="00407231" w:rsidRDefault="00407231" w:rsidP="00407231">
          <w:pPr>
            <w:pStyle w:val="TOCHeading"/>
            <w:spacing w:line="480" w:lineRule="auto"/>
            <w:rPr>
              <w:sz w:val="24"/>
              <w:szCs w:val="24"/>
            </w:rPr>
          </w:pPr>
          <w:r w:rsidRPr="00407231">
            <w:rPr>
              <w:sz w:val="24"/>
              <w:szCs w:val="24"/>
            </w:rPr>
            <w:t>Table of Contents</w:t>
          </w:r>
        </w:p>
        <w:p w:rsidR="00407231" w:rsidRPr="00407231" w:rsidRDefault="00407231" w:rsidP="00407231">
          <w:pPr>
            <w:pStyle w:val="TOC1"/>
            <w:tabs>
              <w:tab w:val="left" w:pos="720"/>
              <w:tab w:val="right" w:leader="dot" w:pos="9350"/>
            </w:tabs>
            <w:spacing w:line="480" w:lineRule="auto"/>
            <w:rPr>
              <w:rFonts w:asciiTheme="minorHAnsi" w:eastAsiaTheme="minorEastAsia" w:hAnsiTheme="minorHAnsi" w:cstheme="minorBidi"/>
              <w:noProof/>
              <w:kern w:val="2"/>
              <w:sz w:val="24"/>
              <w:szCs w:val="24"/>
              <w14:ligatures w14:val="standardContextual"/>
            </w:rPr>
          </w:pPr>
          <w:r w:rsidRPr="00407231">
            <w:rPr>
              <w:sz w:val="24"/>
              <w:szCs w:val="24"/>
            </w:rPr>
            <w:fldChar w:fldCharType="begin"/>
          </w:r>
          <w:r w:rsidRPr="00407231">
            <w:rPr>
              <w:sz w:val="24"/>
              <w:szCs w:val="24"/>
            </w:rPr>
            <w:instrText xml:space="preserve"> TOC \o "1-3" \h \z \u </w:instrText>
          </w:r>
          <w:r w:rsidRPr="00407231">
            <w:rPr>
              <w:sz w:val="24"/>
              <w:szCs w:val="24"/>
            </w:rPr>
            <w:fldChar w:fldCharType="separate"/>
          </w:r>
          <w:hyperlink w:anchor="_Toc223902784" w:history="1">
            <w:r w:rsidRPr="00407231">
              <w:rPr>
                <w:rStyle w:val="Hyperlink"/>
                <w:bCs/>
                <w:noProof/>
                <w:sz w:val="24"/>
                <w:szCs w:val="24"/>
              </w:rPr>
              <w:t>1.1</w:t>
            </w:r>
            <w:r w:rsidRPr="00407231">
              <w:rPr>
                <w:rFonts w:asciiTheme="minorHAnsi" w:eastAsiaTheme="minorEastAsia" w:hAnsiTheme="minorHAnsi" w:cstheme="minorBidi"/>
                <w:noProof/>
                <w:kern w:val="2"/>
                <w:sz w:val="24"/>
                <w:szCs w:val="24"/>
                <w14:ligatures w14:val="standardContextual"/>
              </w:rPr>
              <w:tab/>
            </w:r>
            <w:r w:rsidRPr="00407231">
              <w:rPr>
                <w:rStyle w:val="Hyperlink"/>
                <w:noProof/>
                <w:sz w:val="24"/>
                <w:szCs w:val="24"/>
              </w:rPr>
              <w:t>Introduction</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_Toc223902784 \h </w:instrText>
            </w:r>
            <w:r w:rsidRPr="00407231">
              <w:rPr>
                <w:noProof/>
                <w:webHidden/>
                <w:sz w:val="24"/>
                <w:szCs w:val="24"/>
              </w:rPr>
            </w:r>
            <w:r w:rsidRPr="00407231">
              <w:rPr>
                <w:noProof/>
                <w:webHidden/>
                <w:sz w:val="24"/>
                <w:szCs w:val="24"/>
              </w:rPr>
              <w:fldChar w:fldCharType="separate"/>
            </w:r>
            <w:r w:rsidRPr="00407231">
              <w:rPr>
                <w:noProof/>
                <w:webHidden/>
                <w:sz w:val="24"/>
                <w:szCs w:val="24"/>
              </w:rPr>
              <w:t>2</w:t>
            </w:r>
            <w:r w:rsidRPr="00407231">
              <w:rPr>
                <w:noProof/>
                <w:webHidden/>
                <w:sz w:val="24"/>
                <w:szCs w:val="24"/>
              </w:rPr>
              <w:fldChar w:fldCharType="end"/>
            </w:r>
          </w:hyperlink>
        </w:p>
        <w:p w:rsidR="00407231" w:rsidRPr="00407231" w:rsidRDefault="00407231" w:rsidP="00407231">
          <w:pPr>
            <w:pStyle w:val="TOC1"/>
            <w:tabs>
              <w:tab w:val="left" w:pos="72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3902785" w:history="1">
            <w:r w:rsidRPr="00407231">
              <w:rPr>
                <w:rStyle w:val="Hyperlink"/>
                <w:noProof/>
                <w:sz w:val="24"/>
                <w:szCs w:val="24"/>
              </w:rPr>
              <w:t>1.2</w:t>
            </w:r>
            <w:r w:rsidRPr="00407231">
              <w:rPr>
                <w:rFonts w:asciiTheme="minorHAnsi" w:eastAsiaTheme="minorEastAsia" w:hAnsiTheme="minorHAnsi" w:cstheme="minorBidi"/>
                <w:noProof/>
                <w:kern w:val="2"/>
                <w:sz w:val="24"/>
                <w:szCs w:val="24"/>
                <w14:ligatures w14:val="standardContextual"/>
              </w:rPr>
              <w:tab/>
            </w:r>
            <w:r w:rsidRPr="00407231">
              <w:rPr>
                <w:rStyle w:val="Hyperlink"/>
                <w:noProof/>
                <w:sz w:val="24"/>
                <w:szCs w:val="24"/>
              </w:rPr>
              <w:t>Wacker (1998): Theory as Formal Structure and Predictive Precision</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_Toc223902785 \h </w:instrText>
            </w:r>
            <w:r w:rsidRPr="00407231">
              <w:rPr>
                <w:noProof/>
                <w:webHidden/>
                <w:sz w:val="24"/>
                <w:szCs w:val="24"/>
              </w:rPr>
            </w:r>
            <w:r w:rsidRPr="00407231">
              <w:rPr>
                <w:noProof/>
                <w:webHidden/>
                <w:sz w:val="24"/>
                <w:szCs w:val="24"/>
              </w:rPr>
              <w:fldChar w:fldCharType="separate"/>
            </w:r>
            <w:r w:rsidRPr="00407231">
              <w:rPr>
                <w:noProof/>
                <w:webHidden/>
                <w:sz w:val="24"/>
                <w:szCs w:val="24"/>
              </w:rPr>
              <w:t>2</w:t>
            </w:r>
            <w:r w:rsidRPr="00407231">
              <w:rPr>
                <w:noProof/>
                <w:webHidden/>
                <w:sz w:val="24"/>
                <w:szCs w:val="24"/>
              </w:rPr>
              <w:fldChar w:fldCharType="end"/>
            </w:r>
          </w:hyperlink>
        </w:p>
        <w:p w:rsidR="00407231" w:rsidRPr="00407231" w:rsidRDefault="00407231" w:rsidP="00407231">
          <w:pPr>
            <w:pStyle w:val="TOC1"/>
            <w:tabs>
              <w:tab w:val="left" w:pos="72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3902786" w:history="1">
            <w:r w:rsidRPr="00407231">
              <w:rPr>
                <w:rStyle w:val="Hyperlink"/>
                <w:noProof/>
                <w:sz w:val="24"/>
                <w:szCs w:val="24"/>
              </w:rPr>
              <w:t>1.3</w:t>
            </w:r>
            <w:r w:rsidRPr="00407231">
              <w:rPr>
                <w:rFonts w:asciiTheme="minorHAnsi" w:eastAsiaTheme="minorEastAsia" w:hAnsiTheme="minorHAnsi" w:cstheme="minorBidi"/>
                <w:noProof/>
                <w:kern w:val="2"/>
                <w:sz w:val="24"/>
                <w:szCs w:val="24"/>
                <w14:ligatures w14:val="standardContextual"/>
              </w:rPr>
              <w:tab/>
            </w:r>
            <w:r w:rsidRPr="00407231">
              <w:rPr>
                <w:rStyle w:val="Hyperlink"/>
                <w:noProof/>
                <w:sz w:val="24"/>
                <w:szCs w:val="24"/>
              </w:rPr>
              <w:t>Sutton and Staw (1995): Theory as Causal Explanation, Not Surrogate</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_Toc223902786 \h </w:instrText>
            </w:r>
            <w:r w:rsidRPr="00407231">
              <w:rPr>
                <w:noProof/>
                <w:webHidden/>
                <w:sz w:val="24"/>
                <w:szCs w:val="24"/>
              </w:rPr>
            </w:r>
            <w:r w:rsidRPr="00407231">
              <w:rPr>
                <w:noProof/>
                <w:webHidden/>
                <w:sz w:val="24"/>
                <w:szCs w:val="24"/>
              </w:rPr>
              <w:fldChar w:fldCharType="separate"/>
            </w:r>
            <w:r w:rsidRPr="00407231">
              <w:rPr>
                <w:noProof/>
                <w:webHidden/>
                <w:sz w:val="24"/>
                <w:szCs w:val="24"/>
              </w:rPr>
              <w:t>3</w:t>
            </w:r>
            <w:r w:rsidRPr="00407231">
              <w:rPr>
                <w:noProof/>
                <w:webHidden/>
                <w:sz w:val="24"/>
                <w:szCs w:val="24"/>
              </w:rPr>
              <w:fldChar w:fldCharType="end"/>
            </w:r>
          </w:hyperlink>
        </w:p>
        <w:p w:rsidR="00407231" w:rsidRPr="00407231" w:rsidRDefault="00407231" w:rsidP="00407231">
          <w:pPr>
            <w:pStyle w:val="TOC1"/>
            <w:tabs>
              <w:tab w:val="left" w:pos="72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3902787" w:history="1">
            <w:r w:rsidRPr="00407231">
              <w:rPr>
                <w:rStyle w:val="Hyperlink"/>
                <w:noProof/>
                <w:sz w:val="24"/>
                <w:szCs w:val="24"/>
              </w:rPr>
              <w:t>1.4</w:t>
            </w:r>
            <w:r w:rsidRPr="00407231">
              <w:rPr>
                <w:rFonts w:asciiTheme="minorHAnsi" w:eastAsiaTheme="minorEastAsia" w:hAnsiTheme="minorHAnsi" w:cstheme="minorBidi"/>
                <w:noProof/>
                <w:kern w:val="2"/>
                <w:sz w:val="24"/>
                <w:szCs w:val="24"/>
                <w14:ligatures w14:val="standardContextual"/>
              </w:rPr>
              <w:tab/>
            </w:r>
            <w:r w:rsidRPr="00407231">
              <w:rPr>
                <w:rStyle w:val="Hyperlink"/>
                <w:noProof/>
                <w:sz w:val="24"/>
                <w:szCs w:val="24"/>
              </w:rPr>
              <w:t>Whetten (1989): Theory as Comprehensive and Novel Contribution</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_Toc223902787 \h </w:instrText>
            </w:r>
            <w:r w:rsidRPr="00407231">
              <w:rPr>
                <w:noProof/>
                <w:webHidden/>
                <w:sz w:val="24"/>
                <w:szCs w:val="24"/>
              </w:rPr>
            </w:r>
            <w:r w:rsidRPr="00407231">
              <w:rPr>
                <w:noProof/>
                <w:webHidden/>
                <w:sz w:val="24"/>
                <w:szCs w:val="24"/>
              </w:rPr>
              <w:fldChar w:fldCharType="separate"/>
            </w:r>
            <w:r w:rsidRPr="00407231">
              <w:rPr>
                <w:noProof/>
                <w:webHidden/>
                <w:sz w:val="24"/>
                <w:szCs w:val="24"/>
              </w:rPr>
              <w:t>3</w:t>
            </w:r>
            <w:r w:rsidRPr="00407231">
              <w:rPr>
                <w:noProof/>
                <w:webHidden/>
                <w:sz w:val="24"/>
                <w:szCs w:val="24"/>
              </w:rPr>
              <w:fldChar w:fldCharType="end"/>
            </w:r>
          </w:hyperlink>
        </w:p>
        <w:p w:rsidR="00407231" w:rsidRPr="00407231" w:rsidRDefault="00407231" w:rsidP="00407231">
          <w:pPr>
            <w:pStyle w:val="TOC1"/>
            <w:tabs>
              <w:tab w:val="left" w:pos="72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3902788" w:history="1">
            <w:r w:rsidRPr="00407231">
              <w:rPr>
                <w:rStyle w:val="Hyperlink"/>
                <w:noProof/>
                <w:sz w:val="24"/>
                <w:szCs w:val="24"/>
              </w:rPr>
              <w:t>1.5</w:t>
            </w:r>
            <w:r w:rsidRPr="00407231">
              <w:rPr>
                <w:rFonts w:asciiTheme="minorHAnsi" w:eastAsiaTheme="minorEastAsia" w:hAnsiTheme="minorHAnsi" w:cstheme="minorBidi"/>
                <w:noProof/>
                <w:kern w:val="2"/>
                <w:sz w:val="24"/>
                <w:szCs w:val="24"/>
                <w14:ligatures w14:val="standardContextual"/>
              </w:rPr>
              <w:tab/>
            </w:r>
            <w:r w:rsidRPr="00407231">
              <w:rPr>
                <w:rStyle w:val="Hyperlink"/>
                <w:noProof/>
                <w:sz w:val="24"/>
                <w:szCs w:val="24"/>
              </w:rPr>
              <w:t>Campbell-Evans (1992) and Carson (2005): Interpretivist and Objectivist</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_Toc223902788 \h </w:instrText>
            </w:r>
            <w:r w:rsidRPr="00407231">
              <w:rPr>
                <w:noProof/>
                <w:webHidden/>
                <w:sz w:val="24"/>
                <w:szCs w:val="24"/>
              </w:rPr>
            </w:r>
            <w:r w:rsidRPr="00407231">
              <w:rPr>
                <w:noProof/>
                <w:webHidden/>
                <w:sz w:val="24"/>
                <w:szCs w:val="24"/>
              </w:rPr>
              <w:fldChar w:fldCharType="separate"/>
            </w:r>
            <w:r w:rsidRPr="00407231">
              <w:rPr>
                <w:noProof/>
                <w:webHidden/>
                <w:sz w:val="24"/>
                <w:szCs w:val="24"/>
              </w:rPr>
              <w:t>4</w:t>
            </w:r>
            <w:r w:rsidRPr="00407231">
              <w:rPr>
                <w:noProof/>
                <w:webHidden/>
                <w:sz w:val="24"/>
                <w:szCs w:val="24"/>
              </w:rPr>
              <w:fldChar w:fldCharType="end"/>
            </w:r>
          </w:hyperlink>
        </w:p>
        <w:p w:rsidR="00407231" w:rsidRPr="00407231" w:rsidRDefault="00407231" w:rsidP="00407231">
          <w:pPr>
            <w:pStyle w:val="TOC1"/>
            <w:tabs>
              <w:tab w:val="left" w:pos="72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3902789" w:history="1">
            <w:r w:rsidRPr="00407231">
              <w:rPr>
                <w:rStyle w:val="Hyperlink"/>
                <w:noProof/>
                <w:sz w:val="24"/>
                <w:szCs w:val="24"/>
              </w:rPr>
              <w:t>1.6</w:t>
            </w:r>
            <w:r w:rsidRPr="00407231">
              <w:rPr>
                <w:rFonts w:asciiTheme="minorHAnsi" w:eastAsiaTheme="minorEastAsia" w:hAnsiTheme="minorHAnsi" w:cstheme="minorBidi"/>
                <w:noProof/>
                <w:kern w:val="2"/>
                <w:sz w:val="24"/>
                <w:szCs w:val="24"/>
                <w14:ligatures w14:val="standardContextual"/>
              </w:rPr>
              <w:tab/>
            </w:r>
            <w:r w:rsidRPr="00407231">
              <w:rPr>
                <w:rStyle w:val="Hyperlink"/>
                <w:noProof/>
                <w:sz w:val="24"/>
                <w:szCs w:val="24"/>
              </w:rPr>
              <w:t>Comparative Analysis: Convergences and Divergences</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_Toc223902789 \h </w:instrText>
            </w:r>
            <w:r w:rsidRPr="00407231">
              <w:rPr>
                <w:noProof/>
                <w:webHidden/>
                <w:sz w:val="24"/>
                <w:szCs w:val="24"/>
              </w:rPr>
            </w:r>
            <w:r w:rsidRPr="00407231">
              <w:rPr>
                <w:noProof/>
                <w:webHidden/>
                <w:sz w:val="24"/>
                <w:szCs w:val="24"/>
              </w:rPr>
              <w:fldChar w:fldCharType="separate"/>
            </w:r>
            <w:r w:rsidRPr="00407231">
              <w:rPr>
                <w:noProof/>
                <w:webHidden/>
                <w:sz w:val="24"/>
                <w:szCs w:val="24"/>
              </w:rPr>
              <w:t>5</w:t>
            </w:r>
            <w:r w:rsidRPr="00407231">
              <w:rPr>
                <w:noProof/>
                <w:webHidden/>
                <w:sz w:val="24"/>
                <w:szCs w:val="24"/>
              </w:rPr>
              <w:fldChar w:fldCharType="end"/>
            </w:r>
          </w:hyperlink>
        </w:p>
        <w:p w:rsidR="00407231" w:rsidRPr="00407231" w:rsidRDefault="00407231" w:rsidP="00407231">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3902790" w:history="1">
            <w:r w:rsidRPr="00407231">
              <w:rPr>
                <w:rStyle w:val="Hyperlink"/>
                <w:noProof/>
                <w:sz w:val="24"/>
                <w:szCs w:val="24"/>
              </w:rPr>
              <w:t>Conclusion</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_Toc223902790 \h </w:instrText>
            </w:r>
            <w:r w:rsidRPr="00407231">
              <w:rPr>
                <w:noProof/>
                <w:webHidden/>
                <w:sz w:val="24"/>
                <w:szCs w:val="24"/>
              </w:rPr>
            </w:r>
            <w:r w:rsidRPr="00407231">
              <w:rPr>
                <w:noProof/>
                <w:webHidden/>
                <w:sz w:val="24"/>
                <w:szCs w:val="24"/>
              </w:rPr>
              <w:fldChar w:fldCharType="separate"/>
            </w:r>
            <w:r w:rsidRPr="00407231">
              <w:rPr>
                <w:noProof/>
                <w:webHidden/>
                <w:sz w:val="24"/>
                <w:szCs w:val="24"/>
              </w:rPr>
              <w:t>6</w:t>
            </w:r>
            <w:r w:rsidRPr="00407231">
              <w:rPr>
                <w:noProof/>
                <w:webHidden/>
                <w:sz w:val="24"/>
                <w:szCs w:val="24"/>
              </w:rPr>
              <w:fldChar w:fldCharType="end"/>
            </w:r>
          </w:hyperlink>
        </w:p>
        <w:p w:rsidR="00407231" w:rsidRPr="00407231" w:rsidRDefault="00407231" w:rsidP="00407231">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23902791" w:history="1">
            <w:r w:rsidRPr="00407231">
              <w:rPr>
                <w:rStyle w:val="Hyperlink"/>
                <w:noProof/>
                <w:sz w:val="24"/>
                <w:szCs w:val="24"/>
              </w:rPr>
              <w:t>References</w:t>
            </w:r>
            <w:r w:rsidRPr="00407231">
              <w:rPr>
                <w:noProof/>
                <w:webHidden/>
                <w:sz w:val="24"/>
                <w:szCs w:val="24"/>
              </w:rPr>
              <w:tab/>
            </w:r>
            <w:r w:rsidRPr="00407231">
              <w:rPr>
                <w:noProof/>
                <w:webHidden/>
                <w:sz w:val="24"/>
                <w:szCs w:val="24"/>
              </w:rPr>
              <w:fldChar w:fldCharType="begin"/>
            </w:r>
            <w:r w:rsidRPr="00407231">
              <w:rPr>
                <w:noProof/>
                <w:webHidden/>
                <w:sz w:val="24"/>
                <w:szCs w:val="24"/>
              </w:rPr>
              <w:instrText xml:space="preserve"> PAGEREF _Toc223902791 \h </w:instrText>
            </w:r>
            <w:r w:rsidRPr="00407231">
              <w:rPr>
                <w:noProof/>
                <w:webHidden/>
                <w:sz w:val="24"/>
                <w:szCs w:val="24"/>
              </w:rPr>
            </w:r>
            <w:r w:rsidRPr="00407231">
              <w:rPr>
                <w:noProof/>
                <w:webHidden/>
                <w:sz w:val="24"/>
                <w:szCs w:val="24"/>
              </w:rPr>
              <w:fldChar w:fldCharType="separate"/>
            </w:r>
            <w:r w:rsidRPr="00407231">
              <w:rPr>
                <w:noProof/>
                <w:webHidden/>
                <w:sz w:val="24"/>
                <w:szCs w:val="24"/>
              </w:rPr>
              <w:t>7</w:t>
            </w:r>
            <w:r w:rsidRPr="00407231">
              <w:rPr>
                <w:noProof/>
                <w:webHidden/>
                <w:sz w:val="24"/>
                <w:szCs w:val="24"/>
              </w:rPr>
              <w:fldChar w:fldCharType="end"/>
            </w:r>
          </w:hyperlink>
        </w:p>
        <w:p w:rsidR="00407231" w:rsidRPr="00407231" w:rsidRDefault="00407231" w:rsidP="00407231">
          <w:pPr>
            <w:spacing w:line="480" w:lineRule="auto"/>
            <w:rPr>
              <w:sz w:val="24"/>
              <w:szCs w:val="24"/>
            </w:rPr>
          </w:pPr>
          <w:r w:rsidRPr="00407231">
            <w:rPr>
              <w:b/>
              <w:bCs/>
              <w:noProof/>
              <w:sz w:val="24"/>
              <w:szCs w:val="24"/>
            </w:rPr>
            <w:fldChar w:fldCharType="end"/>
          </w:r>
        </w:p>
      </w:sdtContent>
    </w:sdt>
    <w:p w:rsidR="00407231" w:rsidRPr="00407231" w:rsidRDefault="00407231" w:rsidP="00407231">
      <w:pPr>
        <w:spacing w:line="480" w:lineRule="auto"/>
        <w:rPr>
          <w:b/>
          <w:bCs/>
          <w:sz w:val="24"/>
          <w:szCs w:val="24"/>
        </w:rPr>
      </w:pPr>
      <w:r w:rsidRPr="00407231">
        <w:rPr>
          <w:bCs/>
          <w:sz w:val="24"/>
          <w:szCs w:val="24"/>
        </w:rPr>
        <w:br w:type="page"/>
      </w:r>
    </w:p>
    <w:p w:rsidR="005F2AD1" w:rsidRDefault="007E0FDF" w:rsidP="007E0FDF">
      <w:pPr>
        <w:pStyle w:val="Heading1"/>
      </w:pPr>
      <w:bookmarkStart w:id="1" w:name="_Toc223902784"/>
      <w:r w:rsidRPr="007E0FDF">
        <w:rPr>
          <w:bCs/>
        </w:rPr>
        <w:lastRenderedPageBreak/>
        <w:t>1.1</w:t>
      </w:r>
      <w:r>
        <w:rPr>
          <w:b w:val="0"/>
        </w:rPr>
        <w:tab/>
      </w:r>
      <w:r w:rsidR="00000000">
        <w:t>Introduction</w:t>
      </w:r>
      <w:bookmarkEnd w:id="1"/>
    </w:p>
    <w:p w:rsidR="005F2AD1" w:rsidRDefault="00000000">
      <w:pPr>
        <w:spacing w:line="480" w:lineRule="auto"/>
        <w:ind w:firstLine="720"/>
      </w:pPr>
      <w:r>
        <w:rPr>
          <w:sz w:val="24"/>
          <w:szCs w:val="24"/>
        </w:rPr>
        <w:t xml:space="preserve">What makes a framework a theory? Despite its centrality to academic research, the concept of theory remains contested across disciplines. Scholars disagree on whether theory demands predictive power, causal explanation, interpretive richness, or scholarly novelty. This paper argues that theory is not a monolithic construct but rather a multidimensional one whose definition depends on epistemological tradition, disciplinary purpose, and methodological approach. Drawing on Wacker (1998), Sutton and </w:t>
      </w:r>
      <w:proofErr w:type="spellStart"/>
      <w:r>
        <w:rPr>
          <w:sz w:val="24"/>
          <w:szCs w:val="24"/>
        </w:rPr>
        <w:t>Staw</w:t>
      </w:r>
      <w:proofErr w:type="spellEnd"/>
      <w:r>
        <w:rPr>
          <w:sz w:val="24"/>
          <w:szCs w:val="24"/>
        </w:rPr>
        <w:t xml:space="preserve"> (1995), Whetten (1989), Campbell-Evans (1992), Carson (2005), Lee (2025), Levine and Markowitz (2024), and Cornelissen et al. (2021), this paper compares and contrasts at least three views of what constitutes a theory to illuminate key agreements, tensions, and implications for research practice.</w:t>
      </w:r>
    </w:p>
    <w:p w:rsidR="005F2AD1" w:rsidRDefault="007E0FDF" w:rsidP="007E0FDF">
      <w:pPr>
        <w:pStyle w:val="Heading1"/>
      </w:pPr>
      <w:bookmarkStart w:id="2" w:name="_Toc223902785"/>
      <w:r>
        <w:t>1.2</w:t>
      </w:r>
      <w:r>
        <w:tab/>
      </w:r>
      <w:r w:rsidR="00000000">
        <w:t>Wacker (1998): Theory as Formal Structure and Predictive Precision</w:t>
      </w:r>
      <w:bookmarkEnd w:id="2"/>
    </w:p>
    <w:p w:rsidR="005F2AD1" w:rsidRDefault="00000000">
      <w:pPr>
        <w:spacing w:line="480" w:lineRule="auto"/>
        <w:ind w:firstLine="720"/>
      </w:pPr>
      <w:r>
        <w:rPr>
          <w:sz w:val="24"/>
          <w:szCs w:val="24"/>
        </w:rPr>
        <w:t>Wacker (1998) offers one of the most prescriptive definitions of theory in management research. He argues that a valid theory must contain four essential components: (1) conceptual definitions that clearly delineate constructs, (2) domain limitations that establish boundaries of applicability, (3) relational statements that describe how constructs interact, and (4) predictions that render the theory empirically testable and falsifiable. Without these four components, Wacker contends, what researchers call theory is likely taxonomy, conjecture, or pure description. His framework reflects a positivist orientation in which theory's ultimate purpose is to generate generalizable, testable, and parsimonious knowledge.</w:t>
      </w:r>
    </w:p>
    <w:p w:rsidR="005F2AD1" w:rsidRDefault="00000000">
      <w:pPr>
        <w:spacing w:line="480" w:lineRule="auto"/>
        <w:ind w:firstLine="720"/>
      </w:pPr>
      <w:r>
        <w:rPr>
          <w:sz w:val="24"/>
          <w:szCs w:val="24"/>
        </w:rPr>
        <w:t xml:space="preserve">Wacker further distinguishes between theory-building methods, including analytical, empirical, case study, and axiomatic approaches, arguing that each can satisfy his four requirements through different means. His normative concern is that much published work in operations management is data-rich but theoretically hollow. Lee (2025) affirms this concern in a </w:t>
      </w:r>
      <w:r>
        <w:rPr>
          <w:sz w:val="24"/>
          <w:szCs w:val="24"/>
        </w:rPr>
        <w:lastRenderedPageBreak/>
        <w:t>more recent context, noting that researchers often confuse theoretical frameworks with theory itself, treating borrowed conceptual structures as if they constitute original theoretical contributions. Both Wacker and Lee converge on the point that theory must move beyond borrowed scaffolding to supply genuine explanatory architecture.</w:t>
      </w:r>
    </w:p>
    <w:p w:rsidR="005F2AD1" w:rsidRDefault="007E0FDF" w:rsidP="007E0FDF">
      <w:pPr>
        <w:pStyle w:val="Heading1"/>
      </w:pPr>
      <w:bookmarkStart w:id="3" w:name="_Toc223902786"/>
      <w:r>
        <w:t>1.3</w:t>
      </w:r>
      <w:r>
        <w:tab/>
      </w:r>
      <w:r w:rsidR="00000000">
        <w:t xml:space="preserve">Sutton and </w:t>
      </w:r>
      <w:proofErr w:type="spellStart"/>
      <w:r w:rsidR="00000000">
        <w:t>Staw</w:t>
      </w:r>
      <w:proofErr w:type="spellEnd"/>
      <w:r w:rsidR="00000000">
        <w:t xml:space="preserve"> (1995): Theory as Causal Explanation, Not Surrogate</w:t>
      </w:r>
      <w:bookmarkEnd w:id="3"/>
    </w:p>
    <w:p w:rsidR="005F2AD1" w:rsidRDefault="00000000">
      <w:pPr>
        <w:spacing w:line="480" w:lineRule="auto"/>
        <w:ind w:firstLine="720"/>
      </w:pPr>
      <w:r>
        <w:rPr>
          <w:sz w:val="24"/>
          <w:szCs w:val="24"/>
        </w:rPr>
        <w:t xml:space="preserve">Sutton and </w:t>
      </w:r>
      <w:proofErr w:type="spellStart"/>
      <w:r>
        <w:rPr>
          <w:sz w:val="24"/>
          <w:szCs w:val="24"/>
        </w:rPr>
        <w:t>Staw</w:t>
      </w:r>
      <w:proofErr w:type="spellEnd"/>
      <w:r>
        <w:rPr>
          <w:sz w:val="24"/>
          <w:szCs w:val="24"/>
        </w:rPr>
        <w:t xml:space="preserve"> (1995) advance a view of theory defined by its explanatory core. Their influential article argues that references, data, lists of variables, diagrams, and hypotheses are not theory. Rather, theory is the logical argument that explains why relationships exist, connecting constructs through causal mechanisms. For Sutton and </w:t>
      </w:r>
      <w:proofErr w:type="spellStart"/>
      <w:r>
        <w:rPr>
          <w:sz w:val="24"/>
          <w:szCs w:val="24"/>
        </w:rPr>
        <w:t>Staw</w:t>
      </w:r>
      <w:proofErr w:type="spellEnd"/>
      <w:r>
        <w:rPr>
          <w:sz w:val="24"/>
          <w:szCs w:val="24"/>
        </w:rPr>
        <w:t>, the critical question a theory must answer is why: why do certain phenomena occur, why do specific relationships hold, and through what mechanism. Without this explanatory logic, empirical findings remain intellectually inert, unable to generate new hypotheses or generalize beyond the immediate study.</w:t>
      </w:r>
    </w:p>
    <w:p w:rsidR="005F2AD1" w:rsidRDefault="00000000">
      <w:pPr>
        <w:spacing w:line="480" w:lineRule="auto"/>
        <w:ind w:firstLine="720"/>
      </w:pPr>
      <w:r>
        <w:rPr>
          <w:sz w:val="24"/>
          <w:szCs w:val="24"/>
        </w:rPr>
        <w:t xml:space="preserve">Levine and Markowitz (2024) extend this view into communication research, arguing that theory serves not only to explain but also to set research agendas by directing scholars toward meaningful questions and away from atheoretical data accumulation. They note that nearly 80 percent of published communication research engages with theory in some form, yet the quality of that engagement varies enormously. This echoes Sutton and </w:t>
      </w:r>
      <w:proofErr w:type="spellStart"/>
      <w:r>
        <w:rPr>
          <w:sz w:val="24"/>
          <w:szCs w:val="24"/>
        </w:rPr>
        <w:t>Staw's</w:t>
      </w:r>
      <w:proofErr w:type="spellEnd"/>
      <w:r>
        <w:rPr>
          <w:sz w:val="24"/>
          <w:szCs w:val="24"/>
        </w:rPr>
        <w:t xml:space="preserve"> concern: the presence of theoretical language does not guarantee theoretical substance. Together, both perspectives reinforce that theory must supply genuine causal logic, not merely dress empirical work in conceptual vocabulary.</w:t>
      </w:r>
    </w:p>
    <w:p w:rsidR="005F2AD1" w:rsidRDefault="007E0FDF" w:rsidP="007E0FDF">
      <w:pPr>
        <w:pStyle w:val="Heading1"/>
      </w:pPr>
      <w:bookmarkStart w:id="4" w:name="_Toc223902787"/>
      <w:r>
        <w:t>1.4</w:t>
      </w:r>
      <w:r>
        <w:tab/>
      </w:r>
      <w:r w:rsidR="00000000">
        <w:t>Whetten (1989): Theory as Comprehensive and Novel Contribution</w:t>
      </w:r>
      <w:bookmarkEnd w:id="4"/>
    </w:p>
    <w:p w:rsidR="005F2AD1" w:rsidRDefault="00000000">
      <w:pPr>
        <w:spacing w:line="480" w:lineRule="auto"/>
        <w:ind w:firstLine="720"/>
      </w:pPr>
      <w:r>
        <w:rPr>
          <w:sz w:val="24"/>
          <w:szCs w:val="24"/>
        </w:rPr>
        <w:t xml:space="preserve">Whetten (1989) approaches the question of theory by asking what constitutes a genuine theoretical contribution. He proposes that theory must address four dimensions: What (the </w:t>
      </w:r>
      <w:r>
        <w:rPr>
          <w:sz w:val="24"/>
          <w:szCs w:val="24"/>
        </w:rPr>
        <w:lastRenderedPageBreak/>
        <w:t xml:space="preserve">variables or constructs involved), How (their relationships), Why (the underlying logic or mechanism), and Who, When, and Where (the scope conditions). Unlike Wacker, who emphasizes internal structure, and Sutton and </w:t>
      </w:r>
      <w:proofErr w:type="spellStart"/>
      <w:r>
        <w:rPr>
          <w:sz w:val="24"/>
          <w:szCs w:val="24"/>
        </w:rPr>
        <w:t>Staw</w:t>
      </w:r>
      <w:proofErr w:type="spellEnd"/>
      <w:r>
        <w:rPr>
          <w:sz w:val="24"/>
          <w:szCs w:val="24"/>
        </w:rPr>
        <w:t>, who emphasize causal reasoning, Whetten introduces an explicitly normative and social dimension: theory must add novel value to the scholarly community, not merely reproduce or repackage what is already known.</w:t>
      </w:r>
    </w:p>
    <w:p w:rsidR="005F2AD1" w:rsidRDefault="005F2AD1">
      <w:pPr>
        <w:spacing w:line="480" w:lineRule="auto"/>
      </w:pPr>
    </w:p>
    <w:p w:rsidR="005F2AD1" w:rsidRDefault="00000000">
      <w:pPr>
        <w:spacing w:line="480" w:lineRule="auto"/>
        <w:ind w:firstLine="720"/>
      </w:pPr>
      <w:r>
        <w:rPr>
          <w:sz w:val="24"/>
          <w:szCs w:val="24"/>
        </w:rPr>
        <w:t xml:space="preserve">Cornelissen et al. (2021) build directly on this tradition by articulating multiple forms of theorizing in organizational scholarship, arguing that theory is not limited to formal hypothetico-deductive models. They distinguish between theorizing through metaphor, analogy, and narrative, positioning these as equally legitimate modes of generating new conceptual insight. This pluralistic view challenges the narrower frameworks of Wacker and Sutton and </w:t>
      </w:r>
      <w:proofErr w:type="spellStart"/>
      <w:r>
        <w:rPr>
          <w:sz w:val="24"/>
          <w:szCs w:val="24"/>
        </w:rPr>
        <w:t>Staw</w:t>
      </w:r>
      <w:proofErr w:type="spellEnd"/>
      <w:r>
        <w:rPr>
          <w:sz w:val="24"/>
          <w:szCs w:val="24"/>
        </w:rPr>
        <w:t xml:space="preserve"> by recognizing that theoretical contribution can take many forms, so long as it advances the intellectual frontier of a field. Whetten's emphasis on novelty and Cornelissen et al.'s emphasis on form together suggest that theory is as much a social and rhetorical achievement as it is a logical one.</w:t>
      </w:r>
    </w:p>
    <w:p w:rsidR="00407231" w:rsidRDefault="007E0FDF" w:rsidP="00407231">
      <w:pPr>
        <w:pStyle w:val="Heading1"/>
      </w:pPr>
      <w:bookmarkStart w:id="5" w:name="_Toc223902788"/>
      <w:r>
        <w:t>1.5</w:t>
      </w:r>
      <w:r>
        <w:tab/>
      </w:r>
      <w:r w:rsidR="00000000">
        <w:t>Campbell-Evans (1992) and Carson (2005): Interpretivist and Objectivist</w:t>
      </w:r>
      <w:bookmarkEnd w:id="5"/>
      <w:r w:rsidR="00000000">
        <w:t xml:space="preserve"> </w:t>
      </w:r>
      <w:r w:rsidR="00407231">
        <w:tab/>
      </w:r>
    </w:p>
    <w:p w:rsidR="005F2AD1" w:rsidRDefault="00000000" w:rsidP="00407231">
      <w:pPr>
        <w:spacing w:line="480" w:lineRule="auto"/>
        <w:ind w:firstLine="720"/>
      </w:pPr>
      <w:r w:rsidRPr="00407231">
        <w:rPr>
          <w:sz w:val="24"/>
          <w:szCs w:val="24"/>
        </w:rPr>
        <w:t>Campbell-Evans (1992) challenges positivist definitions of theory by arguing for a qualitative, interpretive approach in which theory emerges inductively from rich, contextualized human experience. In her framework, theory is not a set of fixed propositions to be tested but an evolving, situated understanding developed through the researcher's engagement with participants and settings. Theoretical adequacy, for Campbell-Evans, is measured not by falsifiability or predictive accuracy but by credibility, transferability, and dependability. Her framework is rooted in phenomenological and constructivist traditions, which position knowledge as socially constructed and context-dependent</w:t>
      </w:r>
      <w:r>
        <w:t>.</w:t>
      </w:r>
    </w:p>
    <w:p w:rsidR="005F2AD1" w:rsidRDefault="00000000">
      <w:pPr>
        <w:spacing w:line="480" w:lineRule="auto"/>
        <w:ind w:firstLine="720"/>
      </w:pPr>
      <w:r>
        <w:rPr>
          <w:sz w:val="24"/>
          <w:szCs w:val="24"/>
        </w:rPr>
        <w:lastRenderedPageBreak/>
        <w:t>Carson (2005), by contrast, grounds theory in objectivist epistemology, arguing that valid theory must accurately reflect an objectively knowable reality through logical reasoning and empirical observation. For Carson, theoretical clarity is inseparable from conceptual precision: terms must be rigorously defined, and propositions must correspond to observable reality. This places Carson in alignment with Wacker on the importance of definitional rigor but adds a philosophical layer grounded in the correspondence theory of truth. The contrast between Campbell-Evans and Carson captures the deepest epistemological fault line in the theory debate: whether reality is objective and discoverable, or socially constructed and interpretable.</w:t>
      </w:r>
    </w:p>
    <w:p w:rsidR="005F2AD1" w:rsidRDefault="00407231" w:rsidP="00407231">
      <w:pPr>
        <w:pStyle w:val="Heading1"/>
      </w:pPr>
      <w:bookmarkStart w:id="6" w:name="_Toc223902789"/>
      <w:r>
        <w:t>1.6</w:t>
      </w:r>
      <w:r>
        <w:tab/>
      </w:r>
      <w:r w:rsidR="00000000">
        <w:t>Comparative Analysis: Convergences and Divergences</w:t>
      </w:r>
      <w:bookmarkEnd w:id="6"/>
    </w:p>
    <w:p w:rsidR="005F2AD1" w:rsidRDefault="00000000">
      <w:pPr>
        <w:spacing w:line="480" w:lineRule="auto"/>
        <w:ind w:firstLine="720"/>
      </w:pPr>
      <w:r>
        <w:rPr>
          <w:sz w:val="24"/>
          <w:szCs w:val="24"/>
        </w:rPr>
        <w:t xml:space="preserve">Across these eight perspectives, three major dimensions of comparison emerge. The first concerns the purpose of theory. Wacker (1998), Sutton and </w:t>
      </w:r>
      <w:proofErr w:type="spellStart"/>
      <w:r>
        <w:rPr>
          <w:sz w:val="24"/>
          <w:szCs w:val="24"/>
        </w:rPr>
        <w:t>Staw</w:t>
      </w:r>
      <w:proofErr w:type="spellEnd"/>
      <w:r>
        <w:rPr>
          <w:sz w:val="24"/>
          <w:szCs w:val="24"/>
        </w:rPr>
        <w:t xml:space="preserve"> (1995), Carson (2005), and Lee (2025) all hold that theory must explain and predict, providing generalizable causal accounts of phenomena. Whetten (1989) and Cornelissen et al. (2021) add that theory must also contribute novelty. Campbell-Evans (1992) and Levine and Markowitz (2024) diversify this picture by arguing that theory's purpose can equally be interpretive understanding or research agenda-setting, not solely prediction.</w:t>
      </w:r>
    </w:p>
    <w:p w:rsidR="005F2AD1" w:rsidRDefault="00000000">
      <w:pPr>
        <w:spacing w:line="480" w:lineRule="auto"/>
        <w:ind w:firstLine="720"/>
      </w:pPr>
      <w:r>
        <w:rPr>
          <w:sz w:val="24"/>
          <w:szCs w:val="24"/>
        </w:rPr>
        <w:t xml:space="preserve">The </w:t>
      </w:r>
      <w:proofErr w:type="gramStart"/>
      <w:r>
        <w:rPr>
          <w:sz w:val="24"/>
          <w:szCs w:val="24"/>
        </w:rPr>
        <w:t>second dimension</w:t>
      </w:r>
      <w:proofErr w:type="gramEnd"/>
      <w:r>
        <w:rPr>
          <w:sz w:val="24"/>
          <w:szCs w:val="24"/>
        </w:rPr>
        <w:t xml:space="preserve"> concerns theoretical components. Wacker provides the most formally prescriptive checklist. Whetten's What-How-Why-Who/When/Where model is similarly structured but adds scope and contribution as requirements. Sutton and </w:t>
      </w:r>
      <w:proofErr w:type="spellStart"/>
      <w:r>
        <w:rPr>
          <w:sz w:val="24"/>
          <w:szCs w:val="24"/>
        </w:rPr>
        <w:t>Staw</w:t>
      </w:r>
      <w:proofErr w:type="spellEnd"/>
      <w:r>
        <w:rPr>
          <w:sz w:val="24"/>
          <w:szCs w:val="24"/>
        </w:rPr>
        <w:t xml:space="preserve"> and Lee focus on the quality of explanation rather than its structural form. Cornelissen et al. allow for non-propositional forms of theory, such as metaphor and narrative. Campbell-Evans and Carson do not offer structural checklists but instead anchor their standards in epistemological foundations, interpretive coherence and objective correspondence respectively.</w:t>
      </w:r>
    </w:p>
    <w:p w:rsidR="005F2AD1" w:rsidRDefault="00000000">
      <w:pPr>
        <w:spacing w:line="480" w:lineRule="auto"/>
        <w:ind w:firstLine="720"/>
      </w:pPr>
      <w:r>
        <w:rPr>
          <w:sz w:val="24"/>
          <w:szCs w:val="24"/>
        </w:rPr>
        <w:lastRenderedPageBreak/>
        <w:t xml:space="preserve">The </w:t>
      </w:r>
      <w:proofErr w:type="gramStart"/>
      <w:r>
        <w:rPr>
          <w:sz w:val="24"/>
          <w:szCs w:val="24"/>
        </w:rPr>
        <w:t>third dimension</w:t>
      </w:r>
      <w:proofErr w:type="gramEnd"/>
      <w:r>
        <w:rPr>
          <w:sz w:val="24"/>
          <w:szCs w:val="24"/>
        </w:rPr>
        <w:t xml:space="preserve"> concerns empirical validation. Wacker, Sutton and </w:t>
      </w:r>
      <w:proofErr w:type="spellStart"/>
      <w:r>
        <w:rPr>
          <w:sz w:val="24"/>
          <w:szCs w:val="24"/>
        </w:rPr>
        <w:t>Staw</w:t>
      </w:r>
      <w:proofErr w:type="spellEnd"/>
      <w:r>
        <w:rPr>
          <w:sz w:val="24"/>
          <w:szCs w:val="24"/>
        </w:rPr>
        <w:t>, Carson, and Levine and Markowitz all require that theory be verifiable, falsifiable, or at minimum empirically grounded. Campbell-Evans replaces falsifiability with qualitative standards of trustworthiness. Cornelissen et al. suggest that theoretical rigor in organizational scholarship may be assessed through conceptual clarity and generative power rather than empirical testing alone. This divide between positivist and interpretive validation criteria is perhaps the most consequential for researchers choosing among these frameworks.</w:t>
      </w:r>
    </w:p>
    <w:p w:rsidR="005F2AD1" w:rsidRDefault="00000000" w:rsidP="00407231">
      <w:pPr>
        <w:pStyle w:val="Heading1"/>
      </w:pPr>
      <w:bookmarkStart w:id="7" w:name="_Toc223902790"/>
      <w:r>
        <w:t>Conclusion</w:t>
      </w:r>
      <w:bookmarkEnd w:id="7"/>
    </w:p>
    <w:p w:rsidR="005F2AD1" w:rsidRDefault="00000000">
      <w:pPr>
        <w:spacing w:line="480" w:lineRule="auto"/>
        <w:ind w:firstLine="720"/>
      </w:pPr>
      <w:r>
        <w:rPr>
          <w:sz w:val="24"/>
          <w:szCs w:val="24"/>
        </w:rPr>
        <w:t xml:space="preserve">Theory is not a settled concept. Wacker (1998), Sutton and </w:t>
      </w:r>
      <w:proofErr w:type="spellStart"/>
      <w:r>
        <w:rPr>
          <w:sz w:val="24"/>
          <w:szCs w:val="24"/>
        </w:rPr>
        <w:t>Staw</w:t>
      </w:r>
      <w:proofErr w:type="spellEnd"/>
      <w:r>
        <w:rPr>
          <w:sz w:val="24"/>
          <w:szCs w:val="24"/>
        </w:rPr>
        <w:t xml:space="preserve"> (1995), and Whetten (1989) collectively define the positivist tradition, emphasizing structure, causal logic, and scholarly novelty. More recent scholars such as Lee (2025), Levine and Markowitz (2024), and Cornelissen et al. (2021) extend and nuance this tradition by attending to the confusion between frameworks and theory, the agenda-setting function of theory, and the plurality of theorizing modes. Campbell-Evans (1992) and Carson (2005) anchor the epistemological poles of the debate, foregrounding the choice between constructivism and objectivism as foundational. What emerges is a rich, multi-dimensional understanding of theory: one that demands not a single correct definition but a thoughtful, reflexive awareness of the assumptions that every definitional choice entails. Researchers who engage seriously with these competing perspectives are better equipped to make methodologically coherent, theoretically substantive contributions to their fields.</w:t>
      </w:r>
    </w:p>
    <w:p w:rsidR="005F2AD1" w:rsidRDefault="005F2AD1">
      <w:pPr>
        <w:spacing w:line="480" w:lineRule="auto"/>
      </w:pPr>
    </w:p>
    <w:p w:rsidR="00407231" w:rsidRDefault="00407231">
      <w:pPr>
        <w:rPr>
          <w:b/>
          <w:sz w:val="24"/>
          <w:szCs w:val="32"/>
        </w:rPr>
      </w:pPr>
      <w:r>
        <w:br w:type="page"/>
      </w:r>
    </w:p>
    <w:p w:rsidR="005F2AD1" w:rsidRDefault="00000000" w:rsidP="00407231">
      <w:pPr>
        <w:pStyle w:val="Heading1"/>
      </w:pPr>
      <w:bookmarkStart w:id="8" w:name="_Toc223902791"/>
      <w:r>
        <w:lastRenderedPageBreak/>
        <w:t>References</w:t>
      </w:r>
      <w:bookmarkEnd w:id="8"/>
    </w:p>
    <w:p w:rsidR="005F2AD1" w:rsidRDefault="00000000">
      <w:pPr>
        <w:spacing w:line="480" w:lineRule="auto"/>
        <w:ind w:left="720" w:hanging="720"/>
      </w:pPr>
      <w:r>
        <w:rPr>
          <w:sz w:val="24"/>
          <w:szCs w:val="24"/>
        </w:rPr>
        <w:t>Campbell-Evans, G. (1992). A qualitative research approach. Issues in Educational Research, 2, 25-33. https://www.iier.org.au/iier2/campbell-evans.html</w:t>
      </w:r>
    </w:p>
    <w:p w:rsidR="005F2AD1" w:rsidRDefault="00000000">
      <w:pPr>
        <w:spacing w:line="480" w:lineRule="auto"/>
        <w:ind w:left="720" w:hanging="720"/>
      </w:pPr>
      <w:r>
        <w:rPr>
          <w:sz w:val="24"/>
          <w:szCs w:val="24"/>
        </w:rPr>
        <w:t>Carson, J. P. (2005). A philosophical analysis of objectivist education [Doctoral dissertation, University of Texas at Austin]. University of Texas Repository. https://repositories.lib.utexas.edu/bitstream/handle/2152/1860/carsonj33075.pdf</w:t>
      </w:r>
    </w:p>
    <w:p w:rsidR="005F2AD1" w:rsidRDefault="00000000">
      <w:pPr>
        <w:spacing w:line="480" w:lineRule="auto"/>
        <w:ind w:left="720" w:hanging="720"/>
      </w:pPr>
      <w:r>
        <w:rPr>
          <w:sz w:val="24"/>
          <w:szCs w:val="24"/>
        </w:rPr>
        <w:t xml:space="preserve">Cornelissen, J., </w:t>
      </w:r>
      <w:proofErr w:type="spellStart"/>
      <w:r>
        <w:rPr>
          <w:sz w:val="24"/>
          <w:szCs w:val="24"/>
        </w:rPr>
        <w:t>Hollerer</w:t>
      </w:r>
      <w:proofErr w:type="spellEnd"/>
      <w:r>
        <w:rPr>
          <w:sz w:val="24"/>
          <w:szCs w:val="24"/>
        </w:rPr>
        <w:t>, M. A., &amp; Seidl, D. (2021). What theory is and can be: Forms of theorizing in organizational scholarship. Organization Theory, 2(3), 1-19. https://doi.org/10.1177/26317877211020328</w:t>
      </w:r>
    </w:p>
    <w:p w:rsidR="005F2AD1" w:rsidRDefault="00000000">
      <w:pPr>
        <w:spacing w:line="480" w:lineRule="auto"/>
        <w:ind w:left="720" w:hanging="720"/>
      </w:pPr>
      <w:r>
        <w:rPr>
          <w:sz w:val="24"/>
          <w:szCs w:val="24"/>
        </w:rPr>
        <w:t>Lee, J. (2025). So, what is theory? Human Resource Development Review. Advance online publication. https://doi.org/10.1177/15344843241313150</w:t>
      </w:r>
    </w:p>
    <w:p w:rsidR="005F2AD1" w:rsidRDefault="00000000">
      <w:pPr>
        <w:spacing w:line="480" w:lineRule="auto"/>
        <w:ind w:left="720" w:hanging="720"/>
      </w:pPr>
      <w:r>
        <w:rPr>
          <w:sz w:val="24"/>
          <w:szCs w:val="24"/>
        </w:rPr>
        <w:t>Levine, T. R., &amp; Markowitz, D. M. (2024). The role of theory in researching and understanding human communication. Human Communication Research, 50(2), 154-161. https://doi.org/10.1093/hcr/hqad037</w:t>
      </w:r>
    </w:p>
    <w:p w:rsidR="005F2AD1" w:rsidRDefault="00000000">
      <w:pPr>
        <w:spacing w:line="480" w:lineRule="auto"/>
        <w:ind w:left="720" w:hanging="720"/>
      </w:pPr>
      <w:r>
        <w:rPr>
          <w:sz w:val="24"/>
          <w:szCs w:val="24"/>
        </w:rPr>
        <w:t xml:space="preserve">Sutton, R. I., &amp; </w:t>
      </w:r>
      <w:proofErr w:type="spellStart"/>
      <w:r>
        <w:rPr>
          <w:sz w:val="24"/>
          <w:szCs w:val="24"/>
        </w:rPr>
        <w:t>Staw</w:t>
      </w:r>
      <w:proofErr w:type="spellEnd"/>
      <w:r>
        <w:rPr>
          <w:sz w:val="24"/>
          <w:szCs w:val="24"/>
        </w:rPr>
        <w:t>, B. M. (1995). What theory is not. Administrative Science Quarterly, 40(3), 371-384. https://doi.org/10.2307/2393788</w:t>
      </w:r>
    </w:p>
    <w:p w:rsidR="005F2AD1" w:rsidRDefault="00000000">
      <w:pPr>
        <w:spacing w:line="480" w:lineRule="auto"/>
        <w:ind w:left="720" w:hanging="720"/>
      </w:pPr>
      <w:r>
        <w:rPr>
          <w:sz w:val="24"/>
          <w:szCs w:val="24"/>
        </w:rPr>
        <w:t>Wacker, J. G. (1998). A definition of theory: Research guidelines for different theory-building research methods in operations management. Journal of Operations Management, 16(4), 361-385. https://www.academia.edu/15169246/</w:t>
      </w:r>
    </w:p>
    <w:p w:rsidR="005F2AD1" w:rsidRDefault="00000000">
      <w:pPr>
        <w:spacing w:line="480" w:lineRule="auto"/>
        <w:ind w:left="720" w:hanging="720"/>
      </w:pPr>
      <w:r>
        <w:rPr>
          <w:sz w:val="24"/>
          <w:szCs w:val="24"/>
        </w:rPr>
        <w:t>Whetten, D. A. (1989). What constitutes a theoretical contribution? Academy of Management Review, 14(4), 490-495. https://doi.org/10.5465/amr.1989.4308371</w:t>
      </w:r>
    </w:p>
    <w:sectPr w:rsidR="005F2AD1" w:rsidSect="007E0FDF">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F0322"/>
    <w:multiLevelType w:val="hybridMultilevel"/>
    <w:tmpl w:val="A6BE753E"/>
    <w:lvl w:ilvl="0" w:tplc="6D10638C">
      <w:start w:val="1"/>
      <w:numFmt w:val="bullet"/>
      <w:lvlText w:val="●"/>
      <w:lvlJc w:val="left"/>
      <w:pPr>
        <w:ind w:left="720" w:hanging="360"/>
      </w:pPr>
    </w:lvl>
    <w:lvl w:ilvl="1" w:tplc="48A8C772">
      <w:start w:val="1"/>
      <w:numFmt w:val="bullet"/>
      <w:lvlText w:val="○"/>
      <w:lvlJc w:val="left"/>
      <w:pPr>
        <w:ind w:left="1440" w:hanging="360"/>
      </w:pPr>
    </w:lvl>
    <w:lvl w:ilvl="2" w:tplc="06F41CFE">
      <w:start w:val="1"/>
      <w:numFmt w:val="bullet"/>
      <w:lvlText w:val="■"/>
      <w:lvlJc w:val="left"/>
      <w:pPr>
        <w:ind w:left="2160" w:hanging="360"/>
      </w:pPr>
    </w:lvl>
    <w:lvl w:ilvl="3" w:tplc="9392EA8C">
      <w:start w:val="1"/>
      <w:numFmt w:val="bullet"/>
      <w:lvlText w:val="●"/>
      <w:lvlJc w:val="left"/>
      <w:pPr>
        <w:ind w:left="2880" w:hanging="360"/>
      </w:pPr>
    </w:lvl>
    <w:lvl w:ilvl="4" w:tplc="9FE6B3DE">
      <w:start w:val="1"/>
      <w:numFmt w:val="bullet"/>
      <w:lvlText w:val="○"/>
      <w:lvlJc w:val="left"/>
      <w:pPr>
        <w:ind w:left="3600" w:hanging="360"/>
      </w:pPr>
    </w:lvl>
    <w:lvl w:ilvl="5" w:tplc="FA60D742">
      <w:start w:val="1"/>
      <w:numFmt w:val="bullet"/>
      <w:lvlText w:val="■"/>
      <w:lvlJc w:val="left"/>
      <w:pPr>
        <w:ind w:left="4320" w:hanging="360"/>
      </w:pPr>
    </w:lvl>
    <w:lvl w:ilvl="6" w:tplc="B6488A8A">
      <w:start w:val="1"/>
      <w:numFmt w:val="bullet"/>
      <w:lvlText w:val="●"/>
      <w:lvlJc w:val="left"/>
      <w:pPr>
        <w:ind w:left="5040" w:hanging="360"/>
      </w:pPr>
    </w:lvl>
    <w:lvl w:ilvl="7" w:tplc="5FBC4976">
      <w:start w:val="1"/>
      <w:numFmt w:val="bullet"/>
      <w:lvlText w:val="●"/>
      <w:lvlJc w:val="left"/>
      <w:pPr>
        <w:ind w:left="5760" w:hanging="360"/>
      </w:pPr>
    </w:lvl>
    <w:lvl w:ilvl="8" w:tplc="B57E2E7A">
      <w:start w:val="1"/>
      <w:numFmt w:val="bullet"/>
      <w:lvlText w:val="●"/>
      <w:lvlJc w:val="left"/>
      <w:pPr>
        <w:ind w:left="6480" w:hanging="360"/>
      </w:pPr>
    </w:lvl>
  </w:abstractNum>
  <w:num w:numId="1" w16cid:durableId="169835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AD1"/>
    <w:rsid w:val="00407231"/>
    <w:rsid w:val="0056656E"/>
    <w:rsid w:val="005F2AD1"/>
    <w:rsid w:val="0069290E"/>
    <w:rsid w:val="007E0FDF"/>
    <w:rsid w:val="00C62F9B"/>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BA51"/>
  <w15:docId w15:val="{258839C2-D82F-4B42-B8D2-352CC7F7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W" w:eastAsia="en-M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7E0FDF"/>
    <w:pPr>
      <w:spacing w:line="480" w:lineRule="auto"/>
      <w:outlineLvl w:val="0"/>
    </w:pPr>
    <w:rPr>
      <w:b/>
      <w:sz w:val="24"/>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07231"/>
    <w:pPr>
      <w:keepNext/>
      <w:keepLines/>
      <w:spacing w:before="240" w:line="259" w:lineRule="auto"/>
      <w:outlineLvl w:val="9"/>
    </w:pPr>
    <w:rPr>
      <w:rFonts w:asciiTheme="majorHAnsi" w:eastAsiaTheme="majorEastAsia" w:hAnsiTheme="majorHAnsi" w:cstheme="majorBidi"/>
      <w:b w:val="0"/>
      <w:color w:val="0F4761" w:themeColor="accent1" w:themeShade="BF"/>
      <w:sz w:val="32"/>
      <w:lang w:val="en-US" w:eastAsia="en-US"/>
    </w:rPr>
  </w:style>
  <w:style w:type="paragraph" w:styleId="TOC1">
    <w:name w:val="toc 1"/>
    <w:basedOn w:val="Normal"/>
    <w:next w:val="Normal"/>
    <w:autoRedefine/>
    <w:uiPriority w:val="39"/>
    <w:unhideWhenUsed/>
    <w:rsid w:val="0040723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41C55-EBA2-4800-8E37-E44939213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1829</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Un-named;Mfune C</dc:creator>
  <cp:lastModifiedBy>Daud Kalisa Phiri</cp:lastModifiedBy>
  <cp:revision>2</cp:revision>
  <dcterms:created xsi:type="dcterms:W3CDTF">2026-03-08T20:55:00Z</dcterms:created>
  <dcterms:modified xsi:type="dcterms:W3CDTF">2026-03-08T20:55:00Z</dcterms:modified>
</cp:coreProperties>
</file>