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Enhancing Developmental Screening, Arts and Design Skills Progression, and Learner Portfolio Ownership Without Requiring Literacy or Internet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[Instructor name]</w:t>
      </w:r>
    </w:p>
    <w:p>
      <w:pPr>
        <w:spacing w:after="0" w:before="0" w:line="480"/>
        <w:jc w:val="center"/>
      </w:pPr>
      <w:r>
        <w:rPr>
          <w:rFonts w:ascii="Times New Roman" w:cs="Times New Roman" w:eastAsia="Times New Roman" w:hAnsi="Times New Roman"/>
          <w:sz w:val="24"/>
          <w:szCs w:val="24"/>
        </w:rPr>
        <w:t xml:space="preserve">October 2, 2025</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High pupil-to-teacher ratios in government and low-cost private primary schools leave individual attention scarce, a constraint that is most acute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Under-identification of developmental difficulty and disability in low-income settings is widely documented, and children affected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Internet penetration across Africa remains substantially below the global average, and access is predominantly mobile, intermittent, and metered rather than fixed and continuous (International Telecommunication Union, 2024).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a substantial proportion of children experience physical, emotional, or sexual violence before the age of eighteen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that screens, teaches, and accumulates a record the child ultimately owns.</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Platforms such as Zeraki Analytics, which is widely deployed across East African schools, and QuickSchools provide attendance tracking, examination grade capture, report-card generation, and performance dashboards (Zeraki, 2024; QuickSchools, 2024). These products are mature and effective within their intended scope, but that scope is secondary-school examination administration. They are cloud-dependent and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	</w:t>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	</w:t>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	</w:t>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	</w:t>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	</w:t>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	</w:t>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	</w:t>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	</w:t>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	</w:t>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	</w:t>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	</w:t>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	</w:t>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	</w:t>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SCITEPRESS.</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F., &amp; Baki,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Violence against children in Uganda: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2026-10-02T19:03:34.893Z</dcterms:created>
  <dcterms:modified xsi:type="dcterms:W3CDTF">2026-10-02T19:03:34.893Z</dcterms:modified>
</cp:coreProperties>
</file>

<file path=docProps/custom.xml><?xml version="1.0" encoding="utf-8"?>
<Properties xmlns="http://schemas.openxmlformats.org/officeDocument/2006/custom-properties" xmlns:vt="http://schemas.openxmlformats.org/officeDocument/2006/docPropsVTypes"/>
</file>