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InfoCAC, stratégie d'automatisation multi-environnements</w:t>
      </w:r>
    </w:p>
    <w:p>
      <w:pPr/>
      <w:r>
        <w:t xml:space="preserve">Oct 9, 2026</w:t>
      </w:r>
      <w:r>
        <w:t xml:space="preserve"> · </w:t>
      </w:r>
      <w:r>
        <w:t xml:space="preserve">@Daura</w:t>
      </w:r>
    </w:p>
    <w:p>
      <w:pPr>
        <w:pStyle w:val="Heading2"/>
      </w:pPr>
      <w:r>
        <w:t xml:space="preserve">En une page</w:t>
      </w:r>
    </w:p>
    <w:p>
      <w:pPr/>
      <w:r>
        <w:t xml:space="preserve">Position à défendre : sur InfoCAC, on automatise pour protéger la donnée qui sort, pas pour gagner du temps. Le projet n'a qu'une version, donc le gain de temps seul ne rembourse jamais l'effort avant mars 2027. En revanche, une valeur fausse validée part vers Référentiel France, Déclaration d'Activités et MyRotations, et 15 000 mandats doivent être repris depuis IBS sans perte.</w:t>
      </w:r>
    </w:p>
    <w:p>
      <w:pPr/>
      <w:r>
        <w:t xml:space="preserve">Ce document complète la bible QA du projet (grille de décision, calcul de ROI, code détaillé). Il ajoute trois choses : la stratégie rangée selon les 7 points du CT-TAS, la façon de faire tourner les tests sur ITG, PREPROD et la prod privatisée, et la liste des questions à poser pour débloquer.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Ce qu'on automatise</w:t>
            </w:r>
          </w:p>
        </w:tc>
        <w:tc>
          <w:tcPr>
            <w:tcW w:w="3120" w:type="dxa"/>
            <w:shd w:val="clear" w:color="auto" w:fill="F2F2F2"/>
          </w:tcPr>
          <w:p>
            <w:pPr/>
            <w:r>
              <w:t xml:space="preserve">Pourquoi</w:t>
            </w:r>
          </w:p>
        </w:tc>
        <w:tc>
          <w:tcPr>
            <w:tcW w:w="3120" w:type="dxa"/>
            <w:shd w:val="clear" w:color="auto" w:fill="F2F2F2"/>
          </w:tcPr>
          <w:p>
            <w:pPr/>
            <w:r>
              <w:t xml:space="preserve">Couche</w:t>
            </w:r>
          </w:p>
        </w:tc>
      </w:tr>
      <w:tr>
        <w:tc>
          <w:tcPr>
            <w:tcW w:w="3120" w:type="dxa"/>
          </w:tcPr>
          <w:p>
            <w:pPr/>
            <w:r>
              <w:t xml:space="preserve">Matrice de droits User, Admin, Super Admin</w:t>
            </w:r>
          </w:p>
        </w:tc>
        <w:tc>
          <w:tcPr>
            <w:tcW w:w="3120" w:type="dxa"/>
          </w:tcPr>
          <w:p>
            <w:pPr/>
            <w:r>
              <w:t xml:space="preserve">Un rôle qui fait ce qu'il ne doit pas = incident de confidentialité</w:t>
            </w:r>
          </w:p>
        </w:tc>
        <w:tc>
          <w:tcPr>
            <w:tcW w:w="3120" w:type="dxa"/>
          </w:tcPr>
          <w:p>
            <w:pPr/>
            <w:r>
              <w:t xml:space="preserve">API</w:t>
            </w:r>
          </w:p>
        </w:tc>
      </w:tr>
      <w:tr>
        <w:tc>
          <w:tcPr>
            <w:tcW w:w="3120" w:type="dxa"/>
          </w:tcPr>
          <w:p>
            <w:pPr/>
            <w:r>
              <w:t xml:space="preserve">Table de décision des règles (Pays, Type, Catégorie, EIP, taxonomies, sections)</w:t>
            </w:r>
          </w:p>
        </w:tc>
        <w:tc>
          <w:tcPr>
            <w:tcW w:w="3120" w:type="dxa"/>
          </w:tcPr>
          <w:p>
            <w:pPr/>
            <w:r>
              <w:t xml:space="preserve">C'est le moteur qui fabrique la donnée diffusée</w:t>
            </w:r>
          </w:p>
        </w:tc>
        <w:tc>
          <w:tcPr>
            <w:tcW w:w="3120" w:type="dxa"/>
          </w:tcPr>
          <w:p>
            <w:pPr/>
            <w:r>
              <w:t xml:space="preserve">API</w:t>
            </w:r>
          </w:p>
        </w:tc>
      </w:tr>
      <w:tr>
        <w:tc>
          <w:tcPr>
            <w:tcW w:w="3120" w:type="dxa"/>
          </w:tcPr>
          <w:p>
            <w:pPr/>
            <w:r>
              <w:t xml:space="preserve">Rapprochement de migration IBS vers InfoCAC</w:t>
            </w:r>
          </w:p>
        </w:tc>
        <w:tc>
          <w:tcPr>
            <w:tcW w:w="3120" w:type="dxa"/>
          </w:tcPr>
          <w:p>
            <w:pPr/>
            <w:r>
              <w:t xml:space="preserve">15 000 mandats : aucun contrôle manuel possible</w:t>
            </w:r>
          </w:p>
        </w:tc>
        <w:tc>
          <w:tcPr>
            <w:tcW w:w="3120" w:type="dxa"/>
          </w:tcPr>
          <w:p>
            <w:pPr/>
            <w:r>
              <w:t xml:space="preserve">SQL ou API</w:t>
            </w:r>
          </w:p>
        </w:tc>
      </w:tr>
      <w:tr>
        <w:tc>
          <w:tcPr>
            <w:tcW w:w="3120" w:type="dxa"/>
          </w:tcPr>
          <w:p>
            <w:pPr/>
            <w:r>
              <w:t xml:space="preserve">Contrats des flux sortants</w:t>
            </w:r>
          </w:p>
        </w:tc>
        <w:tc>
          <w:tcPr>
            <w:tcW w:w="3120" w:type="dxa"/>
          </w:tcPr>
          <w:p>
            <w:pPr/>
            <w:r>
              <w:t xml:space="preserve">Un champ renommé casse un consommateur sans bruit</w:t>
            </w:r>
          </w:p>
        </w:tc>
        <w:tc>
          <w:tcPr>
            <w:tcW w:w="3120" w:type="dxa"/>
          </w:tcPr>
          <w:p>
            <w:pPr/>
            <w:r>
              <w:t xml:space="preserve">API ou schéma</w:t>
            </w:r>
          </w:p>
        </w:tc>
      </w:tr>
      <w:tr>
        <w:tc>
          <w:tcPr>
            <w:tcW w:w="3120" w:type="dxa"/>
          </w:tcPr>
          <w:p>
            <w:pPr/>
            <w:r>
              <w:t xml:space="preserve">5 à 8 parcours critiques en smoke</w:t>
            </w:r>
          </w:p>
        </w:tc>
        <w:tc>
          <w:tcPr>
            <w:tcW w:w="3120" w:type="dxa"/>
          </w:tcPr>
          <w:p>
            <w:pPr/>
            <w:r>
              <w:t xml:space="preserve">Vérifier qu'un déploiement a marché, sur chaque environnement</w:t>
            </w:r>
          </w:p>
        </w:tc>
        <w:tc>
          <w:tcPr>
            <w:tcW w:w="3120" w:type="dxa"/>
          </w:tcPr>
          <w:p>
            <w:pPr/>
            <w:r>
              <w:t xml:space="preserve">UI Playwright</w:t>
            </w:r>
          </w:p>
        </w:tc>
      </w:tr>
    </w:tbl>
    <w:p>
      <w:pPr/>
      <w:r>
        <w:t xml:space="preserve">Ce qu'on n'automatise pas à ce stade : libellés, responsive, infobulles, OCR (au Parking Lot). Ces points restent en manuel ou en exploratoire.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Environnement</w:t>
            </w:r>
          </w:p>
        </w:tc>
        <w:tc>
          <w:tcPr>
            <w:tcW w:w="3120" w:type="dxa"/>
            <w:shd w:val="clear" w:color="auto" w:fill="F2F2F2"/>
          </w:tcPr>
          <w:p>
            <w:pPr/>
            <w:r>
              <w:t xml:space="preserve">Ce qui tourne</w:t>
            </w:r>
          </w:p>
        </w:tc>
        <w:tc>
          <w:tcPr>
            <w:tcW w:w="3120" w:type="dxa"/>
            <w:shd w:val="clear" w:color="auto" w:fill="F2F2F2"/>
          </w:tcPr>
          <w:p>
            <w:pPr/>
            <w:r>
              <w:t xml:space="preserve">Règle d'or</w:t>
            </w:r>
          </w:p>
        </w:tc>
      </w:tr>
      <w:tr>
        <w:tc>
          <w:tcPr>
            <w:tcW w:w="3120" w:type="dxa"/>
          </w:tcPr>
          <w:p>
            <w:pPr/>
            <w:r>
              <w:t xml:space="preserve">ITG</w:t>
            </w:r>
          </w:p>
        </w:tc>
        <w:tc>
          <w:tcPr>
            <w:tcW w:w="3120" w:type="dxa"/>
          </w:tcPr>
          <w:p>
            <w:pPr/>
            <w:r>
              <w:t xml:space="preserve">Tout : smoke, droits, règles, contrats, E2E</w:t>
            </w:r>
          </w:p>
        </w:tc>
        <w:tc>
          <w:tcPr>
            <w:tcW w:w="3120" w:type="dxa"/>
          </w:tcPr>
          <w:p>
            <w:pPr/>
            <w:r>
              <w:t xml:space="preserve">Les tests créent et nettoient leurs propres données</w:t>
            </w:r>
          </w:p>
        </w:tc>
      </w:tr>
      <w:tr>
        <w:tc>
          <w:tcPr>
            <w:tcW w:w="3120" w:type="dxa"/>
          </w:tcPr>
          <w:p>
            <w:pPr/>
            <w:r>
              <w:t xml:space="preserve">PREPROD</w:t>
            </w:r>
          </w:p>
        </w:tc>
        <w:tc>
          <w:tcPr>
            <w:tcW w:w="3120" w:type="dxa"/>
          </w:tcPr>
          <w:p>
            <w:pPr/>
            <w:r>
              <w:t xml:space="preserve">Smoke, droits, rapprochement de migration à blanc</w:t>
            </w:r>
          </w:p>
        </w:tc>
        <w:tc>
          <w:tcPr>
            <w:tcW w:w="3120" w:type="dxa"/>
          </w:tcPr>
          <w:p>
            <w:pPr/>
            <w:r>
              <w:t xml:space="preserve">Ne jamais polluer la recette métier en cours</w:t>
            </w:r>
          </w:p>
        </w:tc>
      </w:tr>
      <w:tr>
        <w:tc>
          <w:tcPr>
            <w:tcW w:w="3120" w:type="dxa"/>
          </w:tcPr>
          <w:p>
            <w:pPr/>
            <w:r>
              <w:t xml:space="preserve">PROD privatisée</w:t>
            </w:r>
          </w:p>
        </w:tc>
        <w:tc>
          <w:tcPr>
            <w:tcW w:w="3120" w:type="dxa"/>
          </w:tcPr>
          <w:p>
            <w:pPr/>
            <w:r>
              <w:t xml:space="preserve">Smoke en lecture, au plus un parcours d'écriture encadré</w:t>
            </w:r>
          </w:p>
        </w:tc>
        <w:tc>
          <w:tcPr>
            <w:tcW w:w="3120" w:type="dxa"/>
          </w:tcPr>
          <w:p>
            <w:pPr/>
            <w:r>
              <w:t xml:space="preserve">Rien ne doit partir dans les flux</w:t>
            </w:r>
          </w:p>
        </w:tc>
      </w:tr>
      <w:tr>
        <w:tc>
          <w:tcPr>
            <w:tcW w:w="3120" w:type="dxa"/>
          </w:tcPr>
          <w:p>
            <w:pPr/>
            <w:r>
              <w:t xml:space="preserve">PROD ouverte</w:t>
            </w:r>
          </w:p>
        </w:tc>
        <w:tc>
          <w:tcPr>
            <w:tcW w:w="3120" w:type="dxa"/>
          </w:tcPr>
          <w:p>
            <w:pPr/>
            <w:r>
              <w:t xml:space="preserve">Smoke en lecture seule</w:t>
            </w:r>
          </w:p>
        </w:tc>
        <w:tc>
          <w:tcPr>
            <w:tcW w:w="3120" w:type="dxa"/>
          </w:tcPr>
          <w:p>
            <w:pPr/>
            <w:r>
              <w:t xml:space="preserve">Zéro écriture</w:t>
            </w:r>
          </w:p>
        </w:tc>
      </w:tr>
    </w:tbl>
    <w:p>
      <w:pPr/>
      <w:r>
        <w:t xml:space="preserve">Ce qui bloque aujourd'hui, par ordre d'impact :</w:t>
      </w:r>
    </w:p>
    <w:p>
      <w:pPr>
        <w:pStyle w:val="ListParagraph"/>
        <w:numPr>
          <w:ilvl w:val="0"/>
          <w:numId w:val="2"/>
        </w:numPr>
      </w:pPr>
      <w:r>
        <w:t xml:space="preserve">Un agent de build Azure DevOps capable de joindre ITG et PREPROD depuis le réseau KPMG.</w:t>
      </w:r>
    </w:p>
    <w:p>
      <w:pPr>
        <w:pStyle w:val="ListParagraph"/>
        <w:numPr>
          <w:ilvl w:val="0"/>
          <w:numId w:val="2"/>
        </w:numPr>
      </w:pPr>
      <w:r>
        <w:t xml:space="preserve">Des comptes de test par rôle et par environnement, utilisables sans double authentification manuelle.</w:t>
      </w:r>
    </w:p>
    <w:p>
      <w:pPr>
        <w:pStyle w:val="ListParagraph"/>
        <w:numPr>
          <w:ilvl w:val="0"/>
          <w:numId w:val="2"/>
        </w:numPr>
      </w:pPr>
      <w:r>
        <w:t xml:space="preserve">Le contrat OpenAPI d'InfoCAC sur ITG.</w:t>
      </w:r>
    </w:p>
    <w:p>
      <w:pPr>
        <w:pStyle w:val="ListParagraph"/>
        <w:numPr>
          <w:ilvl w:val="0"/>
          <w:numId w:val="2"/>
        </w:numPr>
      </w:pPr>
      <w:r>
        <w:t xml:space="preserve">Les règles métier arbitrées (millésime, statuts, droits de l'Admin après validation).</w:t>
      </w:r>
    </w:p>
    <w:p>
      <w:pPr>
        <w:pStyle w:val="ListParagraph"/>
        <w:numPr>
          <w:ilvl w:val="0"/>
          <w:numId w:val="2"/>
        </w:numPr>
      </w:pPr>
      <w:r>
        <w:t xml:space="preserve">Une définition écrite de la « prod privatisée » et de ce qu'on a le droit d'y faire.</w:t>
      </w:r>
    </w:p>
    <w:p>
      <w:pPr>
        <w:pStyle w:val="Heading2"/>
      </w:pPr>
      <w:r>
        <w:t xml:space="preserve">La stratégie selon les 7 points du CT-TAS</w:t>
      </w:r>
    </w:p>
    <w:p>
      <w:pPr/>
      <w:r>
        <w:t xml:space="preserve">Le CT-TAS demande de couvrir sept points avant d'écrire une ligne de code. Appliqués à InfoCAC, ils donnent ceci.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Point CT-TAS</w:t>
            </w:r>
          </w:p>
        </w:tc>
        <w:tc>
          <w:tcPr>
            <w:tcW w:w="2340" w:type="dxa"/>
            <w:shd w:val="clear" w:color="auto" w:fill="F2F2F2"/>
          </w:tcPr>
          <w:p>
            <w:pPr/>
            <w:r>
              <w:t xml:space="preserve">Question posée</w:t>
            </w:r>
          </w:p>
        </w:tc>
        <w:tc>
          <w:tcPr>
            <w:tcW w:w="2340" w:type="dxa"/>
            <w:shd w:val="clear" w:color="auto" w:fill="F2F2F2"/>
          </w:tcPr>
          <w:p>
            <w:pPr/>
            <w:r>
              <w:t xml:space="preserve">Réponse pour InfoCAC</w:t>
            </w:r>
          </w:p>
        </w:tc>
        <w:tc>
          <w:tcPr>
            <w:tcW w:w="2340" w:type="dxa"/>
            <w:shd w:val="clear" w:color="auto" w:fill="F2F2F2"/>
          </w:tcPr>
          <w:p>
            <w:pPr/>
            <w:r>
              <w:t xml:space="preserve">État</w:t>
            </w:r>
          </w:p>
        </w:tc>
      </w:tr>
      <w:tr>
        <w:tc>
          <w:tcPr>
            <w:tcW w:w="2340" w:type="dxa"/>
          </w:tcPr>
          <w:p>
            <w:pPr/>
            <w:r>
              <w:t xml:space="preserve">1. Objectif</w:t>
            </w:r>
          </w:p>
        </w:tc>
        <w:tc>
          <w:tcPr>
            <w:tcW w:w="2340" w:type="dxa"/>
          </w:tcPr>
          <w:p>
            <w:pPr/>
            <w:r>
              <w:t xml:space="preserve">Pourquoi automatiser, avec quelle mesure ?</w:t>
            </w:r>
          </w:p>
        </w:tc>
        <w:tc>
          <w:tcPr>
            <w:tcW w:w="2340" w:type="dxa"/>
          </w:tcPr>
          <w:p>
            <w:pPr/>
            <w:r>
              <w:t xml:space="preserve">Avant le go-live : 100 % des risques de classe A protégés par un test rejouable ; suite droits et règles en moins de 10 minutes après chaque déploiement ITG ; zéro écart de migration non expliqué</w:t>
            </w:r>
          </w:p>
        </w:tc>
        <w:tc>
          <w:tcPr>
            <w:tcW w:w="2340" w:type="dxa"/>
          </w:tcPr>
          <w:p>
            <w:pPr/>
            <w:r>
              <w:t xml:space="preserve">Proposition QA</w:t>
            </w:r>
          </w:p>
        </w:tc>
      </w:tr>
      <w:tr>
        <w:tc>
          <w:tcPr>
            <w:tcW w:w="2340" w:type="dxa"/>
          </w:tcPr>
          <w:p>
            <w:pPr/>
            <w:r>
              <w:t xml:space="preserve">2. Risques</w:t>
            </w:r>
          </w:p>
        </w:tc>
        <w:tc>
          <w:tcPr>
            <w:tcW w:w="2340" w:type="dxa"/>
          </w:tcPr>
          <w:p>
            <w:pPr/>
            <w:r>
              <w:t xml:space="preserve">Qu'est-ce qui peut faire échouer l'automatisation elle-même ?</w:t>
            </w:r>
          </w:p>
        </w:tc>
        <w:tc>
          <w:tcPr>
            <w:tcW w:w="2340" w:type="dxa"/>
          </w:tcPr>
          <w:p>
            <w:pPr/>
            <w:r>
              <w:t xml:space="preserve">Règles non arbitrées (tests à réécrire), SSO avec double authentification, réseau fermé, données partagées en PREPROD, formulaire dynamique instable en UI, personne pour maintenir après la mission</w:t>
            </w:r>
          </w:p>
        </w:tc>
        <w:tc>
          <w:tcPr>
            <w:tcW w:w="2340" w:type="dxa"/>
          </w:tcPr>
          <w:p>
            <w:pPr/>
            <w:r>
              <w:t xml:space="preserve">À traiter (section Questions)</w:t>
            </w:r>
          </w:p>
        </w:tc>
      </w:tr>
      <w:tr>
        <w:tc>
          <w:tcPr>
            <w:tcW w:w="2340" w:type="dxa"/>
          </w:tcPr>
          <w:p>
            <w:pPr/>
            <w:r>
              <w:t xml:space="preserve">3. Périmètre</w:t>
            </w:r>
          </w:p>
        </w:tc>
        <w:tc>
          <w:tcPr>
            <w:tcW w:w="2340" w:type="dxa"/>
          </w:tcPr>
          <w:p>
            <w:pPr/>
            <w:r>
              <w:t xml:space="preserve">Qu'est-ce qui est dedans, qu'est-ce qui est dehors ?</w:t>
            </w:r>
          </w:p>
        </w:tc>
        <w:tc>
          <w:tcPr>
            <w:tcW w:w="2340" w:type="dxa"/>
          </w:tcPr>
          <w:p>
            <w:pPr/>
            <w:r>
              <w:t xml:space="preserve">Dedans : droits, règles, migration, contrats de flux, smoke. Dehors : libellés, responsive, OCR, performance</w:t>
            </w:r>
          </w:p>
        </w:tc>
        <w:tc>
          <w:tcPr>
            <w:tcW w:w="2340" w:type="dxa"/>
          </w:tcPr>
          <w:p>
            <w:pPr/>
            <w:r>
              <w:t xml:space="preserve">Proposition QA</w:t>
            </w:r>
          </w:p>
        </w:tc>
      </w:tr>
      <w:tr>
        <w:tc>
          <w:tcPr>
            <w:tcW w:w="2340" w:type="dxa"/>
          </w:tcPr>
          <w:p>
            <w:pPr/>
            <w:r>
              <w:t xml:space="preserve">4. Parties prenantes</w:t>
            </w:r>
          </w:p>
        </w:tc>
        <w:tc>
          <w:tcPr>
            <w:tcW w:w="2340" w:type="dxa"/>
          </w:tcPr>
          <w:p>
            <w:pPr/>
            <w:r>
              <w:t xml:space="preserve">Qui fournit quoi, qui décide ?</w:t>
            </w:r>
          </w:p>
        </w:tc>
        <w:tc>
          <w:tcPr>
            <w:tcW w:w="2340" w:type="dxa"/>
          </w:tcPr>
          <w:p>
            <w:pPr/>
            <w:r>
              <w:t xml:space="preserve">Manager QA (validation), PM (go/no-go), PO (règles), architecte et devs (OpenAPI, data-testid), DevOps (agent, secrets), Risk Management (droits, migration)</w:t>
            </w:r>
          </w:p>
        </w:tc>
        <w:tc>
          <w:tcPr>
            <w:tcW w:w="2340" w:type="dxa"/>
          </w:tcPr>
          <w:p>
            <w:pPr/>
            <w:r>
              <w:t xml:space="preserve">RACI dans la bible</w:t>
            </w:r>
          </w:p>
        </w:tc>
      </w:tr>
      <w:tr>
        <w:tc>
          <w:tcPr>
            <w:tcW w:w="2340" w:type="dxa"/>
          </w:tcPr>
          <w:p>
            <w:pPr/>
            <w:r>
              <w:t xml:space="preserve">5. Outils et POC</w:t>
            </w:r>
          </w:p>
        </w:tc>
        <w:tc>
          <w:tcPr>
            <w:tcW w:w="2340" w:type="dxa"/>
          </w:tcPr>
          <w:p>
            <w:pPr/>
            <w:r>
              <w:t xml:space="preserve">Avec quoi, et comment prouver que ça marche ici ?</w:t>
            </w:r>
          </w:p>
        </w:tc>
        <w:tc>
          <w:tcPr>
            <w:tcW w:w="2340" w:type="dxa"/>
          </w:tcPr>
          <w:p>
            <w:pPr/>
            <w:r>
              <w:t xml:space="preserve">Playwright TypeScript pour l'API et l'UI, Azure Pipelines, Azure Test Plans. POC : un test de droits en API et un smoke UI lancés depuis le pipeline sur ITG</w:t>
            </w:r>
          </w:p>
        </w:tc>
        <w:tc>
          <w:tcPr>
            <w:tcW w:w="2340" w:type="dxa"/>
          </w:tcPr>
          <w:p>
            <w:pPr/>
            <w:r>
              <w:t xml:space="preserve">POC à faire</w:t>
            </w:r>
          </w:p>
        </w:tc>
      </w:tr>
      <w:tr>
        <w:tc>
          <w:tcPr>
            <w:tcW w:w="2340" w:type="dxa"/>
          </w:tcPr>
          <w:p>
            <w:pPr/>
            <w:r>
              <w:t xml:space="preserve">6. Architecture (TAA)</w:t>
            </w:r>
          </w:p>
        </w:tc>
        <w:tc>
          <w:tcPr>
            <w:tcW w:w="2340" w:type="dxa"/>
          </w:tcPr>
          <w:p>
            <w:pPr/>
            <w:r>
              <w:t xml:space="preserve">Comment le code est-il organisé ?</w:t>
            </w:r>
          </w:p>
        </w:tc>
        <w:tc>
          <w:tcPr>
            <w:tcW w:w="2340" w:type="dxa"/>
          </w:tcPr>
          <w:p>
            <w:pPr/>
            <w:r>
              <w:t xml:space="preserve">API d'abord ; tables de données séparées des tests ; clients API sans assertion ; page objects légers ; une donnée créée et nettoyée par test</w:t>
            </w:r>
          </w:p>
        </w:tc>
        <w:tc>
          <w:tcPr>
            <w:tcW w:w="2340" w:type="dxa"/>
          </w:tcPr>
          <w:p>
            <w:pPr/>
            <w:r>
              <w:t xml:space="preserve">Structure dans la bible</w:t>
            </w:r>
          </w:p>
        </w:tc>
      </w:tr>
      <w:tr>
        <w:tc>
          <w:tcPr>
            <w:tcW w:w="2340" w:type="dxa"/>
          </w:tcPr>
          <w:p>
            <w:pPr/>
            <w:r>
              <w:t xml:space="preserve">7. Environnements</w:t>
            </w:r>
          </w:p>
        </w:tc>
        <w:tc>
          <w:tcPr>
            <w:tcW w:w="2340" w:type="dxa"/>
          </w:tcPr>
          <w:p>
            <w:pPr/>
            <w:r>
              <w:t xml:space="preserve">Où les tests tournent, avec quoi ?</w:t>
            </w:r>
          </w:p>
        </w:tc>
        <w:tc>
          <w:tcPr>
            <w:tcW w:w="2340" w:type="dxa"/>
          </w:tcPr>
          <w:p>
            <w:pPr/>
            <w:r>
              <w:t xml:space="preserve">ITG, PREPROD, PROD privatisée, PROD ouverte, chacun avec ses comptes, ses données et ses interdits</w:t>
            </w:r>
          </w:p>
        </w:tc>
        <w:tc>
          <w:tcPr>
            <w:tcW w:w="2340" w:type="dxa"/>
          </w:tcPr>
          <w:p>
            <w:pPr/>
            <w:r>
              <w:t xml:space="preserve">Sections suivantes</w:t>
            </w:r>
          </w:p>
        </w:tc>
      </w:tr>
    </w:tbl>
    <w:p>
      <w:pPr/>
      <w:r>
        <w:t xml:space="preserve">Ce que le POC doit prouver, et rien d'autre : que le pipeline atteint ITG, qu'il obtient un jeton pour chaque rôle sans intervention humaine, et que les résultats remontent dans Azure DevOps. Si un de ces trois points échoue, le reste de la stratégie ne sert à rien. Rappel CTAL-TM : le POC clôt l'évaluation, le pilote ouvre le déploiement.</w:t>
      </w:r>
    </w:p>
    <w:p>
      <w:pPr/>
      <w:r>
        <w:t xml:space="preserve">Les facteurs de succès techniques à vérifier côté application (testabilité) :</w:t>
      </w:r>
    </w:p>
    <w:p>
      <w:pPr>
        <w:pStyle w:val="ListParagraph"/>
        <w:numPr>
          <w:ilvl w:val="0"/>
          <w:numId w:val="3"/>
        </w:numPr>
      </w:pPr>
      <w:r>
        <w:t xml:space="preserve">Le contrat OpenAPI est publié et versionné pour chaque environnement.</w:t>
      </w:r>
    </w:p>
    <w:p>
      <w:pPr>
        <w:pStyle w:val="ListParagraph"/>
        <w:numPr>
          <w:ilvl w:val="0"/>
          <w:numId w:val="3"/>
        </w:numPr>
      </w:pPr>
      <w:r>
        <w:t xml:space="preserve">Les champs du formulaire dynamique portent des attributs data-testid stables.</w:t>
      </w:r>
    </w:p>
    <w:p>
      <w:pPr>
        <w:pStyle w:val="ListParagraph"/>
        <w:numPr>
          <w:ilvl w:val="0"/>
          <w:numId w:val="3"/>
        </w:numPr>
      </w:pPr>
      <w:r>
        <w:t xml:space="preserve">L'heure du serveur peut être simulée en ITG (calcul du Retard à 60 jours, millésime, bascule au 1er octobre).</w:t>
      </w:r>
    </w:p>
    <w:p>
      <w:pPr>
        <w:pStyle w:val="ListParagraph"/>
        <w:numPr>
          <w:ilvl w:val="0"/>
          <w:numId w:val="3"/>
        </w:numPr>
      </w:pPr>
      <w:r>
        <w:t xml:space="preserve">Une API ou une requête permet de lire l'état réel d'une demande, pour vérifier la donnée et pas le message affiché.</w:t>
      </w:r>
    </w:p>
    <w:p>
      <w:pPr>
        <w:pStyle w:val="ListParagraph"/>
        <w:numPr>
          <w:ilvl w:val="0"/>
          <w:numId w:val="3"/>
        </w:numPr>
      </w:pPr>
      <w:r>
        <w:t xml:space="preserve">Les journaux Application Insights sont consultables par la QA pour prouver qu'un flux est parti ou non.</w:t>
      </w:r>
    </w:p>
    <w:p>
      <w:pPr/>
      <w:r>
        <w:t xml:space="preserve">Indicateurs suivis (chapitre 5 du CT-TAS), chacun avec une action si le chiffre est mauvais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Indicateur</w:t>
            </w:r>
          </w:p>
        </w:tc>
        <w:tc>
          <w:tcPr>
            <w:tcW w:w="3120" w:type="dxa"/>
            <w:shd w:val="clear" w:color="auto" w:fill="F2F2F2"/>
          </w:tcPr>
          <w:p>
            <w:pPr/>
            <w:r>
              <w:t xml:space="preserve">Cible</w:t>
            </w:r>
          </w:p>
        </w:tc>
        <w:tc>
          <w:tcPr>
            <w:tcW w:w="3120" w:type="dxa"/>
            <w:shd w:val="clear" w:color="auto" w:fill="F2F2F2"/>
          </w:tcPr>
          <w:p>
            <w:pPr/>
            <w:r>
              <w:t xml:space="preserve">Si rouge</w:t>
            </w:r>
          </w:p>
        </w:tc>
      </w:tr>
      <w:tr>
        <w:tc>
          <w:tcPr>
            <w:tcW w:w="3120" w:type="dxa"/>
          </w:tcPr>
          <w:p>
            <w:pPr/>
            <w:r>
              <w:t xml:space="preserve">Risques de classe A couverts par un test rejouable</w:t>
            </w:r>
          </w:p>
        </w:tc>
        <w:tc>
          <w:tcPr>
            <w:tcW w:w="3120" w:type="dxa"/>
          </w:tcPr>
          <w:p>
            <w:pPr/>
            <w:r>
              <w:t xml:space="preserve">100 % avant la porte G4</w:t>
            </w:r>
          </w:p>
        </w:tc>
        <w:tc>
          <w:tcPr>
            <w:tcW w:w="3120" w:type="dxa"/>
          </w:tcPr>
          <w:p>
            <w:pPr/>
            <w:r>
              <w:t xml:space="preserve">Le trou passe en priorité du sprint</w:t>
            </w:r>
          </w:p>
        </w:tc>
      </w:tr>
      <w:tr>
        <w:tc>
          <w:tcPr>
            <w:tcW w:w="3120" w:type="dxa"/>
          </w:tcPr>
          <w:p>
            <w:pPr/>
            <w:r>
              <w:t xml:space="preserve">Tests instables (passés seulement au retry)</w:t>
            </w:r>
          </w:p>
        </w:tc>
        <w:tc>
          <w:tcPr>
            <w:tcW w:w="3120" w:type="dxa"/>
          </w:tcPr>
          <w:p>
            <w:pPr/>
            <w:r>
              <w:t xml:space="preserve">0 hors quarantaine</w:t>
            </w:r>
          </w:p>
        </w:tc>
        <w:tc>
          <w:tcPr>
            <w:tcW w:w="3120" w:type="dxa"/>
          </w:tcPr>
          <w:p>
            <w:pPr/>
            <w:r>
              <w:t xml:space="preserve">Quarantaine, correction sous 5 jours</w:t>
            </w:r>
          </w:p>
        </w:tc>
      </w:tr>
      <w:tr>
        <w:tc>
          <w:tcPr>
            <w:tcW w:w="3120" w:type="dxa"/>
          </w:tcPr>
          <w:p>
            <w:pPr/>
            <w:r>
              <w:t xml:space="preserve">Durée de la suite après déploiement ITG</w:t>
            </w:r>
          </w:p>
        </w:tc>
        <w:tc>
          <w:tcPr>
            <w:tcW w:w="3120" w:type="dxa"/>
          </w:tcPr>
          <w:p>
            <w:pPr/>
            <w:r>
              <w:t xml:space="preserve">Moins de 10 minutes</w:t>
            </w:r>
          </w:p>
        </w:tc>
        <w:tc>
          <w:tcPr>
            <w:tcW w:w="3120" w:type="dxa"/>
          </w:tcPr>
          <w:p>
            <w:pPr/>
            <w:r>
              <w:t xml:space="preserve">Déplacer des tests vers la nuit</w:t>
            </w:r>
          </w:p>
        </w:tc>
      </w:tr>
      <w:tr>
        <w:tc>
          <w:tcPr>
            <w:tcW w:w="3120" w:type="dxa"/>
          </w:tcPr>
          <w:p>
            <w:pPr/>
            <w:r>
              <w:t xml:space="preserve">Défauts trouvés par la suite automatisée</w:t>
            </w:r>
          </w:p>
        </w:tc>
        <w:tc>
          <w:tcPr>
            <w:tcW w:w="3120" w:type="dxa"/>
          </w:tcPr>
          <w:p>
            <w:pPr/>
            <w:r>
              <w:t xml:space="preserve">Mesuré, pas ciblé</w:t>
            </w:r>
          </w:p>
        </w:tc>
        <w:tc>
          <w:tcPr>
            <w:tcW w:w="3120" w:type="dxa"/>
          </w:tcPr>
          <w:p>
            <w:pPr/>
            <w:r>
              <w:t xml:space="preserve">Zéro sur 3 sprints : revoir le périmètre</w:t>
            </w:r>
          </w:p>
        </w:tc>
      </w:tr>
    </w:tbl>
    <w:p>
      <w:pPr>
        <w:pStyle w:val="Heading2"/>
      </w:pPr>
      <w:r>
        <w:t xml:space="preserve">Les environnements : qui fait quoi</w:t>
      </w:r>
    </w:p>
    <w:p>
      <w:pPr/>
      <w:r>
        <w:t xml:space="preserve">Chaque environnement répond à une question différente, donc on n'y lance pas les mêmes tests. Plus on s'approche de la production, moins on écrit de données et plus on demande d'autorisation.</w:t>
      </w:r>
    </w:p>
    <w:p>
      <w:pPr/>
      <w:r>
        <w:drawing>
          <wp:inline distT="0" distB="0" distL="0" distR="0">
            <wp:extent cx="5486400" cy="3371850"/>
            <wp:docPr id="1" name="image1" descr="promotion des tests · 4 environnements, 3 portes"/>
            <a:graphic xmlns:a="http://schemas.openxmlformats.org/drawingml/2006/main">
              <a:graphicData uri="http://schemas.openxmlformats.org/drawingml/2006/picture">
                <pic:pic xmlns:pic="http://schemas.openxmlformats.org/drawingml/2006/picture">
                  <pic:nvPicPr>
                    <pic:cNvPr id="1" name="image1" descr="promotion des tests · 4 environnements, 3 portes"/>
                    <pic:cNvPicPr/>
                  </pic:nvPicPr>
                  <pic:blipFill>
                    <a:blip r:embed="rId3"/>
                    <a:stretch>
                      <a:fillRect/>
                    </a:stretch>
                  </pic:blipFill>
                  <pic:spPr>
                    <a:xfrm>
                      <a:off x="0" y="0"/>
                      <a:ext cx="5486400" cy="3371850"/>
                    </a:xfrm>
                    <a:prstGeom prst="rect">
                      <a:avLst/>
                    </a:prstGeom>
                  </pic:spPr>
                </pic:pic>
              </a:graphicData>
            </a:graphic>
          </wp:inline>
        </w:drawing>
      </w:r>
    </w:p>
    <w:p>
      <w:pPr/>
      <w:r>
        <w:t xml:space="preserve">promotion des tests · 4 environnements, 3 portes</w:t>
      </w:r>
    </w:p>
    <w:p>
      <w:pPr/>
      <w:r>
        <w:t xml:space="preserve">Chaque flèche est une porte : on ne passe à l'environnement suivant que si la condition écrite à côté est remplie.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Environnement</w:t>
            </w:r>
          </w:p>
        </w:tc>
        <w:tc>
          <w:tcPr>
            <w:tcW w:w="1872" w:type="dxa"/>
            <w:shd w:val="clear" w:color="auto" w:fill="F2F2F2"/>
          </w:tcPr>
          <w:p>
            <w:pPr/>
            <w:r>
              <w:t xml:space="preserve">Question à laquelle il répond</w:t>
            </w:r>
          </w:p>
        </w:tc>
        <w:tc>
          <w:tcPr>
            <w:tcW w:w="1872" w:type="dxa"/>
            <w:shd w:val="clear" w:color="auto" w:fill="F2F2F2"/>
          </w:tcPr>
          <w:p>
            <w:pPr/>
            <w:r>
              <w:t xml:space="preserve">Suites lancées (tags)</w:t>
            </w:r>
          </w:p>
        </w:tc>
        <w:tc>
          <w:tcPr>
            <w:tcW w:w="1872" w:type="dxa"/>
            <w:shd w:val="clear" w:color="auto" w:fill="F2F2F2"/>
          </w:tcPr>
          <w:p>
            <w:pPr/>
            <w:r>
              <w:t xml:space="preserve">Données</w:t>
            </w:r>
          </w:p>
        </w:tc>
        <w:tc>
          <w:tcPr>
            <w:tcW w:w="1872" w:type="dxa"/>
            <w:shd w:val="clear" w:color="auto" w:fill="F2F2F2"/>
          </w:tcPr>
          <w:p>
            <w:pPr/>
            <w:r>
              <w:t xml:space="preserve">Interdit</w:t>
            </w:r>
          </w:p>
        </w:tc>
      </w:tr>
      <w:tr>
        <w:tc>
          <w:tcPr>
            <w:tcW w:w="1872" w:type="dxa"/>
          </w:tcPr>
          <w:p>
            <w:pPr/>
            <w:r>
              <w:t xml:space="preserve">ITG</w:t>
            </w:r>
          </w:p>
        </w:tc>
        <w:tc>
          <w:tcPr>
            <w:tcW w:w="1872" w:type="dxa"/>
          </w:tcPr>
          <w:p>
            <w:pPr/>
            <w:r>
              <w:t xml:space="preserve">Le code livré respecte-t-il les règles et les droits ?</w:t>
            </w:r>
          </w:p>
        </w:tc>
        <w:tc>
          <w:tcPr>
            <w:tcW w:w="1872" w:type="dxa"/>
          </w:tcPr>
          <w:p>
            <w:pPr/>
            <w:r>
              <w:t xml:space="preserve">@smoke @droits @regles @contrat après chaque déploiement ; @e2e la nuit</w:t>
            </w:r>
          </w:p>
        </w:tc>
        <w:tc>
          <w:tcPr>
            <w:tcW w:w="1872" w:type="dxa"/>
          </w:tcPr>
          <w:p>
            <w:pPr/>
            <w:r>
              <w:t xml:space="preserve">Créées par chaque test, préfixe QA-AUTO plus l'identifiant d'exécution, supprimées à la fin</w:t>
            </w:r>
          </w:p>
        </w:tc>
        <w:tc>
          <w:tcPr>
            <w:tcW w:w="1872" w:type="dxa"/>
          </w:tcPr>
          <w:p>
            <w:pPr/>
            <w:r>
              <w:t xml:space="preserve">Dépendre d'une donnée créée à la main</w:t>
            </w:r>
          </w:p>
        </w:tc>
      </w:tr>
      <w:tr>
        <w:tc>
          <w:tcPr>
            <w:tcW w:w="1872" w:type="dxa"/>
          </w:tcPr>
          <w:p>
            <w:pPr/>
            <w:r>
              <w:t xml:space="preserve">PREPROD</w:t>
            </w:r>
          </w:p>
        </w:tc>
        <w:tc>
          <w:tcPr>
            <w:tcW w:w="1872" w:type="dxa"/>
          </w:tcPr>
          <w:p>
            <w:pPr/>
            <w:r>
              <w:t xml:space="preserve">Le déploiement tient-il sur un environnement proche de la prod ? La migration à blanc est-elle juste ?</w:t>
            </w:r>
          </w:p>
        </w:tc>
        <w:tc>
          <w:tcPr>
            <w:tcW w:w="1872" w:type="dxa"/>
          </w:tcPr>
          <w:p>
            <w:pPr/>
            <w:r>
              <w:t xml:space="preserve">@smoke @droits ; @migration à chaque migration à blanc</w:t>
            </w:r>
          </w:p>
        </w:tc>
        <w:tc>
          <w:tcPr>
            <w:tcW w:w="1872" w:type="dxa"/>
          </w:tcPr>
          <w:p>
            <w:pPr/>
            <w:r>
              <w:t xml:space="preserve">Partagées avec la recette métier BSC et Risk Management</w:t>
            </w:r>
          </w:p>
        </w:tc>
        <w:tc>
          <w:tcPr>
            <w:tcW w:w="1872" w:type="dxa"/>
          </w:tcPr>
          <w:p>
            <w:pPr/>
            <w:r>
              <w:t xml:space="preserve">Modifier ou supprimer une donnée que le test n'a pas créée</w:t>
            </w:r>
          </w:p>
        </w:tc>
      </w:tr>
      <w:tr>
        <w:tc>
          <w:tcPr>
            <w:tcW w:w="1872" w:type="dxa"/>
          </w:tcPr>
          <w:p>
            <w:pPr/>
            <w:r>
              <w:t xml:space="preserve">PROD privatisée</w:t>
            </w:r>
          </w:p>
        </w:tc>
        <w:tc>
          <w:tcPr>
            <w:tcW w:w="1872" w:type="dxa"/>
          </w:tcPr>
          <w:p>
            <w:pPr/>
            <w:r>
              <w:t xml:space="preserve">La mise en production a-t-elle marché avant d'ouvrir aux utilisateurs ?</w:t>
            </w:r>
          </w:p>
        </w:tc>
        <w:tc>
          <w:tcPr>
            <w:tcW w:w="1872" w:type="dxa"/>
          </w:tcPr>
          <w:p>
            <w:pPr/>
            <w:r>
              <w:t xml:space="preserve">@prod-lecture ; au plus un parcours d'écriture encadré</w:t>
            </w:r>
          </w:p>
        </w:tc>
        <w:tc>
          <w:tcPr>
            <w:tcW w:w="1872" w:type="dxa"/>
          </w:tcPr>
          <w:p>
            <w:pPr/>
            <w:r>
              <w:t xml:space="preserve">Réelles</w:t>
            </w:r>
          </w:p>
        </w:tc>
        <w:tc>
          <w:tcPr>
            <w:tcW w:w="1872" w:type="dxa"/>
          </w:tcPr>
          <w:p>
            <w:pPr/>
            <w:r>
              <w:t xml:space="preserve">Valider une demande, sauf procédure écrite (déclenche les flux)</w:t>
            </w:r>
          </w:p>
        </w:tc>
      </w:tr>
      <w:tr>
        <w:tc>
          <w:tcPr>
            <w:tcW w:w="1872" w:type="dxa"/>
          </w:tcPr>
          <w:p>
            <w:pPr/>
            <w:r>
              <w:t xml:space="preserve">PROD ouverte</w:t>
            </w:r>
          </w:p>
        </w:tc>
        <w:tc>
          <w:tcPr>
            <w:tcW w:w="1872" w:type="dxa"/>
          </w:tcPr>
          <w:p>
            <w:pPr/>
            <w:r>
              <w:t xml:space="preserve">L'application répond-elle après réouverture ?</w:t>
            </w:r>
          </w:p>
        </w:tc>
        <w:tc>
          <w:tcPr>
            <w:tcW w:w="1872" w:type="dxa"/>
          </w:tcPr>
          <w:p>
            <w:pPr/>
            <w:r>
              <w:t xml:space="preserve">@prod-lecture</w:t>
            </w:r>
          </w:p>
        </w:tc>
        <w:tc>
          <w:tcPr>
            <w:tcW w:w="1872" w:type="dxa"/>
          </w:tcPr>
          <w:p>
            <w:pPr/>
            <w:r>
              <w:t xml:space="preserve">Réelles</w:t>
            </w:r>
          </w:p>
        </w:tc>
        <w:tc>
          <w:tcPr>
            <w:tcW w:w="1872" w:type="dxa"/>
          </w:tcPr>
          <w:p>
            <w:pPr/>
            <w:r>
              <w:t xml:space="preserve">Toute écriture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Environnement</w:t>
            </w:r>
          </w:p>
        </w:tc>
        <w:tc>
          <w:tcPr>
            <w:tcW w:w="2340" w:type="dxa"/>
            <w:shd w:val="clear" w:color="auto" w:fill="F2F2F2"/>
          </w:tcPr>
          <w:p>
            <w:pPr/>
            <w:r>
              <w:t xml:space="preserve">Déclencheur</w:t>
            </w:r>
          </w:p>
        </w:tc>
        <w:tc>
          <w:tcPr>
            <w:tcW w:w="2340" w:type="dxa"/>
            <w:shd w:val="clear" w:color="auto" w:fill="F2F2F2"/>
          </w:tcPr>
          <w:p>
            <w:pPr/>
            <w:r>
              <w:t xml:space="preserve">Qui autorise</w:t>
            </w:r>
          </w:p>
        </w:tc>
        <w:tc>
          <w:tcPr>
            <w:tcW w:w="2340" w:type="dxa"/>
            <w:shd w:val="clear" w:color="auto" w:fill="F2F2F2"/>
          </w:tcPr>
          <w:p>
            <w:pPr/>
            <w:r>
              <w:t xml:space="preserve">Compte utilisé</w:t>
            </w:r>
          </w:p>
        </w:tc>
      </w:tr>
      <w:tr>
        <w:tc>
          <w:tcPr>
            <w:tcW w:w="2340" w:type="dxa"/>
          </w:tcPr>
          <w:p>
            <w:pPr/>
            <w:r>
              <w:t xml:space="preserve">ITG</w:t>
            </w:r>
          </w:p>
        </w:tc>
        <w:tc>
          <w:tcPr>
            <w:tcW w:w="2340" w:type="dxa"/>
          </w:tcPr>
          <w:p>
            <w:pPr/>
            <w:r>
              <w:t xml:space="preserve">Automatique après déploiement, plus une exécution nocturne</w:t>
            </w:r>
          </w:p>
        </w:tc>
        <w:tc>
          <w:tcPr>
            <w:tcW w:w="2340" w:type="dxa"/>
          </w:tcPr>
          <w:p>
            <w:pPr/>
            <w:r>
              <w:t xml:space="preserve">Personne, c'est le terrain de la QA</w:t>
            </w:r>
          </w:p>
        </w:tc>
        <w:tc>
          <w:tcPr>
            <w:tcW w:w="2340" w:type="dxa"/>
          </w:tcPr>
          <w:p>
            <w:pPr/>
            <w:r>
              <w:t xml:space="preserve">Un compte technique par rôle (User, Admin, Super Admin)</w:t>
            </w:r>
          </w:p>
        </w:tc>
      </w:tr>
      <w:tr>
        <w:tc>
          <w:tcPr>
            <w:tcW w:w="2340" w:type="dxa"/>
          </w:tcPr>
          <w:p>
            <w:pPr/>
            <w:r>
              <w:t xml:space="preserve">PREPROD</w:t>
            </w:r>
          </w:p>
        </w:tc>
        <w:tc>
          <w:tcPr>
            <w:tcW w:w="2340" w:type="dxa"/>
          </w:tcPr>
          <w:p>
            <w:pPr/>
            <w:r>
              <w:t xml:space="preserve">Automatique après déploiement ; manuel pour la migration</w:t>
            </w:r>
          </w:p>
        </w:tc>
        <w:tc>
          <w:tcPr>
            <w:tcW w:w="2340" w:type="dxa"/>
          </w:tcPr>
          <w:p>
            <w:pPr/>
            <w:r>
              <w:t xml:space="preserve">Responsable de la recette (créneaux à convenir)</w:t>
            </w:r>
          </w:p>
        </w:tc>
        <w:tc>
          <w:tcPr>
            <w:tcW w:w="2340" w:type="dxa"/>
          </w:tcPr>
          <w:p>
            <w:pPr/>
            <w:r>
              <w:t xml:space="preserve">Comptes techniques distincts de ceux d'ITG</w:t>
            </w:r>
          </w:p>
        </w:tc>
      </w:tr>
      <w:tr>
        <w:tc>
          <w:tcPr>
            <w:tcW w:w="2340" w:type="dxa"/>
          </w:tcPr>
          <w:p>
            <w:pPr/>
            <w:r>
              <w:t xml:space="preserve">PROD privatisée</w:t>
            </w:r>
          </w:p>
        </w:tc>
        <w:tc>
          <w:tcPr>
            <w:tcW w:w="2340" w:type="dxa"/>
          </w:tcPr>
          <w:p>
            <w:pPr/>
            <w:r>
              <w:t xml:space="preserve">Manuel, pendant la fenêtre de mise en production</w:t>
            </w:r>
          </w:p>
        </w:tc>
        <w:tc>
          <w:tcPr>
            <w:tcW w:w="2340" w:type="dxa"/>
          </w:tcPr>
          <w:p>
            <w:pPr/>
            <w:r>
              <w:t xml:space="preserve">Responsable de la mise en production, approbation dans le pipeline</w:t>
            </w:r>
          </w:p>
        </w:tc>
        <w:tc>
          <w:tcPr>
            <w:tcW w:w="2340" w:type="dxa"/>
          </w:tcPr>
          <w:p>
            <w:pPr/>
            <w:r>
              <w:t xml:space="preserve">Compte de test autorisé par la sécurité, droits minimum</w:t>
            </w:r>
          </w:p>
        </w:tc>
      </w:tr>
      <w:tr>
        <w:tc>
          <w:tcPr>
            <w:tcW w:w="2340" w:type="dxa"/>
          </w:tcPr>
          <w:p>
            <w:pPr/>
            <w:r>
              <w:t xml:space="preserve">PROD ouverte</w:t>
            </w:r>
          </w:p>
        </w:tc>
        <w:tc>
          <w:tcPr>
            <w:tcW w:w="2340" w:type="dxa"/>
          </w:tcPr>
          <w:p>
            <w:pPr/>
            <w:r>
              <w:t xml:space="preserve">Manuel ou planifié si la sécurité l'accepte</w:t>
            </w:r>
          </w:p>
        </w:tc>
        <w:tc>
          <w:tcPr>
            <w:tcW w:w="2340" w:type="dxa"/>
          </w:tcPr>
          <w:p>
            <w:pPr/>
            <w:r>
              <w:t xml:space="preserve">Responsable de l'exploitation</w:t>
            </w:r>
          </w:p>
        </w:tc>
        <w:tc>
          <w:tcPr>
            <w:tcW w:w="2340" w:type="dxa"/>
          </w:tcPr>
          <w:p>
            <w:pPr/>
            <w:r>
              <w:t xml:space="preserve">Même compte, lecture seule</w:t>
            </w:r>
          </w:p>
        </w:tc>
      </w:tr>
    </w:tbl>
    <w:p>
      <w:pPr/>
      <w:r>
        <w:t xml:space="preserve">Aujourd'hui, le smoke après mise en production se fait à la main avec des comptes nominatifs. L'automatiser n'est possible que si un compte de test est autorisé en production : c'est une décision de sécurité, pas une décision QA.</w:t>
      </w:r>
    </w:p>
    <w:p>
      <w:pPr/>
      <w:r>
        <w:t xml:space="preserve">Un test « @prod-lecture » est un test qui ne fait que regarder : il ouvre l'application, se connecte, lit une liste ou une fiche connue, et vérifie que l'API répond. Il ne crée rien, ne modifie rien, ne valide rien. C'est ce tag qui autorise un test à tourner en production.</w:t>
      </w:r>
    </w:p>
    <w:p>
      <w:pPr>
        <w:pStyle w:val="Heading2"/>
      </w:pPr>
      <w:r>
        <w:t xml:space="preserve">Un seul code, plusieurs environnements</w:t>
      </w:r>
    </w:p>
    <w:p>
      <w:pPr/>
      <w:r>
        <w:t xml:space="preserve">Le principe : on écrit les tests une seule fois, et l'environnement devient un paramètre. Ce qui change d'un environnement à l'autre (adresse, comptes, droit d'écrire, suites autorisées) vit dans la configuration, jamais dans les tests.</w:t>
      </w:r>
    </w:p>
    <w:p>
      <w:pPr/>
      <w:r>
        <w:t xml:space="preserve">Trois mécanismes suffisent :</w:t>
      </w:r>
    </w:p>
    <w:p>
      <w:pPr>
        <w:pStyle w:val="ListParagraph"/>
        <w:numPr>
          <w:ilvl w:val="0"/>
          <w:numId w:val="4"/>
        </w:numPr>
      </w:pPr>
      <w:r>
        <w:t xml:space="preserve">Les adresses et les secrets viennent du pipeline, par un groupe de variables Azure DevOps relié au Key Vault, un groupe par environnement.</w:t>
      </w:r>
    </w:p>
    <w:p>
      <w:pPr>
        <w:pStyle w:val="ListParagraph"/>
        <w:numPr>
          <w:ilvl w:val="0"/>
          <w:numId w:val="4"/>
        </w:numPr>
      </w:pPr>
      <w:r>
        <w:t xml:space="preserve">Une politique par environnement dit quelles suites tournent et si l'écriture est permise.</w:t>
      </w:r>
    </w:p>
    <w:p>
      <w:pPr>
        <w:pStyle w:val="ListParagraph"/>
        <w:numPr>
          <w:ilvl w:val="0"/>
          <w:numId w:val="4"/>
        </w:numPr>
      </w:pPr>
      <w:r>
        <w:t xml:space="preserve">Un garde-fou dans le code refuse toute écriture sur un environnement en lecture seule, même si quelqu'un lance le mauvais tag par erreur.</w:t>
      </w:r>
    </w:p>
    <w:p>
      <w:pPr>
        <w:pStyle w:val="Heading3"/>
      </w:pPr>
      <w:r>
        <w:t xml:space="preserve">La politique par environnement</w:t>
      </w:r>
    </w:p>
    <w:p>
      <w:pPr>
        <w:pStyle w:val="Code"/>
      </w:pPr>
      <w:bookmarkStart w:id="1" w:name="bongo_lang_ts_1"/>
      <w:bookmarkEnd w:id="1"/>
      <w:r>
        <w:t xml:space="preserve">// src/config/env.ts</w:t>
        <w:br/>
        <w:t xml:space="preserve">export type NomEnv = 'itg' | 'preprod' | 'prod-privatisee' | 'prod';</w:t>
        <w:br/>
        <w:br/>
        <w:t xml:space="preserve">const politiques: Record&lt;NomEnv, { ecriture: boolean; grep: RegExp }&gt; = {</w:t>
        <w:br/>
        <w:t xml:space="preserve">  itg:               { ecriture: true,  grep: /@smoke|@droits|@regles|@contrat|@e2e/ },</w:t>
        <w:br/>
        <w:t xml:space="preserve">  preprod:           { ecriture: true,  grep: /@smoke|@droits|@migration/ },</w:t>
        <w:br/>
        <w:t xml:space="preserve">  'prod-privatisee': { ecriture: false, grep: /@prod-lecture/ },</w:t>
        <w:br/>
        <w:t xml:space="preserve">  prod:              { ecriture: false, grep: /@prod-lecture/ },</w:t>
        <w:br/>
        <w:t xml:space="preserve">};</w:t>
        <w:br/>
        <w:br/>
        <w:t xml:space="preserve">const lire = (nom: string): string =&gt; {</w:t>
        <w:br/>
        <w:t xml:space="preserve">  const valeur = process.env[nom];</w:t>
        <w:br/>
        <w:t xml:space="preserve">  if (!valeur) throw new Error(`Variable ${nom} absente : vérifier le groupe de variables du pipeline`);</w:t>
        <w:br/>
        <w:t xml:space="preserve">  return valeur;</w:t>
        <w:br/>
        <w:t xml:space="preserve">};</w:t>
        <w:br/>
        <w:br/>
        <w:t xml:space="preserve">export function envCourant() {</w:t>
        <w:br/>
        <w:t xml:space="preserve">  const nom = lire('TEST_ENV') as NomEnv;</w:t>
        <w:br/>
        <w:t xml:space="preserve">  const politique = politiques[nom];</w:t>
        <w:br/>
        <w:t xml:space="preserve">  if (!politique) throw new Error(`Environnement inconnu : ${nom}`);</w:t>
        <w:br/>
        <w:t xml:space="preserve">  return { nom, baseURL: lire('BASE_URL'), apiURL: lire('API_URL'), ...politique };</w:t>
        <w:br/>
        <w:t xml:space="preserve">}</w:t>
      </w:r>
    </w:p>
    <w:p>
      <w:pPr/>
      <w:r>
        <w:t xml:space="preserve">Pourquoi échouer tout de suite si une variable manque : un test qui part avec une adresse vide échoue plus loin avec un message incompréhensible. Mieux vaut un arrêt net qui dit quoi corriger.</w:t>
      </w:r>
    </w:p>
    <w:p>
      <w:pPr>
        <w:pStyle w:val="Heading3"/>
      </w:pPr>
      <w:r>
        <w:t xml:space="preserve">La configuration Playwright</w:t>
      </w:r>
    </w:p>
    <w:p>
      <w:pPr>
        <w:pStyle w:val="Code"/>
      </w:pPr>
      <w:bookmarkStart w:id="2" w:name="bongo_lang_ts_2"/>
      <w:bookmarkEnd w:id="2"/>
      <w:r>
        <w:t xml:space="preserve">// playwright.config.ts</w:t>
        <w:br/>
        <w:t xml:space="preserve">import { defineConfig } from '@playwright/test';</w:t>
        <w:br/>
        <w:t xml:space="preserve">import { envCourant } from './src/config/env';</w:t>
        <w:br/>
        <w:br/>
        <w:t xml:space="preserve">const env = envCourant();</w:t>
        <w:br/>
        <w:br/>
        <w:t xml:space="preserve">export default defineConfig({</w:t>
        <w:br/>
        <w:t xml:space="preserve">  testDir: './tests',</w:t>
        <w:br/>
        <w:t xml:space="preserve">  grep: env.grep,                          // seules les suites autorisées sur cet environnement</w:t>
        <w:br/>
        <w:t xml:space="preserve">  retries: process.env.CI ? 1 : 0,         // un seul retry : au-delà, on masque un vrai problème</w:t>
        <w:br/>
        <w:t xml:space="preserve">  workers: env.nom === 'itg' ? 4 : 1,      // environnements partagés : on ne charge pas la PREPROD</w:t>
        <w:br/>
        <w:t xml:space="preserve">  globalSetup: './src/setup/global-setup.ts',</w:t>
        <w:br/>
        <w:t xml:space="preserve">  reporter: [['junit', { outputFile: 'results/junit.xml' }], ['html', { open: 'never' }]],</w:t>
        <w:br/>
        <w:t xml:space="preserve">  use: { baseURL: env.baseURL, trace: 'on-first-retry' },</w:t>
        <w:br/>
        <w:t xml:space="preserve">});</w:t>
      </w:r>
    </w:p>
    <w:p>
      <w:pPr>
        <w:pStyle w:val="Heading3"/>
      </w:pPr>
      <w:r>
        <w:t xml:space="preserve">Le garde-fou d'écriture</w:t>
      </w:r>
    </w:p>
    <w:p>
      <w:pPr/>
      <w:r>
        <w:t xml:space="preserve">Le tag ne suffit pas : une option --grep tapée à la main passe outre. Le vrai verrou est dans le client API qui écrit.</w:t>
      </w:r>
    </w:p>
    <w:p>
      <w:pPr>
        <w:pStyle w:val="Code"/>
      </w:pPr>
      <w:bookmarkStart w:id="3" w:name="bongo_lang_ts_3"/>
      <w:bookmarkEnd w:id="3"/>
      <w:r>
        <w:t xml:space="preserve">// src/api/demande-api.ts : renvoie la réponse brute, n'asserte jamais</w:t>
        <w:br/>
        <w:t xml:space="preserve">import { APIRequestContext } from '@playwright/test';</w:t>
        <w:br/>
        <w:t xml:space="preserve">import { envCourant } from '../config/env';</w:t>
        <w:br/>
        <w:br/>
        <w:t xml:space="preserve">export class DemandeApi {</w:t>
        <w:br/>
        <w:t xml:space="preserve">  private readonly env = envCourant();</w:t>
        <w:br/>
        <w:t xml:space="preserve">  constructor(private readonly ctx: APIRequestContext) {}</w:t>
        <w:br/>
        <w:br/>
        <w:t xml:space="preserve">  private exigerEcriture(action: string): void {</w:t>
        <w:br/>
        <w:t xml:space="preserve">    if (!this.env.ecriture) {</w:t>
        <w:br/>
        <w:t xml:space="preserve">      throw new Error(`« ${action} » refusé sur ${this.env.nom} : environnement en lecture seule`);</w:t>
        <w:br/>
        <w:t xml:space="preserve">    }</w:t>
        <w:br/>
        <w:t xml:space="preserve">  }</w:t>
        <w:br/>
        <w:br/>
        <w:t xml:space="preserve">  lire(id: string) { return this.ctx.get(`/api/demandes/${id}`); }</w:t>
        <w:br/>
        <w:t xml:space="preserve">  lister(filtres: Record&lt;string, string&gt; = {}) { return this.ctx.get('/api/demandes', { params: filtres }); }</w:t>
        <w:br/>
        <w:br/>
        <w:t xml:space="preserve">  creer(corps: object) { this.exigerEcriture('créer'); return this.ctx.post('/api/demandes', { data: corps }); }</w:t>
        <w:br/>
        <w:t xml:space="preserve">  supprimer(id: string) { this.exigerEcriture('supprimer'); return this.ctx.delete(`/api/demandes/${id}`); }</w:t>
        <w:br/>
        <w:t xml:space="preserve">}</w:t>
      </w:r>
    </w:p>
    <w:p>
      <w:pPr/>
      <w:r>
        <w:t xml:space="preserve">Les routes sont des hypothèses à aligner sur le contrat OpenAPI. Le point important est la séparation : lire est toujours permis, écrire passe par le verrou.</w:t>
      </w:r>
    </w:p>
    <w:p>
      <w:pPr>
        <w:pStyle w:val="Heading3"/>
      </w:pPr>
      <w:r>
        <w:t xml:space="preserve">Les données de test selon l'environnement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Environnement</w:t>
            </w:r>
          </w:p>
        </w:tc>
        <w:tc>
          <w:tcPr>
            <w:tcW w:w="3120" w:type="dxa"/>
            <w:shd w:val="clear" w:color="auto" w:fill="F2F2F2"/>
          </w:tcPr>
          <w:p>
            <w:pPr/>
            <w:r>
              <w:t xml:space="preserve">Comment on obtient la donnée</w:t>
            </w:r>
          </w:p>
        </w:tc>
        <w:tc>
          <w:tcPr>
            <w:tcW w:w="3120" w:type="dxa"/>
            <w:shd w:val="clear" w:color="auto" w:fill="F2F2F2"/>
          </w:tcPr>
          <w:p>
            <w:pPr/>
            <w:r>
              <w:t xml:space="preserve">Comment on nettoie</w:t>
            </w:r>
          </w:p>
        </w:tc>
      </w:tr>
      <w:tr>
        <w:tc>
          <w:tcPr>
            <w:tcW w:w="3120" w:type="dxa"/>
          </w:tcPr>
          <w:p>
            <w:pPr/>
            <w:r>
              <w:t xml:space="preserve">ITG</w:t>
            </w:r>
          </w:p>
        </w:tc>
        <w:tc>
          <w:tcPr>
            <w:tcW w:w="3120" w:type="dxa"/>
          </w:tcPr>
          <w:p>
            <w:pPr/>
            <w:r>
              <w:t xml:space="preserve">Le test la crée par l'API, nom préfixé QA-AUTO plus l'identifiant d'exécution</w:t>
            </w:r>
          </w:p>
        </w:tc>
        <w:tc>
          <w:tcPr>
            <w:tcW w:w="3120" w:type="dxa"/>
          </w:tcPr>
          <w:p>
            <w:pPr/>
            <w:r>
              <w:t xml:space="preserve">Suppression en fin de test, plus une purge nocturne des restes QA-AUTO</w:t>
            </w:r>
          </w:p>
        </w:tc>
      </w:tr>
      <w:tr>
        <w:tc>
          <w:tcPr>
            <w:tcW w:w="3120" w:type="dxa"/>
          </w:tcPr>
          <w:p>
            <w:pPr/>
            <w:r>
              <w:t xml:space="preserve">PREPROD</w:t>
            </w:r>
          </w:p>
        </w:tc>
        <w:tc>
          <w:tcPr>
            <w:tcW w:w="3120" w:type="dxa"/>
          </w:tcPr>
          <w:p>
            <w:pPr/>
            <w:r>
              <w:t xml:space="preserve">Même méthode, en petit volume, jamais sur une fiche existante</w:t>
            </w:r>
          </w:p>
        </w:tc>
        <w:tc>
          <w:tcPr>
            <w:tcW w:w="3120" w:type="dxa"/>
          </w:tcPr>
          <w:p>
            <w:pPr/>
            <w:r>
              <w:t xml:space="preserve">Suppression en fin de test ; ce qui reste est listé dans le rapport</w:t>
            </w:r>
          </w:p>
        </w:tc>
      </w:tr>
      <w:tr>
        <w:tc>
          <w:tcPr>
            <w:tcW w:w="3120" w:type="dxa"/>
          </w:tcPr>
          <w:p>
            <w:pPr/>
            <w:r>
              <w:t xml:space="preserve">PROD privatisée et ouverte</w:t>
            </w:r>
          </w:p>
        </w:tc>
        <w:tc>
          <w:tcPr>
            <w:tcW w:w="3120" w:type="dxa"/>
          </w:tcPr>
          <w:p>
            <w:pPr/>
            <w:r>
              <w:t xml:space="preserve">Lecture d'une fiche de référence connue et stable, choisie avec le métier</w:t>
            </w:r>
          </w:p>
        </w:tc>
        <w:tc>
          <w:tcPr>
            <w:tcW w:w="3120" w:type="dxa"/>
          </w:tcPr>
          <w:p>
            <w:pPr/>
            <w:r>
              <w:t xml:space="preserve">Rien à nettoyer, rien n'est créé</w:t>
            </w:r>
          </w:p>
        </w:tc>
      </w:tr>
    </w:tbl>
    <w:p>
      <w:pPr/>
      <w:r>
        <w:t xml:space="preserve">Attention : la suppression d'une demande n'est pas encore définie (physique ou logique, US-16). Si elle est logique, le nettoyage laisse des lignes en base, et la purge nocturne demande un accès accordé par l'équipe technique.</w:t>
      </w:r>
    </w:p>
    <w:p>
      <w:pPr>
        <w:pStyle w:val="Heading3"/>
      </w:pPr>
      <w:r>
        <w:t xml:space="preserve">L'authentification, point le plus sensible</w:t>
      </w:r>
    </w:p>
    <w:p>
      <w:pPr/>
      <w:r>
        <w:t xml:space="preserve">Le SSO avec double authentification bloque un robot. Trois solutions existent, une seule convient vraiment au pipeline.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Solution</w:t>
            </w:r>
          </w:p>
        </w:tc>
        <w:tc>
          <w:tcPr>
            <w:tcW w:w="3120" w:type="dxa"/>
            <w:shd w:val="clear" w:color="auto" w:fill="F2F2F2"/>
          </w:tcPr>
          <w:p>
            <w:pPr/>
            <w:r>
              <w:t xml:space="preserve">Principe</w:t>
            </w:r>
          </w:p>
        </w:tc>
        <w:tc>
          <w:tcPr>
            <w:tcW w:w="3120" w:type="dxa"/>
            <w:shd w:val="clear" w:color="auto" w:fill="F2F2F2"/>
          </w:tcPr>
          <w:p>
            <w:pPr/>
            <w:r>
              <w:t xml:space="preserve">Verdict</w:t>
            </w:r>
          </w:p>
        </w:tc>
      </w:tr>
      <w:tr>
        <w:tc>
          <w:tcPr>
            <w:tcW w:w="3120" w:type="dxa"/>
          </w:tcPr>
          <w:p>
            <w:pPr/>
            <w:r>
              <w:t xml:space="preserve">Compte de service et jeton applicatif</w:t>
            </w:r>
          </w:p>
        </w:tc>
        <w:tc>
          <w:tcPr>
            <w:tcW w:w="3120" w:type="dxa"/>
          </w:tcPr>
          <w:p>
            <w:pPr/>
            <w:r>
              <w:t xml:space="preserve">Une identité technique reçoit un jeton sans écran de connexion</w:t>
            </w:r>
          </w:p>
        </w:tc>
        <w:tc>
          <w:tcPr>
            <w:tcW w:w="3120" w:type="dxa"/>
          </w:tcPr>
          <w:p>
            <w:pPr/>
            <w:r>
              <w:t xml:space="preserve">La meilleure pour l'API, si les rôles InfoCAC peuvent lui être attribués</w:t>
            </w:r>
          </w:p>
        </w:tc>
      </w:tr>
      <w:tr>
        <w:tc>
          <w:tcPr>
            <w:tcW w:w="3120" w:type="dxa"/>
          </w:tcPr>
          <w:p>
            <w:pPr/>
            <w:r>
              <w:t xml:space="preserve">Comptes de test exemptés de double authentification depuis le réseau de l'agent</w:t>
            </w:r>
          </w:p>
        </w:tc>
        <w:tc>
          <w:tcPr>
            <w:tcW w:w="3120" w:type="dxa"/>
          </w:tcPr>
          <w:p>
            <w:pPr/>
            <w:r>
              <w:t xml:space="preserve">Connexion UI une fois dans le global setup, session réutilisée (storageState)</w:t>
            </w:r>
          </w:p>
        </w:tc>
        <w:tc>
          <w:tcPr>
            <w:tcW w:w="3120" w:type="dxa"/>
          </w:tcPr>
          <w:p>
            <w:pPr/>
            <w:r>
              <w:t xml:space="preserve">Correct pour l'UI, décision de la sécurité</w:t>
            </w:r>
          </w:p>
        </w:tc>
      </w:tr>
      <w:tr>
        <w:tc>
          <w:tcPr>
            <w:tcW w:w="3120" w:type="dxa"/>
          </w:tcPr>
          <w:p>
            <w:pPr/>
            <w:r>
              <w:t xml:space="preserve">Connexion manuelle une fois, session copiée</w:t>
            </w:r>
          </w:p>
        </w:tc>
        <w:tc>
          <w:tcPr>
            <w:tcW w:w="3120" w:type="dxa"/>
          </w:tcPr>
          <w:p>
            <w:pPr/>
            <w:r>
              <w:t xml:space="preserve">Un humain se connecte, la session est réutilisée</w:t>
            </w:r>
          </w:p>
        </w:tc>
        <w:tc>
          <w:tcPr>
            <w:tcW w:w="3120" w:type="dxa"/>
          </w:tcPr>
          <w:p>
            <w:pPr/>
            <w:r>
              <w:t xml:space="preserve">À réserver au poste local : la session expire, le pipeline casse</w:t>
            </w:r>
          </w:p>
        </w:tc>
      </w:tr>
    </w:tbl>
    <w:p>
      <w:pPr/>
      <w:r>
        <w:t xml:space="preserve">La règle déjà retenue reste valable : la connexion UI n'est testée que comme une fonctionnalité, jamais utilisée pour préparer les autres tests.</w:t>
      </w:r>
    </w:p>
    <w:p>
      <w:pPr>
        <w:pStyle w:val="Heading3"/>
      </w:pPr>
      <w:r>
        <w:t xml:space="preserve">Le pipeline Azure DevOps</w:t>
      </w:r>
    </w:p>
    <w:p>
      <w:pPr/>
      <w:r>
        <w:t xml:space="preserve">Un seul fichier de pipeline, un paramètre pour l'environnement. L'approbation de la production n'est pas écrite dans le YAML : elle se règle sur l'environnement Azure DevOps (Approvals and checks), ce qui la rend impossible à contourner en modifiant le fichier.</w:t>
      </w:r>
    </w:p>
    <w:p>
      <w:pPr>
        <w:pStyle w:val="Code"/>
      </w:pPr>
      <w:bookmarkStart w:id="4" w:name="bongo_lang_yaml_4"/>
      <w:bookmarkEnd w:id="4"/>
      <w:r>
        <w:t xml:space="preserve"># azure-pipelines-tests.yml</w:t>
        <w:br/>
        <w:t xml:space="preserve">trigger: none</w:t>
        <w:br/>
        <w:br/>
        <w:t xml:space="preserve">resources:</w:t>
        <w:br/>
        <w:t xml:space="preserve">  pipelines:</w:t>
        <w:br/>
        <w:t xml:space="preserve">    - pipeline: deploiement</w:t>
        <w:br/>
        <w:t xml:space="preserve">      source: InfoCAC-Deploy-ITG        # nom à adapter</w:t>
        <w:br/>
        <w:t xml:space="preserve">      trigger: true                     # un déploiement ITG lance les tests ITG</w:t>
        <w:br/>
        <w:br/>
        <w:t xml:space="preserve">parameters:</w:t>
        <w:br/>
        <w:t xml:space="preserve">  - name: cible</w:t>
        <w:br/>
        <w:t xml:space="preserve">    displayName: Environnement visé</w:t>
        <w:br/>
        <w:t xml:space="preserve">    type: string</w:t>
        <w:br/>
        <w:t xml:space="preserve">    default: itg</w:t>
        <w:br/>
        <w:t xml:space="preserve">    values: [itg, preprod, prod-privatisee, prod]</w:t>
        <w:br/>
        <w:br/>
        <w:t xml:space="preserve">stages:</w:t>
        <w:br/>
        <w:t xml:space="preserve">  - stage: Tests</w:t>
        <w:br/>
        <w:t xml:space="preserve">    displayName: Tests ${{ parameters.cible }}</w:t>
        <w:br/>
        <w:t xml:space="preserve">    variables:</w:t>
        <w:br/>
        <w:t xml:space="preserve">      - group: infocac-tests-${{ parameters.cible }}   # BASE_URL, API_URL, secrets (Key Vault)</w:t>
        <w:br/>
        <w:t xml:space="preserve">    jobs:</w:t>
        <w:br/>
        <w:t xml:space="preserve">      - deployment: playwright</w:t>
        <w:br/>
        <w:t xml:space="preserve">        environment: infocac-${{ parameters.cible }}   # porte l'approbation pour la prod</w:t>
        <w:br/>
        <w:t xml:space="preserve">        pool:</w:t>
        <w:br/>
        <w:t xml:space="preserve">          name: agents-internes-kpmg                   # agent dans le réseau : à confirmer</w:t>
        <w:br/>
        <w:t xml:space="preserve">        strategy:</w:t>
        <w:br/>
        <w:t xml:space="preserve">          runOnce:</w:t>
        <w:br/>
        <w:t xml:space="preserve">            deploy:</w:t>
        <w:br/>
        <w:t xml:space="preserve">              steps:</w:t>
        <w:br/>
        <w:t xml:space="preserve">                - checkout: self                       # un job de déploiement ne récupère pas le code seul</w:t>
        <w:br/>
        <w:t xml:space="preserve">                - task: NodeTool@0</w:t>
        <w:br/>
        <w:t xml:space="preserve">                  inputs: { versionSpec: '20.x' }</w:t>
        <w:br/>
        <w:t xml:space="preserve">                - script: npm ci &amp;&amp; npx playwright install --with-deps chromium</w:t>
        <w:br/>
        <w:t xml:space="preserve">                  displayName: Installer</w:t>
        <w:br/>
        <w:t xml:space="preserve">                - script: npx playwright test</w:t>
        <w:br/>
        <w:t xml:space="preserve">                  displayName: Lancer les tests</w:t>
        <w:br/>
        <w:t xml:space="preserve">                  env:</w:t>
        <w:br/>
        <w:t xml:space="preserve">                    TEST_ENV: ${{ parameters.cible }}</w:t>
        <w:br/>
        <w:t xml:space="preserve">                    BASE_URL: $(BASE_URL)</w:t>
        <w:br/>
        <w:t xml:space="preserve">                    API_URL: $(API_URL)</w:t>
        <w:br/>
        <w:t xml:space="preserve">                    SECRET_ADMIN: $(secret-compte-admin)   # un secret doit être passé explicitement</w:t>
        <w:br/>
        <w:t xml:space="preserve">                - task: PublishTestResults@2</w:t>
        <w:br/>
        <w:t xml:space="preserve">                  condition: always()</w:t>
        <w:br/>
        <w:t xml:space="preserve">                  inputs:</w:t>
        <w:br/>
        <w:t xml:space="preserve">                    testResultsFormat: JUnit</w:t>
        <w:br/>
        <w:t xml:space="preserve">                    testResultsFiles: results/junit.xml</w:t>
        <w:br/>
        <w:t xml:space="preserve">                - publish: playwright-report</w:t>
        <w:br/>
        <w:t xml:space="preserve">                  artifact: rapport-$(System.StageName)-$(System.JobAttempt)</w:t>
        <w:br/>
        <w:t xml:space="preserve">                  condition: always()</w:t>
      </w:r>
    </w:p>
    <w:p>
      <w:pPr/>
      <w:r>
        <w:t xml:space="preserve">Ce qui reste à adapter : le nom du pipeline de déploiement, le nom du pool d'agents, les noms des secrets dans le Key Vault, et un déclencheur pour PREPROD si un pipeline de déploiement PREPROD existe.</w:t>
      </w:r>
    </w:p>
    <w:p>
      <w:pPr>
        <w:pStyle w:val="Heading2"/>
      </w:pPr>
      <w:r>
        <w:t xml:space="preserve">La prod privatisée en détail</w:t>
      </w:r>
    </w:p>
    <w:p>
      <w:pPr/>
      <w:r>
        <w:t xml:space="preserve">Hypothèse à confirmer : « prod privatisée » veut dire la production fermée aux utilisateurs pendant la mise en production, ouverte seulement à l'équipe projet pour vérifier avant de rouvrir. Une autre lecture existe : la production installée avant mars 2027, pas encore ouverte, pour préparer la migration. La réponse change ce qu'on a le droit d'y faire, donc c'est la première question à poser.</w:t>
      </w:r>
    </w:p>
    <w:p>
      <w:pPr/>
      <w:r>
        <w:t xml:space="preserve">Le vrai danger n'est pas l'écran, ce sont les flux. Une demande validée en production part vers Déclaration d'Activités et MyRotations toutes les 15 minutes en heures ouvrées, et vers Référentiel France chaque jour. Un mandat de test validé finirait dans des applications réglementaires. Le journal d'activité est aussi prévu non modifiable : toute action de test y reste pour toujours.</w:t>
      </w:r>
    </w:p>
    <w:p>
      <w:pPr>
        <w:pStyle w:val="Heading3"/>
      </w:pPr>
      <w:r>
        <w:t xml:space="preserve">Ce que le smoke de production vérifie, sans rien écrire</w:t>
      </w:r>
    </w:p>
    <w:p>
      <w:pPr>
        <w:pStyle w:val="ListParagraph"/>
        <w:numPr>
          <w:ilvl w:val="0"/>
          <w:numId w:val="5"/>
        </w:numPr>
      </w:pPr>
      <w:r>
        <w:t xml:space="preserve">La version déployée est celle attendue (numéro de build exposé par l'application, à demander aux devs).</w:t>
      </w:r>
    </w:p>
    <w:p>
      <w:pPr>
        <w:pStyle w:val="ListParagraph"/>
        <w:numPr>
          <w:ilvl w:val="0"/>
          <w:numId w:val="5"/>
        </w:numPr>
      </w:pPr>
      <w:r>
        <w:t xml:space="preserve">Le compte de test se connecte et arrive sur InfoCAC par Discovery.</w:t>
      </w:r>
    </w:p>
    <w:p>
      <w:pPr>
        <w:pStyle w:val="ListParagraph"/>
        <w:numPr>
          <w:ilvl w:val="0"/>
          <w:numId w:val="5"/>
        </w:numPr>
      </w:pPr>
      <w:r>
        <w:t xml:space="preserve">La liste des demandes se charge : réponse API correcte, pas d'erreur.</w:t>
      </w:r>
    </w:p>
    <w:p>
      <w:pPr>
        <w:pStyle w:val="ListParagraph"/>
        <w:numPr>
          <w:ilvl w:val="0"/>
          <w:numId w:val="5"/>
        </w:numPr>
      </w:pPr>
      <w:r>
        <w:t xml:space="preserve">Une fiche de référence s'ouvre et ses champs clés ont les valeurs connues.</w:t>
      </w:r>
    </w:p>
    <w:p>
      <w:pPr>
        <w:pStyle w:val="ListParagraph"/>
        <w:numPr>
          <w:ilvl w:val="0"/>
          <w:numId w:val="5"/>
        </w:numPr>
      </w:pPr>
      <w:r>
        <w:t xml:space="preserve">Les référentiels sont chargés : listes des pays et des BU non vides.</w:t>
      </w:r>
    </w:p>
    <w:p>
      <w:pPr>
        <w:pStyle w:val="ListParagraph"/>
        <w:numPr>
          <w:ilvl w:val="0"/>
          <w:numId w:val="5"/>
        </w:numPr>
      </w:pPr>
      <w:r>
        <w:t xml:space="preserve">Un point de contrôle technique confirme que la base, le stockage des documents, Référentiel France et l'Annuaire CNCC répondent (à demander aux devs).</w:t>
      </w:r>
    </w:p>
    <w:p>
      <w:pPr/>
      <w:r>
        <w:t xml:space="preserve">Le point 6 est la clé. Plutôt que d'écrire une fausse demande pour prouver que la base fonctionne, on demande aux devs un point de santé technique qui fait ce contrôle sans créer de donnée métier. On prouve la même chose sans risque pour les flux.</w:t>
      </w:r>
    </w:p>
    <w:p>
      <w:pPr>
        <w:pStyle w:val="Heading3"/>
      </w:pPr>
      <w:r>
        <w:t xml:space="preserve">Protocole proposé</w:t>
      </w:r>
    </w:p>
    <w:p>
      <w:pPr>
        <w:pStyle w:val="ListParagraph"/>
        <w:numPr>
          <w:ilvl w:val="0"/>
          <w:numId w:val="6"/>
        </w:numPr>
      </w:pPr>
      <w:r>
        <w:t xml:space="preserve">Avant la fenêtre : liste des tests @prod-lecture validée, fiche de référence choisie avec le métier, compte de test autorisé, créneau réservé, règle de décision écrite (tout vert : on rouvre ; un rouge : qui décide du retour arrière).</w:t>
      </w:r>
    </w:p>
    <w:p>
      <w:pPr>
        <w:pStyle w:val="ListParagraph"/>
        <w:numPr>
          <w:ilvl w:val="0"/>
          <w:numId w:val="6"/>
        </w:numPr>
      </w:pPr>
      <w:r>
        <w:t xml:space="preserve">Pendant la fenêtre : lancement depuis le pipeline, approbation du responsable de mise en production, durée visée sous 5 minutes, rapport publié.</w:t>
      </w:r>
    </w:p>
    <w:p>
      <w:pPr>
        <w:pStyle w:val="ListParagraph"/>
        <w:numPr>
          <w:ilvl w:val="0"/>
          <w:numId w:val="6"/>
        </w:numPr>
      </w:pPr>
      <w:r>
        <w:t xml:space="preserve">Après réouverture : la même suite tourne une fois de plus, en lecture seule.</w:t>
      </w:r>
    </w:p>
    <w:p>
      <w:pPr>
        <w:pStyle w:val="ListParagraph"/>
        <w:numPr>
          <w:ilvl w:val="0"/>
          <w:numId w:val="6"/>
        </w:numPr>
      </w:pPr>
      <w:r>
        <w:t xml:space="preserve">Après la migration réelle : rapprochement des volumes IBS et InfoCAC en lecture seule, si un accès en lecture à la base de production est accordé ; sinon, comptages par l'API.</w:t>
      </w:r>
    </w:p>
    <w:p>
      <w:pPr>
        <w:pStyle w:val="Heading3"/>
      </w:pPr>
      <w:r>
        <w:t xml:space="preserve">Si quelqu'un exige un test d'écriture en prod privatisée</w:t>
      </w:r>
    </w:p>
    <w:p>
      <w:pPr/>
      <w:r>
        <w:t xml:space="preserve">Ne pas refuser par principe : poser les conditions par écrit. Il faut les cinq, sinon c'est non.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w:t>
            </w:r>
          </w:p>
        </w:tc>
        <w:tc>
          <w:tcPr>
            <w:tcW w:w="4680" w:type="dxa"/>
            <w:shd w:val="clear" w:color="auto" w:fill="F2F2F2"/>
          </w:tcPr>
          <w:p>
            <w:pPr/>
            <w:r>
              <w:t xml:space="preserve">Pourquoi</w:t>
            </w:r>
          </w:p>
        </w:tc>
      </w:tr>
      <w:tr>
        <w:tc>
          <w:tcPr>
            <w:tcW w:w="4680" w:type="dxa"/>
          </w:tcPr>
          <w:p>
            <w:pPr/>
            <w:r>
              <w:t xml:space="preserve">Les flux sortants sont coupés ou filtrés pendant la fenêtre</w:t>
            </w:r>
          </w:p>
        </w:tc>
        <w:tc>
          <w:tcPr>
            <w:tcW w:w="4680" w:type="dxa"/>
          </w:tcPr>
          <w:p>
            <w:pPr/>
            <w:r>
              <w:t xml:space="preserve">Sinon la donnée de test part dans DA, MyRotations, Référentiel France</w:t>
            </w:r>
          </w:p>
        </w:tc>
      </w:tr>
      <w:tr>
        <w:tc>
          <w:tcPr>
            <w:tcW w:w="4680" w:type="dxa"/>
          </w:tcPr>
          <w:p>
            <w:pPr/>
            <w:r>
              <w:t xml:space="preserve">La demande de test n'est jamais validée</w:t>
            </w:r>
          </w:p>
        </w:tc>
        <w:tc>
          <w:tcPr>
            <w:tcW w:w="4680" w:type="dxa"/>
          </w:tcPr>
          <w:p>
            <w:pPr/>
            <w:r>
              <w:t xml:space="preserve">Seul le statut Validé déclenche la diffusion</w:t>
            </w:r>
          </w:p>
        </w:tc>
      </w:tr>
      <w:tr>
        <w:tc>
          <w:tcPr>
            <w:tcW w:w="4680" w:type="dxa"/>
          </w:tcPr>
          <w:p>
            <w:pPr/>
            <w:r>
              <w:t xml:space="preserve">Elle est supprimée dans la fenêtre, et la suppression est vérifiée</w:t>
            </w:r>
          </w:p>
        </w:tc>
        <w:tc>
          <w:tcPr>
            <w:tcW w:w="4680" w:type="dxa"/>
          </w:tcPr>
          <w:p>
            <w:pPr/>
            <w:r>
              <w:t xml:space="preserve">Rien ne doit rester à la réouverture</w:t>
            </w:r>
          </w:p>
        </w:tc>
      </w:tr>
      <w:tr>
        <w:tc>
          <w:tcPr>
            <w:tcW w:w="4680" w:type="dxa"/>
          </w:tcPr>
          <w:p>
            <w:pPr/>
            <w:r>
              <w:t xml:space="preserve">Risk Management accepte la trace dans le journal d'activité</w:t>
            </w:r>
          </w:p>
        </w:tc>
        <w:tc>
          <w:tcPr>
            <w:tcW w:w="4680" w:type="dxa"/>
          </w:tcPr>
          <w:p>
            <w:pPr/>
            <w:r>
              <w:t xml:space="preserve">Le journal ne peut pas être nettoyé</w:t>
            </w:r>
          </w:p>
        </w:tc>
      </w:tr>
      <w:tr>
        <w:tc>
          <w:tcPr>
            <w:tcW w:w="4680" w:type="dxa"/>
          </w:tcPr>
          <w:p>
            <w:pPr/>
            <w:r>
              <w:t xml:space="preserve">La donnée est identifiable sans ambiguïté (préfixe QA-AUTO, entité fictive convenue)</w:t>
            </w:r>
          </w:p>
        </w:tc>
        <w:tc>
          <w:tcPr>
            <w:tcW w:w="4680" w:type="dxa"/>
          </w:tcPr>
          <w:p>
            <w:pPr/>
            <w:r>
              <w:t xml:space="preserve">Pour la retrouver si un nettoyage échoue</w:t>
            </w:r>
          </w:p>
        </w:tc>
      </w:tr>
    </w:tbl>
    <w:p>
      <w:pPr>
        <w:pStyle w:val="Heading2"/>
      </w:pPr>
      <w:r>
        <w:t xml:space="preserve">Les questions à poser</w:t>
      </w:r>
    </w:p>
    <w:p>
      <w:pPr/>
      <w:r>
        <w:t xml:space="preserve">Trente questions, rangées par interlocuteur. Celles marquées POC bloquent le premier test dans le pipeline : à poser en premier. Pour chacune, la colonne « Réponse qui débloque » dit ce que tu dois obtenir, et « Plan B » ce que tu fais si tu ne l'obtiens pas.</w:t>
      </w:r>
    </w:p>
    <w:p>
      <w:pPr>
        <w:pStyle w:val="Heading3"/>
      </w:pPr>
      <w:r>
        <w:t xml:space="preserve">Manager QA et chef de projet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Pourquoi</w:t>
            </w:r>
          </w:p>
        </w:tc>
        <w:tc>
          <w:tcPr>
            <w:tcW w:w="2340" w:type="dxa"/>
            <w:shd w:val="clear" w:color="auto" w:fill="F2F2F2"/>
          </w:tcPr>
          <w:p>
            <w:pPr/>
            <w:r>
              <w:t xml:space="preserve">Réponse qui débloque</w:t>
            </w:r>
          </w:p>
        </w:tc>
        <w:tc>
          <w:tcPr>
            <w:tcW w:w="2340" w:type="dxa"/>
            <w:shd w:val="clear" w:color="auto" w:fill="F2F2F2"/>
          </w:tcPr>
          <w:p>
            <w:pPr/>
            <w:r>
              <w:t xml:space="preserve">Plan B</w:t>
            </w:r>
          </w:p>
        </w:tc>
      </w:tr>
      <w:tr>
        <w:tc>
          <w:tcPr>
            <w:tcW w:w="2340" w:type="dxa"/>
          </w:tcPr>
          <w:p>
            <w:pPr/>
            <w:r>
              <w:t xml:space="preserve">Qui maintient les tests après ma mission (fin au 31/12/2026) et après le go-live ?</w:t>
            </w:r>
          </w:p>
        </w:tc>
        <w:tc>
          <w:tcPr>
            <w:tcW w:w="2340" w:type="dxa"/>
          </w:tcPr>
          <w:p>
            <w:pPr/>
            <w:r>
              <w:t xml:space="preserve">Une suite sans propriétaire meurt en un sprint</w:t>
            </w:r>
          </w:p>
        </w:tc>
        <w:tc>
          <w:tcPr>
            <w:tcW w:w="2340" w:type="dxa"/>
          </w:tcPr>
          <w:p>
            <w:pPr/>
            <w:r>
              <w:t xml:space="preserve">Un nom, et du temps prévu</w:t>
            </w:r>
          </w:p>
        </w:tc>
        <w:tc>
          <w:tcPr>
            <w:tcW w:w="2340" w:type="dxa"/>
          </w:tcPr>
          <w:p>
            <w:pPr/>
            <w:r>
              <w:t xml:space="preserve">Suite courte, documentée, rangée par risque, transmise avant fin décembre</w:t>
            </w:r>
          </w:p>
        </w:tc>
      </w:tr>
      <w:tr>
        <w:tc>
          <w:tcPr>
            <w:tcW w:w="2340" w:type="dxa"/>
          </w:tcPr>
          <w:p>
            <w:pPr/>
            <w:r>
              <w:t xml:space="preserve">Quel objectif l'automatisation doit-elle servir : preuve pour le Go/No-Go, filet de régression, allègement de la recette ?</w:t>
            </w:r>
          </w:p>
        </w:tc>
        <w:tc>
          <w:tcPr>
            <w:tcW w:w="2340" w:type="dxa"/>
          </w:tcPr>
          <w:p>
            <w:pPr/>
            <w:r>
              <w:t xml:space="preserve">Le périmètre en dépend</w:t>
            </w:r>
          </w:p>
        </w:tc>
        <w:tc>
          <w:tcPr>
            <w:tcW w:w="2340" w:type="dxa"/>
          </w:tcPr>
          <w:p>
            <w:pPr/>
            <w:r>
              <w:t xml:space="preserve">Un objectif écrit et mesurable</w:t>
            </w:r>
          </w:p>
        </w:tc>
        <w:tc>
          <w:tcPr>
            <w:tcW w:w="2340" w:type="dxa"/>
          </w:tcPr>
          <w:p>
            <w:pPr/>
            <w:r>
              <w:t xml:space="preserve">Proposer celui de la section CT-TAS et le faire valider</w:t>
            </w:r>
          </w:p>
        </w:tc>
      </w:tr>
      <w:tr>
        <w:tc>
          <w:tcPr>
            <w:tcW w:w="2340" w:type="dxa"/>
          </w:tcPr>
          <w:p>
            <w:pPr/>
            <w:r>
              <w:t xml:space="preserve">Les résultats automatisés entrent-ils dans le PV de recette, à côté du rapport SonarQube ?</w:t>
            </w:r>
          </w:p>
        </w:tc>
        <w:tc>
          <w:tcPr>
            <w:tcW w:w="2340" w:type="dxa"/>
          </w:tcPr>
          <w:p>
            <w:pPr/>
            <w:r>
              <w:t xml:space="preserve">Sinon on refait tout à la main</w:t>
            </w:r>
          </w:p>
        </w:tc>
        <w:tc>
          <w:tcPr>
            <w:tcW w:w="2340" w:type="dxa"/>
          </w:tcPr>
          <w:p>
            <w:pPr/>
            <w:r>
              <w:t xml:space="preserve">Oui, avec un format convenu</w:t>
            </w:r>
          </w:p>
        </w:tc>
        <w:tc>
          <w:tcPr>
            <w:tcW w:w="2340" w:type="dxa"/>
          </w:tcPr>
          <w:p>
            <w:pPr/>
            <w:r>
              <w:t xml:space="preserve">Annexe au PV : rapport Playwright plus lien vers le pipeline</w:t>
            </w:r>
          </w:p>
        </w:tc>
      </w:tr>
      <w:tr>
        <w:tc>
          <w:tcPr>
            <w:tcW w:w="2340" w:type="dxa"/>
          </w:tcPr>
          <w:p>
            <w:pPr/>
            <w:r>
              <w:t xml:space="preserve">Combien de jours sont réservés à l'automatisation dans la charge QA ?</w:t>
            </w:r>
          </w:p>
        </w:tc>
        <w:tc>
          <w:tcPr>
            <w:tcW w:w="2340" w:type="dxa"/>
          </w:tcPr>
          <w:p>
            <w:pPr/>
            <w:r>
              <w:t xml:space="preserve">L'automatisation ne peut pas se faire en plus de la recette</w:t>
            </w:r>
          </w:p>
        </w:tc>
        <w:tc>
          <w:tcPr>
            <w:tcW w:w="2340" w:type="dxa"/>
          </w:tcPr>
          <w:p>
            <w:pPr/>
            <w:r>
              <w:t xml:space="preserve">Un nombre de jours par sprint</w:t>
            </w:r>
          </w:p>
        </w:tc>
        <w:tc>
          <w:tcPr>
            <w:tcW w:w="2340" w:type="dxa"/>
          </w:tcPr>
          <w:p>
            <w:pPr/>
            <w:r>
              <w:t xml:space="preserve">Réduire au POC plus droits et règles</w:t>
            </w:r>
          </w:p>
        </w:tc>
      </w:tr>
    </w:tbl>
    <w:p>
      <w:pPr>
        <w:pStyle w:val="Heading3"/>
      </w:pPr>
      <w:r>
        <w:t xml:space="preserve">Product Owner et métier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Pourquoi</w:t>
            </w:r>
          </w:p>
        </w:tc>
        <w:tc>
          <w:tcPr>
            <w:tcW w:w="2340" w:type="dxa"/>
            <w:shd w:val="clear" w:color="auto" w:fill="F2F2F2"/>
          </w:tcPr>
          <w:p>
            <w:pPr/>
            <w:r>
              <w:t xml:space="preserve">Réponse qui débloque</w:t>
            </w:r>
          </w:p>
        </w:tc>
        <w:tc>
          <w:tcPr>
            <w:tcW w:w="2340" w:type="dxa"/>
            <w:shd w:val="clear" w:color="auto" w:fill="F2F2F2"/>
          </w:tcPr>
          <w:p>
            <w:pPr/>
            <w:r>
              <w:t xml:space="preserve">Plan B</w:t>
            </w:r>
          </w:p>
        </w:tc>
      </w:tr>
      <w:tr>
        <w:tc>
          <w:tcPr>
            <w:tcW w:w="2340" w:type="dxa"/>
          </w:tcPr>
          <w:p>
            <w:pPr/>
            <w:r>
              <w:t xml:space="preserve">Quelles règles seront arbitrées avant le sprint 5 (millésime, statuts, droits de l'Admin après validation) ?</w:t>
            </w:r>
          </w:p>
        </w:tc>
        <w:tc>
          <w:tcPr>
            <w:tcW w:w="2340" w:type="dxa"/>
          </w:tcPr>
          <w:p>
            <w:pPr/>
            <w:r>
              <w:t xml:space="preserve">Une règle non tranchée = un test à réécrire</w:t>
            </w:r>
          </w:p>
        </w:tc>
        <w:tc>
          <w:tcPr>
            <w:tcW w:w="2340" w:type="dxa"/>
          </w:tcPr>
          <w:p>
            <w:pPr/>
            <w:r>
              <w:t xml:space="preserve">Une date par décision</w:t>
            </w:r>
          </w:p>
        </w:tc>
        <w:tc>
          <w:tcPr>
            <w:tcW w:w="2340" w:type="dxa"/>
          </w:tcPr>
          <w:p>
            <w:pPr/>
            <w:r>
              <w:t xml:space="preserve">Écrire les tables de données, ne pas les figer</w:t>
            </w:r>
          </w:p>
        </w:tc>
      </w:tr>
      <w:tr>
        <w:tc>
          <w:tcPr>
            <w:tcW w:w="2340" w:type="dxa"/>
          </w:tcPr>
          <w:p>
            <w:pPr/>
            <w:r>
              <w:t xml:space="preserve">Quelle fiche de référence stable peut servir au smoke de production ?</w:t>
            </w:r>
          </w:p>
        </w:tc>
        <w:tc>
          <w:tcPr>
            <w:tcW w:w="2340" w:type="dxa"/>
          </w:tcPr>
          <w:p>
            <w:pPr/>
            <w:r>
              <w:t xml:space="preserve">Le smoke lit une donnée connue</w:t>
            </w:r>
          </w:p>
        </w:tc>
        <w:tc>
          <w:tcPr>
            <w:tcW w:w="2340" w:type="dxa"/>
          </w:tcPr>
          <w:p>
            <w:pPr/>
            <w:r>
              <w:t xml:space="preserve">Un identifiant de fiche qui ne bougera pas</w:t>
            </w:r>
          </w:p>
        </w:tc>
        <w:tc>
          <w:tcPr>
            <w:tcW w:w="2340" w:type="dxa"/>
          </w:tcPr>
          <w:p>
            <w:pPr/>
            <w:r>
              <w:t xml:space="preserve">Smoke limité à la liste et aux référentiels</w:t>
            </w:r>
          </w:p>
        </w:tc>
      </w:tr>
      <w:tr>
        <w:tc>
          <w:tcPr>
            <w:tcW w:w="2340" w:type="dxa"/>
          </w:tcPr>
          <w:p>
            <w:pPr/>
            <w:r>
              <w:t xml:space="preserve">Qui fournit les jeux de données de test, et quand ?</w:t>
            </w:r>
          </w:p>
        </w:tc>
        <w:tc>
          <w:tcPr>
            <w:tcW w:w="2340" w:type="dxa"/>
          </w:tcPr>
          <w:p>
            <w:pPr/>
            <w:r>
              <w:t xml:space="preserve">Ils sont annoncés non fournis</w:t>
            </w:r>
          </w:p>
        </w:tc>
        <w:tc>
          <w:tcPr>
            <w:tcW w:w="2340" w:type="dxa"/>
          </w:tcPr>
          <w:p>
            <w:pPr/>
            <w:r>
              <w:t xml:space="preserve">Une date et un responsable</w:t>
            </w:r>
          </w:p>
        </w:tc>
        <w:tc>
          <w:tcPr>
            <w:tcW w:w="2340" w:type="dxa"/>
          </w:tcPr>
          <w:p>
            <w:pPr/>
            <w:r>
              <w:t xml:space="preserve">Les tests créent leurs données par l'API en ITG</w:t>
            </w:r>
          </w:p>
        </w:tc>
      </w:tr>
    </w:tbl>
    <w:p>
      <w:pPr>
        <w:pStyle w:val="Heading3"/>
      </w:pPr>
      <w:r>
        <w:t xml:space="preserve">Architecte et développeurs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Pourquoi</w:t>
            </w:r>
          </w:p>
        </w:tc>
        <w:tc>
          <w:tcPr>
            <w:tcW w:w="2340" w:type="dxa"/>
            <w:shd w:val="clear" w:color="auto" w:fill="F2F2F2"/>
          </w:tcPr>
          <w:p>
            <w:pPr/>
            <w:r>
              <w:t xml:space="preserve">Réponse qui débloque</w:t>
            </w:r>
          </w:p>
        </w:tc>
        <w:tc>
          <w:tcPr>
            <w:tcW w:w="2340" w:type="dxa"/>
            <w:shd w:val="clear" w:color="auto" w:fill="F2F2F2"/>
          </w:tcPr>
          <w:p>
            <w:pPr/>
            <w:r>
              <w:t xml:space="preserve">Plan B</w:t>
            </w:r>
          </w:p>
        </w:tc>
      </w:tr>
      <w:tr>
        <w:tc>
          <w:tcPr>
            <w:tcW w:w="2340" w:type="dxa"/>
          </w:tcPr>
          <w:p>
            <w:pPr/>
            <w:r>
              <w:t xml:space="preserve">POC : où est le contrat OpenAPI d'InfoCAC sur ITG, et est-il versionné ?</w:t>
            </w:r>
          </w:p>
        </w:tc>
        <w:tc>
          <w:tcPr>
            <w:tcW w:w="2340" w:type="dxa"/>
          </w:tcPr>
          <w:p>
            <w:pPr/>
            <w:r>
              <w:t xml:space="preserve">Les tests API s'écrivent sur ce contrat</w:t>
            </w:r>
          </w:p>
        </w:tc>
        <w:tc>
          <w:tcPr>
            <w:tcW w:w="2340" w:type="dxa"/>
          </w:tcPr>
          <w:p>
            <w:pPr/>
            <w:r>
              <w:t xml:space="preserve">Une adresse Swagger par environnement</w:t>
            </w:r>
          </w:p>
        </w:tc>
        <w:tc>
          <w:tcPr>
            <w:tcW w:w="2340" w:type="dxa"/>
          </w:tcPr>
          <w:p>
            <w:pPr/>
            <w:r>
              <w:t xml:space="preserve">Observer les appels du front dans le navigateur, avec un risque de dérive</w:t>
            </w:r>
          </w:p>
        </w:tc>
      </w:tr>
      <w:tr>
        <w:tc>
          <w:tcPr>
            <w:tcW w:w="2340" w:type="dxa"/>
          </w:tcPr>
          <w:p>
            <w:pPr/>
            <w:r>
              <w:t xml:space="preserve">Peut-on ajouter des data-testid sur le formulaire dynamique ?</w:t>
            </w:r>
          </w:p>
        </w:tc>
        <w:tc>
          <w:tcPr>
            <w:tcW w:w="2340" w:type="dxa"/>
          </w:tcPr>
          <w:p>
            <w:pPr/>
            <w:r>
              <w:t xml:space="preserve">Sans eux, les tests UI cassent à chaque changement d'écran</w:t>
            </w:r>
          </w:p>
        </w:tc>
        <w:tc>
          <w:tcPr>
            <w:tcW w:w="2340" w:type="dxa"/>
          </w:tcPr>
          <w:p>
            <w:pPr/>
            <w:r>
              <w:t xml:space="preserve">Oui, avec une convention de nommage</w:t>
            </w:r>
          </w:p>
        </w:tc>
        <w:tc>
          <w:tcPr>
            <w:tcW w:w="2340" w:type="dxa"/>
          </w:tcPr>
          <w:p>
            <w:pPr/>
            <w:r>
              <w:t xml:space="preserve">getByRole et getByLabel, UI limitée aux parcours critiques</w:t>
            </w:r>
          </w:p>
        </w:tc>
      </w:tr>
      <w:tr>
        <w:tc>
          <w:tcPr>
            <w:tcW w:w="2340" w:type="dxa"/>
          </w:tcPr>
          <w:p>
            <w:pPr/>
            <w:r>
              <w:t xml:space="preserve">L'heure du serveur peut-elle être simulée en ITG ?</w:t>
            </w:r>
          </w:p>
        </w:tc>
        <w:tc>
          <w:tcPr>
            <w:tcW w:w="2340" w:type="dxa"/>
          </w:tcPr>
          <w:p>
            <w:pPr/>
            <w:r>
              <w:t xml:space="preserve">Retard à 60 jours, millésime, bascule au 1er octobre</w:t>
            </w:r>
          </w:p>
        </w:tc>
        <w:tc>
          <w:tcPr>
            <w:tcW w:w="2340" w:type="dxa"/>
          </w:tcPr>
          <w:p>
            <w:pPr/>
            <w:r>
              <w:t xml:space="preserve">Oui, par une configuration ou un en-tête réservé à ITG</w:t>
            </w:r>
          </w:p>
        </w:tc>
        <w:tc>
          <w:tcPr>
            <w:tcW w:w="2340" w:type="dxa"/>
          </w:tcPr>
          <w:p>
            <w:pPr/>
            <w:r>
              <w:t xml:space="preserve">Tester ces règles en test unitaire côté devs</w:t>
            </w:r>
          </w:p>
        </w:tc>
      </w:tr>
      <w:tr>
        <w:tc>
          <w:tcPr>
            <w:tcW w:w="2340" w:type="dxa"/>
          </w:tcPr>
          <w:p>
            <w:pPr/>
            <w:r>
              <w:t xml:space="preserve">Peut-on exposer un numéro de version et un point de santé technique ?</w:t>
            </w:r>
          </w:p>
        </w:tc>
        <w:tc>
          <w:tcPr>
            <w:tcW w:w="2340" w:type="dxa"/>
          </w:tcPr>
          <w:p>
            <w:pPr/>
            <w:r>
              <w:t xml:space="preserve">C'est ce qui rend le smoke de production sûr</w:t>
            </w:r>
          </w:p>
        </w:tc>
        <w:tc>
          <w:tcPr>
            <w:tcW w:w="2340" w:type="dxa"/>
          </w:tcPr>
          <w:p>
            <w:pPr/>
            <w:r>
              <w:t xml:space="preserve">Deux adresses techniques sans donnée métier</w:t>
            </w:r>
          </w:p>
        </w:tc>
        <w:tc>
          <w:tcPr>
            <w:tcW w:w="2340" w:type="dxa"/>
          </w:tcPr>
          <w:p>
            <w:pPr/>
            <w:r>
              <w:t xml:space="preserve">Smoke en lecture sur la fiche de référence</w:t>
            </w:r>
          </w:p>
        </w:tc>
      </w:tr>
      <w:tr>
        <w:tc>
          <w:tcPr>
            <w:tcW w:w="2340" w:type="dxa"/>
          </w:tcPr>
          <w:p>
            <w:pPr/>
            <w:r>
              <w:t xml:space="preserve">En ITG, Référentiel France, Annuaire CNCC et MuleSoft sont-ils réels ou simulés ?</w:t>
            </w:r>
          </w:p>
        </w:tc>
        <w:tc>
          <w:tcPr>
            <w:tcW w:w="2340" w:type="dxa"/>
          </w:tcPr>
          <w:p>
            <w:pPr/>
            <w:r>
              <w:t xml:space="preserve">Un service tiers instable rend tous les tests instables</w:t>
            </w:r>
          </w:p>
        </w:tc>
        <w:tc>
          <w:tcPr>
            <w:tcW w:w="2340" w:type="dxa"/>
          </w:tcPr>
          <w:p>
            <w:pPr/>
            <w:r>
              <w:t xml:space="preserve">La liste des dépendances et leur état</w:t>
            </w:r>
          </w:p>
        </w:tc>
        <w:tc>
          <w:tcPr>
            <w:tcW w:w="2340" w:type="dxa"/>
          </w:tcPr>
          <w:p>
            <w:pPr/>
            <w:r>
              <w:t xml:space="preserve">Simuler ces réponses dans les tests de règles</w:t>
            </w:r>
          </w:p>
        </w:tc>
      </w:tr>
      <w:tr>
        <w:tc>
          <w:tcPr>
            <w:tcW w:w="2340" w:type="dxa"/>
          </w:tcPr>
          <w:p>
            <w:pPr/>
            <w:r>
              <w:t xml:space="preserve">Les contrats des flux sortants sont-ils écrits (champs, format, fréquence) ?</w:t>
            </w:r>
          </w:p>
        </w:tc>
        <w:tc>
          <w:tcPr>
            <w:tcW w:w="2340" w:type="dxa"/>
          </w:tcPr>
          <w:p>
            <w:pPr/>
            <w:r>
              <w:t xml:space="preserve">Pas de test de contrat sans contrat</w:t>
            </w:r>
          </w:p>
        </w:tc>
        <w:tc>
          <w:tcPr>
            <w:tcW w:w="2340" w:type="dxa"/>
          </w:tcPr>
          <w:p>
            <w:pPr/>
            <w:r>
              <w:t xml:space="preserve">Un schéma par flux</w:t>
            </w:r>
          </w:p>
        </w:tc>
        <w:tc>
          <w:tcPr>
            <w:tcW w:w="2340" w:type="dxa"/>
          </w:tcPr>
          <w:p>
            <w:pPr/>
            <w:r>
              <w:t xml:space="preserve">Reporter les tests de contrat, en faire un risque visible</w:t>
            </w:r>
          </w:p>
        </w:tc>
      </w:tr>
      <w:tr>
        <w:tc>
          <w:tcPr>
            <w:tcW w:w="2340" w:type="dxa"/>
          </w:tcPr>
          <w:p>
            <w:pPr/>
            <w:r>
              <w:t xml:space="preserve">Où peut-on lire ce qui est parti dans un flux (journaux, file, table) ?</w:t>
            </w:r>
          </w:p>
        </w:tc>
        <w:tc>
          <w:tcPr>
            <w:tcW w:w="2340" w:type="dxa"/>
          </w:tcPr>
          <w:p>
            <w:pPr/>
            <w:r>
              <w:t xml:space="preserve">Pour prouver qu'une fiche non validée ne part pas</w:t>
            </w:r>
          </w:p>
        </w:tc>
        <w:tc>
          <w:tcPr>
            <w:tcW w:w="2340" w:type="dxa"/>
          </w:tcPr>
          <w:p>
            <w:pPr/>
            <w:r>
              <w:t xml:space="preserve">Un accès en lecture à Application Insights ou à la table d'envoi</w:t>
            </w:r>
          </w:p>
        </w:tc>
        <w:tc>
          <w:tcPr>
            <w:tcW w:w="2340" w:type="dxa"/>
          </w:tcPr>
          <w:p>
            <w:pPr/>
            <w:r>
              <w:t xml:space="preserve">Vérifier côté consommateur, s'il y a un environnement de test</w:t>
            </w:r>
          </w:p>
        </w:tc>
      </w:tr>
      <w:tr>
        <w:tc>
          <w:tcPr>
            <w:tcW w:w="2340" w:type="dxa"/>
          </w:tcPr>
          <w:p>
            <w:pPr/>
            <w:r>
              <w:t xml:space="preserve">La suppression d'une demande est-elle physique ou logique ? Existe-t-il une route de nettoyage réservée aux tests en ITG ?</w:t>
            </w:r>
          </w:p>
        </w:tc>
        <w:tc>
          <w:tcPr>
            <w:tcW w:w="2340" w:type="dxa"/>
          </w:tcPr>
          <w:p>
            <w:pPr/>
            <w:r>
              <w:t xml:space="preserve">Sans nettoyage, ITG se remplit et les filtres deviennent faux</w:t>
            </w:r>
          </w:p>
        </w:tc>
        <w:tc>
          <w:tcPr>
            <w:tcW w:w="2340" w:type="dxa"/>
          </w:tcPr>
          <w:p>
            <w:pPr/>
            <w:r>
              <w:t xml:space="preserve">Une méthode de nettoyage claire</w:t>
            </w:r>
          </w:p>
        </w:tc>
        <w:tc>
          <w:tcPr>
            <w:tcW w:w="2340" w:type="dxa"/>
          </w:tcPr>
          <w:p>
            <w:pPr/>
            <w:r>
              <w:t xml:space="preserve">Préfixe QA-AUTO et purge par l'équipe technique</w:t>
            </w:r>
          </w:p>
        </w:tc>
      </w:tr>
    </w:tbl>
    <w:p>
      <w:pPr>
        <w:pStyle w:val="Heading3"/>
      </w:pPr>
      <w:r>
        <w:t xml:space="preserve">DevOps et plateforme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Pourquoi</w:t>
            </w:r>
          </w:p>
        </w:tc>
        <w:tc>
          <w:tcPr>
            <w:tcW w:w="2340" w:type="dxa"/>
            <w:shd w:val="clear" w:color="auto" w:fill="F2F2F2"/>
          </w:tcPr>
          <w:p>
            <w:pPr/>
            <w:r>
              <w:t xml:space="preserve">Réponse qui débloque</w:t>
            </w:r>
          </w:p>
        </w:tc>
        <w:tc>
          <w:tcPr>
            <w:tcW w:w="2340" w:type="dxa"/>
            <w:shd w:val="clear" w:color="auto" w:fill="F2F2F2"/>
          </w:tcPr>
          <w:p>
            <w:pPr/>
            <w:r>
              <w:t xml:space="preserve">Plan B</w:t>
            </w:r>
          </w:p>
        </w:tc>
      </w:tr>
      <w:tr>
        <w:tc>
          <w:tcPr>
            <w:tcW w:w="2340" w:type="dxa"/>
          </w:tcPr>
          <w:p>
            <w:pPr/>
            <w:r>
              <w:t xml:space="preserve">POC : existe-t-il un agent de build dans le réseau KPMG qui joint ITG et PREPROD ?</w:t>
            </w:r>
          </w:p>
        </w:tc>
        <w:tc>
          <w:tcPr>
            <w:tcW w:w="2340" w:type="dxa"/>
          </w:tcPr>
          <w:p>
            <w:pPr/>
            <w:r>
              <w:t xml:space="preserve">Les agents hébergés par Microsoft ne voient pas le réseau interne</w:t>
            </w:r>
          </w:p>
        </w:tc>
        <w:tc>
          <w:tcPr>
            <w:tcW w:w="2340" w:type="dxa"/>
          </w:tcPr>
          <w:p>
            <w:pPr/>
            <w:r>
              <w:t xml:space="preserve">Le nom d'un pool d'agents</w:t>
            </w:r>
          </w:p>
        </w:tc>
        <w:tc>
          <w:tcPr>
            <w:tcW w:w="2340" w:type="dxa"/>
          </w:tcPr>
          <w:p>
            <w:pPr/>
            <w:r>
              <w:t xml:space="preserve">Lancer depuis un poste en attendant, sans valeur de CI</w:t>
            </w:r>
          </w:p>
        </w:tc>
      </w:tr>
      <w:tr>
        <w:tc>
          <w:tcPr>
            <w:tcW w:w="2340" w:type="dxa"/>
          </w:tcPr>
          <w:p>
            <w:pPr/>
            <w:r>
              <w:t xml:space="preserve">POC : puis-je créer un pipeline et des groupes de variables reliés au Key Vault ?</w:t>
            </w:r>
          </w:p>
        </w:tc>
        <w:tc>
          <w:tcPr>
            <w:tcW w:w="2340" w:type="dxa"/>
          </w:tcPr>
          <w:p>
            <w:pPr/>
            <w:r>
              <w:t xml:space="preserve">Les secrets ne doivent jamais être dans le code</w:t>
            </w:r>
          </w:p>
        </w:tc>
        <w:tc>
          <w:tcPr>
            <w:tcW w:w="2340" w:type="dxa"/>
          </w:tcPr>
          <w:p>
            <w:pPr/>
            <w:r>
              <w:t xml:space="preserve">Les droits sur le projet Azure DevOps</w:t>
            </w:r>
          </w:p>
        </w:tc>
        <w:tc>
          <w:tcPr>
            <w:tcW w:w="2340" w:type="dxa"/>
          </w:tcPr>
          <w:p>
            <w:pPr/>
            <w:r>
              <w:t xml:space="preserve">DevOps crée les objets, la QA fournit le YAML</w:t>
            </w:r>
          </w:p>
        </w:tc>
      </w:tr>
      <w:tr>
        <w:tc>
          <w:tcPr>
            <w:tcW w:w="2340" w:type="dxa"/>
          </w:tcPr>
          <w:p>
            <w:pPr/>
            <w:r>
              <w:t xml:space="preserve">L'agent peut-il télécharger Chromium et les paquets npm, ou faut-il un miroir interne ?</w:t>
            </w:r>
          </w:p>
        </w:tc>
        <w:tc>
          <w:tcPr>
            <w:tcW w:w="2340" w:type="dxa"/>
          </w:tcPr>
          <w:p>
            <w:pPr/>
            <w:r>
              <w:t xml:space="preserve">Une installation bloquée fait échouer le pipeline dès la première ligne</w:t>
            </w:r>
          </w:p>
        </w:tc>
        <w:tc>
          <w:tcPr>
            <w:tcW w:w="2340" w:type="dxa"/>
          </w:tcPr>
          <w:p>
            <w:pPr/>
            <w:r>
              <w:t xml:space="preserve">Accès Internet, ou flux Azure Artifacts et navigateur préinstallé</w:t>
            </w:r>
          </w:p>
        </w:tc>
        <w:tc>
          <w:tcPr>
            <w:tcW w:w="2340" w:type="dxa"/>
          </w:tcPr>
          <w:p>
            <w:pPr/>
            <w:r>
              <w:t xml:space="preserve">Image d'agent avec Playwright préinstallé</w:t>
            </w:r>
          </w:p>
        </w:tc>
      </w:tr>
      <w:tr>
        <w:tc>
          <w:tcPr>
            <w:tcW w:w="2340" w:type="dxa"/>
          </w:tcPr>
          <w:p>
            <w:pPr/>
            <w:r>
              <w:t xml:space="preserve">Proxy, certificats internes, DNS : quels réglages prévoir sur l'agent ?</w:t>
            </w:r>
          </w:p>
        </w:tc>
        <w:tc>
          <w:tcPr>
            <w:tcW w:w="2340" w:type="dxa"/>
          </w:tcPr>
          <w:p>
            <w:pPr/>
            <w:r>
              <w:t xml:space="preserve">Cause classique de « ça marche sur mon poste, pas en CI »</w:t>
            </w:r>
          </w:p>
        </w:tc>
        <w:tc>
          <w:tcPr>
            <w:tcW w:w="2340" w:type="dxa"/>
          </w:tcPr>
          <w:p>
            <w:pPr/>
            <w:r>
              <w:t xml:space="preserve">Les variables à positionner</w:t>
            </w:r>
          </w:p>
        </w:tc>
        <w:tc>
          <w:tcPr>
            <w:tcW w:w="2340" w:type="dxa"/>
          </w:tcPr>
          <w:p>
            <w:pPr/>
            <w:r>
              <w:t xml:space="preserve">Tester un appel simple depuis l'agent avant tout</w:t>
            </w:r>
          </w:p>
        </w:tc>
      </w:tr>
      <w:tr>
        <w:tc>
          <w:tcPr>
            <w:tcW w:w="2340" w:type="dxa"/>
          </w:tcPr>
          <w:p>
            <w:pPr/>
            <w:r>
              <w:t xml:space="preserve">Quels pipelines de déploiement existent par environnement ?</w:t>
            </w:r>
          </w:p>
        </w:tc>
        <w:tc>
          <w:tcPr>
            <w:tcW w:w="2340" w:type="dxa"/>
          </w:tcPr>
          <w:p>
            <w:pPr/>
            <w:r>
              <w:t xml:space="preserve">Pour lancer les tests automatiquement après chaque déploiement</w:t>
            </w:r>
          </w:p>
        </w:tc>
        <w:tc>
          <w:tcPr>
            <w:tcW w:w="2340" w:type="dxa"/>
          </w:tcPr>
          <w:p>
            <w:pPr/>
            <w:r>
              <w:t xml:space="preserve">Leurs noms</w:t>
            </w:r>
          </w:p>
        </w:tc>
        <w:tc>
          <w:tcPr>
            <w:tcW w:w="2340" w:type="dxa"/>
          </w:tcPr>
          <w:p>
            <w:pPr/>
            <w:r>
              <w:t xml:space="preserve">Déclenchement planifié ou manuel</w:t>
            </w:r>
          </w:p>
        </w:tc>
      </w:tr>
    </w:tbl>
    <w:p>
      <w:pPr>
        <w:pStyle w:val="Heading3"/>
      </w:pPr>
      <w:r>
        <w:t xml:space="preserve">Sécurité et gestion des identités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Pourquoi</w:t>
            </w:r>
          </w:p>
        </w:tc>
        <w:tc>
          <w:tcPr>
            <w:tcW w:w="2340" w:type="dxa"/>
            <w:shd w:val="clear" w:color="auto" w:fill="F2F2F2"/>
          </w:tcPr>
          <w:p>
            <w:pPr/>
            <w:r>
              <w:t xml:space="preserve">Réponse qui débloque</w:t>
            </w:r>
          </w:p>
        </w:tc>
        <w:tc>
          <w:tcPr>
            <w:tcW w:w="2340" w:type="dxa"/>
            <w:shd w:val="clear" w:color="auto" w:fill="F2F2F2"/>
          </w:tcPr>
          <w:p>
            <w:pPr/>
            <w:r>
              <w:t xml:space="preserve">Plan B</w:t>
            </w:r>
          </w:p>
        </w:tc>
      </w:tr>
      <w:tr>
        <w:tc>
          <w:tcPr>
            <w:tcW w:w="2340" w:type="dxa"/>
          </w:tcPr>
          <w:p>
            <w:pPr/>
            <w:r>
              <w:t xml:space="preserve">POC : peut-on avoir un compte de test par rôle et par environnement, provisionné par SailPoint ?</w:t>
            </w:r>
          </w:p>
        </w:tc>
        <w:tc>
          <w:tcPr>
            <w:tcW w:w="2340" w:type="dxa"/>
          </w:tcPr>
          <w:p>
            <w:pPr/>
            <w:r>
              <w:t xml:space="preserve">Les tests de droits ont besoin des trois rôles</w:t>
            </w:r>
          </w:p>
        </w:tc>
        <w:tc>
          <w:tcPr>
            <w:tcW w:w="2340" w:type="dxa"/>
          </w:tcPr>
          <w:p>
            <w:pPr/>
            <w:r>
              <w:t xml:space="preserve">Six comptes au minimum (3 rôles, ITG et PREPROD)</w:t>
            </w:r>
          </w:p>
        </w:tc>
        <w:tc>
          <w:tcPr>
            <w:tcW w:w="2340" w:type="dxa"/>
          </w:tcPr>
          <w:p>
            <w:pPr/>
            <w:r>
              <w:t xml:space="preserve">Commencer par Admin seul en ITG</w:t>
            </w:r>
          </w:p>
        </w:tc>
      </w:tr>
      <w:tr>
        <w:tc>
          <w:tcPr>
            <w:tcW w:w="2340" w:type="dxa"/>
          </w:tcPr>
          <w:p>
            <w:pPr/>
            <w:r>
              <w:t xml:space="preserve">POC : comment ces comptes passent-ils la double authentification sans humain ?</w:t>
            </w:r>
          </w:p>
        </w:tc>
        <w:tc>
          <w:tcPr>
            <w:tcW w:w="2340" w:type="dxa"/>
          </w:tcPr>
          <w:p>
            <w:pPr/>
            <w:r>
              <w:t xml:space="preserve">Un robot ne lit pas un SMS</w:t>
            </w:r>
          </w:p>
        </w:tc>
        <w:tc>
          <w:tcPr>
            <w:tcW w:w="2340" w:type="dxa"/>
          </w:tcPr>
          <w:p>
            <w:pPr/>
            <w:r>
              <w:t xml:space="preserve">Jeton applicatif, ou exemption depuis l'adresse de l'agent</w:t>
            </w:r>
          </w:p>
        </w:tc>
        <w:tc>
          <w:tcPr>
            <w:tcW w:w="2340" w:type="dxa"/>
          </w:tcPr>
          <w:p>
            <w:pPr/>
            <w:r>
              <w:t xml:space="preserve">Tests API seulement si un jeton est possible, UI reportée</w:t>
            </w:r>
          </w:p>
        </w:tc>
      </w:tr>
      <w:tr>
        <w:tc>
          <w:tcPr>
            <w:tcW w:w="2340" w:type="dxa"/>
          </w:tcPr>
          <w:p>
            <w:pPr/>
            <w:r>
              <w:t xml:space="preserve">Un compte de test est-il autorisé en production, avec quels droits ?</w:t>
            </w:r>
          </w:p>
        </w:tc>
        <w:tc>
          <w:tcPr>
            <w:tcW w:w="2340" w:type="dxa"/>
          </w:tcPr>
          <w:p>
            <w:pPr/>
            <w:r>
              <w:t xml:space="preserve">Condition pour automatiser le smoke de production</w:t>
            </w:r>
          </w:p>
        </w:tc>
        <w:tc>
          <w:tcPr>
            <w:tcW w:w="2340" w:type="dxa"/>
          </w:tcPr>
          <w:p>
            <w:pPr/>
            <w:r>
              <w:t xml:space="preserve">Un compte en lecture seule</w:t>
            </w:r>
          </w:p>
        </w:tc>
        <w:tc>
          <w:tcPr>
            <w:tcW w:w="2340" w:type="dxa"/>
          </w:tcPr>
          <w:p>
            <w:pPr/>
            <w:r>
              <w:t xml:space="preserve">Le smoke de production reste manuel</w:t>
            </w:r>
          </w:p>
        </w:tc>
      </w:tr>
    </w:tbl>
    <w:p>
      <w:pPr>
        <w:pStyle w:val="Heading3"/>
      </w:pPr>
      <w:r>
        <w:t xml:space="preserve">Risk Management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Pourquoi</w:t>
            </w:r>
          </w:p>
        </w:tc>
        <w:tc>
          <w:tcPr>
            <w:tcW w:w="2340" w:type="dxa"/>
            <w:shd w:val="clear" w:color="auto" w:fill="F2F2F2"/>
          </w:tcPr>
          <w:p>
            <w:pPr/>
            <w:r>
              <w:t xml:space="preserve">Réponse qui débloque</w:t>
            </w:r>
          </w:p>
        </w:tc>
        <w:tc>
          <w:tcPr>
            <w:tcW w:w="2340" w:type="dxa"/>
            <w:shd w:val="clear" w:color="auto" w:fill="F2F2F2"/>
          </w:tcPr>
          <w:p>
            <w:pPr/>
            <w:r>
              <w:t xml:space="preserve">Plan B</w:t>
            </w:r>
          </w:p>
        </w:tc>
      </w:tr>
      <w:tr>
        <w:tc>
          <w:tcPr>
            <w:tcW w:w="2340" w:type="dxa"/>
          </w:tcPr>
          <w:p>
            <w:pPr/>
            <w:r>
              <w:t xml:space="preserve">Validez-vous la matrice de droits qui sert de référence aux tests ?</w:t>
            </w:r>
          </w:p>
        </w:tc>
        <w:tc>
          <w:tcPr>
            <w:tcW w:w="2340" w:type="dxa"/>
          </w:tcPr>
          <w:p>
            <w:pPr/>
            <w:r>
              <w:t xml:space="preserve">Le test compare au document, il faut que le document soit juste</w:t>
            </w:r>
          </w:p>
        </w:tc>
        <w:tc>
          <w:tcPr>
            <w:tcW w:w="2340" w:type="dxa"/>
          </w:tcPr>
          <w:p>
            <w:pPr/>
            <w:r>
              <w:t xml:space="preserve">Une matrice signée</w:t>
            </w:r>
          </w:p>
        </w:tc>
        <w:tc>
          <w:tcPr>
            <w:tcW w:w="2340" w:type="dxa"/>
          </w:tcPr>
          <w:p>
            <w:pPr/>
            <w:r>
              <w:t xml:space="preserve">Les cellules non validées restent marquées « à trancher »</w:t>
            </w:r>
          </w:p>
        </w:tc>
      </w:tr>
      <w:tr>
        <w:tc>
          <w:tcPr>
            <w:tcW w:w="2340" w:type="dxa"/>
          </w:tcPr>
          <w:p>
            <w:pPr/>
            <w:r>
              <w:t xml:space="preserve">Qui signe le rapport de rapprochement de migration ?</w:t>
            </w:r>
          </w:p>
        </w:tc>
        <w:tc>
          <w:tcPr>
            <w:tcW w:w="2340" w:type="dxa"/>
          </w:tcPr>
          <w:p>
            <w:pPr/>
            <w:r>
              <w:t xml:space="preserve">Pas de go-live sans preuve de reprise</w:t>
            </w:r>
          </w:p>
        </w:tc>
        <w:tc>
          <w:tcPr>
            <w:tcW w:w="2340" w:type="dxa"/>
          </w:tcPr>
          <w:p>
            <w:pPr/>
            <w:r>
              <w:t xml:space="preserve">Un signataire et un seuil d'écart accepté</w:t>
            </w:r>
          </w:p>
        </w:tc>
        <w:tc>
          <w:tcPr>
            <w:tcW w:w="2340" w:type="dxa"/>
          </w:tcPr>
          <w:p>
            <w:pPr/>
            <w:r>
              <w:t xml:space="preserve">Seuil zéro écart non expliqué, par défaut</w:t>
            </w:r>
          </w:p>
        </w:tc>
      </w:tr>
      <w:tr>
        <w:tc>
          <w:tcPr>
            <w:tcW w:w="2340" w:type="dxa"/>
          </w:tcPr>
          <w:p>
            <w:pPr/>
            <w:r>
              <w:t xml:space="preserve">Une trace de test dans le journal d'activité de production est-elle acceptable ?</w:t>
            </w:r>
          </w:p>
        </w:tc>
        <w:tc>
          <w:tcPr>
            <w:tcW w:w="2340" w:type="dxa"/>
          </w:tcPr>
          <w:p>
            <w:pPr/>
            <w:r>
              <w:t xml:space="preserve">Le journal ne peut pas être nettoyé</w:t>
            </w:r>
          </w:p>
        </w:tc>
        <w:tc>
          <w:tcPr>
            <w:tcW w:w="2340" w:type="dxa"/>
          </w:tcPr>
          <w:p>
            <w:pPr/>
            <w:r>
              <w:t xml:space="preserve">Oui ou non, par écrit</w:t>
            </w:r>
          </w:p>
        </w:tc>
        <w:tc>
          <w:tcPr>
            <w:tcW w:w="2340" w:type="dxa"/>
          </w:tcPr>
          <w:p>
            <w:pPr/>
            <w:r>
              <w:t xml:space="preserve">Aucune écriture en production</w:t>
            </w:r>
          </w:p>
        </w:tc>
      </w:tr>
    </w:tbl>
    <w:p>
      <w:pPr>
        <w:pStyle w:val="Heading3"/>
      </w:pPr>
      <w:r>
        <w:t xml:space="preserve">Exploitation et mise en production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Pourquoi</w:t>
            </w:r>
          </w:p>
        </w:tc>
        <w:tc>
          <w:tcPr>
            <w:tcW w:w="2340" w:type="dxa"/>
            <w:shd w:val="clear" w:color="auto" w:fill="F2F2F2"/>
          </w:tcPr>
          <w:p>
            <w:pPr/>
            <w:r>
              <w:t xml:space="preserve">Réponse qui débloque</w:t>
            </w:r>
          </w:p>
        </w:tc>
        <w:tc>
          <w:tcPr>
            <w:tcW w:w="2340" w:type="dxa"/>
            <w:shd w:val="clear" w:color="auto" w:fill="F2F2F2"/>
          </w:tcPr>
          <w:p>
            <w:pPr/>
            <w:r>
              <w:t xml:space="preserve">Plan B</w:t>
            </w:r>
          </w:p>
        </w:tc>
      </w:tr>
      <w:tr>
        <w:tc>
          <w:tcPr>
            <w:tcW w:w="2340" w:type="dxa"/>
          </w:tcPr>
          <w:p>
            <w:pPr/>
            <w:r>
              <w:t xml:space="preserve">Que veut dire « prod privatisée » ici : fenêtre fermée pendant la mise en production, ou production installée avant ouverture ?</w:t>
            </w:r>
          </w:p>
        </w:tc>
        <w:tc>
          <w:tcPr>
            <w:tcW w:w="2340" w:type="dxa"/>
          </w:tcPr>
          <w:p>
            <w:pPr/>
            <w:r>
              <w:t xml:space="preserve">Les droits d'action ne sont pas les mêmes</w:t>
            </w:r>
          </w:p>
        </w:tc>
        <w:tc>
          <w:tcPr>
            <w:tcW w:w="2340" w:type="dxa"/>
          </w:tcPr>
          <w:p>
            <w:pPr/>
            <w:r>
              <w:t xml:space="preserve">Une définition écrite</w:t>
            </w:r>
          </w:p>
        </w:tc>
        <w:tc>
          <w:tcPr>
            <w:tcW w:w="2340" w:type="dxa"/>
          </w:tcPr>
          <w:p>
            <w:pPr/>
            <w:r>
              <w:t xml:space="preserve">Traiter la prod privatisée comme la prod ouverte</w:t>
            </w:r>
          </w:p>
        </w:tc>
      </w:tr>
      <w:tr>
        <w:tc>
          <w:tcPr>
            <w:tcW w:w="2340" w:type="dxa"/>
          </w:tcPr>
          <w:p>
            <w:pPr/>
            <w:r>
              <w:t xml:space="preserve">Les flux sortants sont-ils actifs pendant la privatisation ?</w:t>
            </w:r>
          </w:p>
        </w:tc>
        <w:tc>
          <w:tcPr>
            <w:tcW w:w="2340" w:type="dxa"/>
          </w:tcPr>
          <w:p>
            <w:pPr/>
            <w:r>
              <w:t xml:space="preserve">C'est le risque principal d'une écriture</w:t>
            </w:r>
          </w:p>
        </w:tc>
        <w:tc>
          <w:tcPr>
            <w:tcW w:w="2340" w:type="dxa"/>
          </w:tcPr>
          <w:p>
            <w:pPr/>
            <w:r>
              <w:t xml:space="preserve">Oui, non, ou coupables à la demande</w:t>
            </w:r>
          </w:p>
        </w:tc>
        <w:tc>
          <w:tcPr>
            <w:tcW w:w="2340" w:type="dxa"/>
          </w:tcPr>
          <w:p>
            <w:pPr/>
            <w:r>
              <w:t xml:space="preserve">Lecture seule</w:t>
            </w:r>
          </w:p>
        </w:tc>
      </w:tr>
      <w:tr>
        <w:tc>
          <w:tcPr>
            <w:tcW w:w="2340" w:type="dxa"/>
          </w:tcPr>
          <w:p>
            <w:pPr/>
            <w:r>
              <w:t xml:space="preserve">Combien dure la fenêtre, et qui décide de rouvrir ou de revenir en arrière ?</w:t>
            </w:r>
          </w:p>
        </w:tc>
        <w:tc>
          <w:tcPr>
            <w:tcW w:w="2340" w:type="dxa"/>
          </w:tcPr>
          <w:p>
            <w:pPr/>
            <w:r>
              <w:t xml:space="preserve">Le smoke doit tenir dans la fenêtre et alimenter une décision</w:t>
            </w:r>
          </w:p>
        </w:tc>
        <w:tc>
          <w:tcPr>
            <w:tcW w:w="2340" w:type="dxa"/>
          </w:tcPr>
          <w:p>
            <w:pPr/>
            <w:r>
              <w:t xml:space="preserve">Une durée et un nom</w:t>
            </w:r>
          </w:p>
        </w:tc>
        <w:tc>
          <w:tcPr>
            <w:tcW w:w="2340" w:type="dxa"/>
          </w:tcPr>
          <w:p>
            <w:pPr/>
            <w:r>
              <w:t xml:space="preserve">Smoke de 5 minutes, résultat transmis au responsable de la mise en production</w:t>
            </w:r>
          </w:p>
        </w:tc>
      </w:tr>
      <w:tr>
        <w:tc>
          <w:tcPr>
            <w:tcW w:w="2340" w:type="dxa"/>
          </w:tcPr>
          <w:p>
            <w:pPr/>
            <w:r>
              <w:t xml:space="preserve">Quels créneaux PREPROD sont libres pendant la recette métier ?</w:t>
            </w:r>
          </w:p>
        </w:tc>
        <w:tc>
          <w:tcPr>
            <w:tcW w:w="2340" w:type="dxa"/>
          </w:tcPr>
          <w:p>
            <w:pPr/>
            <w:r>
              <w:t xml:space="preserve">Ne pas gêner les testeurs métier</w:t>
            </w:r>
          </w:p>
        </w:tc>
        <w:tc>
          <w:tcPr>
            <w:tcW w:w="2340" w:type="dxa"/>
          </w:tcPr>
          <w:p>
            <w:pPr/>
            <w:r>
              <w:t xml:space="preserve">Un planning</w:t>
            </w:r>
          </w:p>
        </w:tc>
        <w:tc>
          <w:tcPr>
            <w:tcW w:w="2340" w:type="dxa"/>
          </w:tcPr>
          <w:p>
            <w:pPr/>
            <w:r>
              <w:t xml:space="preserve">Tests PREPROD la nuit, en petit volume</w:t>
            </w:r>
          </w:p>
        </w:tc>
      </w:tr>
    </w:tbl>
    <w:p>
      <w:pPr>
        <w:pStyle w:val="Heading2"/>
      </w:pPr>
      <w:r>
        <w:t xml:space="preserve">Plan des deux prochaines semaines et pièges</w:t>
      </w:r>
    </w:p>
    <w:p>
      <w:pPr/>
      <w:r>
        <w:t xml:space="preserve">L'objectif des deux semaines est un seul résultat visible : un test de droits et un smoke UI qui tournent dans le pipeline sur ITG, verts dix fois de suite. Tout le reste en découle.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Quand</w:t>
            </w:r>
          </w:p>
        </w:tc>
        <w:tc>
          <w:tcPr>
            <w:tcW w:w="2340" w:type="dxa"/>
            <w:shd w:val="clear" w:color="auto" w:fill="F2F2F2"/>
          </w:tcPr>
          <w:p>
            <w:pPr/>
            <w:r>
              <w:t xml:space="preserve">Action</w:t>
            </w:r>
          </w:p>
        </w:tc>
        <w:tc>
          <w:tcPr>
            <w:tcW w:w="2340" w:type="dxa"/>
            <w:shd w:val="clear" w:color="auto" w:fill="F2F2F2"/>
          </w:tcPr>
          <w:p>
            <w:pPr/>
            <w:r>
              <w:t xml:space="preserve">Besoin d'un environnement ?</w:t>
            </w:r>
          </w:p>
        </w:tc>
        <w:tc>
          <w:tcPr>
            <w:tcW w:w="2340" w:type="dxa"/>
            <w:shd w:val="clear" w:color="auto" w:fill="F2F2F2"/>
          </w:tcPr>
          <w:p>
            <w:pPr/>
            <w:r>
              <w:t xml:space="preserve">Résultat attendu</w:t>
            </w:r>
          </w:p>
        </w:tc>
      </w:tr>
      <w:tr>
        <w:tc>
          <w:tcPr>
            <w:tcW w:w="2340" w:type="dxa"/>
          </w:tcPr>
          <w:p>
            <w:pPr/>
            <w:r>
              <w:t xml:space="preserve">Semaine du 12/10</w:t>
            </w:r>
          </w:p>
        </w:tc>
        <w:tc>
          <w:tcPr>
            <w:tcW w:w="2340" w:type="dxa"/>
          </w:tcPr>
          <w:p>
            <w:pPr/>
            <w:r>
              <w:t xml:space="preserve">Envoyer, via la manager QA, les cinq questions POC (agent, pipeline et Key Vault, comptes, double authentification, OpenAPI)</w:t>
            </w:r>
          </w:p>
        </w:tc>
        <w:tc>
          <w:tcPr>
            <w:tcW w:w="2340" w:type="dxa"/>
          </w:tcPr>
          <w:p>
            <w:pPr/>
            <w:r>
              <w:t xml:space="preserve">Non</w:t>
            </w:r>
          </w:p>
        </w:tc>
        <w:tc>
          <w:tcPr>
            <w:tcW w:w="2340" w:type="dxa"/>
          </w:tcPr>
          <w:p>
            <w:pPr/>
            <w:r>
              <w:t xml:space="preserve">Des réponses ou des noms à relancer</w:t>
            </w:r>
          </w:p>
        </w:tc>
      </w:tr>
      <w:tr>
        <w:tc>
          <w:tcPr>
            <w:tcW w:w="2340" w:type="dxa"/>
          </w:tcPr>
          <w:p>
            <w:pPr/>
            <w:r>
              <w:t xml:space="preserve">Semaine du 12/10</w:t>
            </w:r>
          </w:p>
        </w:tc>
        <w:tc>
          <w:tcPr>
            <w:tcW w:w="2340" w:type="dxa"/>
          </w:tcPr>
          <w:p>
            <w:pPr/>
            <w:r>
              <w:t xml:space="preserve">Faire valider l'objectif et le périmètre (sections 1 et 2) en 30 minutes</w:t>
            </w:r>
          </w:p>
        </w:tc>
        <w:tc>
          <w:tcPr>
            <w:tcW w:w="2340" w:type="dxa"/>
          </w:tcPr>
          <w:p>
            <w:pPr/>
            <w:r>
              <w:t xml:space="preserve">Non</w:t>
            </w:r>
          </w:p>
        </w:tc>
        <w:tc>
          <w:tcPr>
            <w:tcW w:w="2340" w:type="dxa"/>
          </w:tcPr>
          <w:p>
            <w:pPr/>
            <w:r>
              <w:t xml:space="preserve">Un accord écrit sur quoi automatiser et pourquoi</w:t>
            </w:r>
          </w:p>
        </w:tc>
      </w:tr>
      <w:tr>
        <w:tc>
          <w:tcPr>
            <w:tcW w:w="2340" w:type="dxa"/>
          </w:tcPr>
          <w:p>
            <w:pPr/>
            <w:r>
              <w:t xml:space="preserve">Semaine du 12/10</w:t>
            </w:r>
          </w:p>
        </w:tc>
        <w:tc>
          <w:tcPr>
            <w:tcW w:w="2340" w:type="dxa"/>
          </w:tcPr>
          <w:p>
            <w:pPr/>
            <w:r>
              <w:t xml:space="preserve">Demander à l'exploitation la définition de la prod privatisée</w:t>
            </w:r>
          </w:p>
        </w:tc>
        <w:tc>
          <w:tcPr>
            <w:tcW w:w="2340" w:type="dxa"/>
          </w:tcPr>
          <w:p>
            <w:pPr/>
            <w:r>
              <w:t xml:space="preserve">Non</w:t>
            </w:r>
          </w:p>
        </w:tc>
        <w:tc>
          <w:tcPr>
            <w:tcW w:w="2340" w:type="dxa"/>
          </w:tcPr>
          <w:p>
            <w:pPr/>
            <w:r>
              <w:t xml:space="preserve">Une phrase écrite</w:t>
            </w:r>
          </w:p>
        </w:tc>
      </w:tr>
      <w:tr>
        <w:tc>
          <w:tcPr>
            <w:tcW w:w="2340" w:type="dxa"/>
          </w:tcPr>
          <w:p>
            <w:pPr/>
            <w:r>
              <w:t xml:space="preserve">Semaine du 12/10</w:t>
            </w:r>
          </w:p>
        </w:tc>
        <w:tc>
          <w:tcPr>
            <w:tcW w:w="2340" w:type="dxa"/>
          </w:tcPr>
          <w:p>
            <w:pPr/>
            <w:r>
              <w:t xml:space="preserve">Monter le squelette du dépôt : configuration par environnement, client API avec verrou, premier test de droits</w:t>
            </w:r>
          </w:p>
        </w:tc>
        <w:tc>
          <w:tcPr>
            <w:tcW w:w="2340" w:type="dxa"/>
          </w:tcPr>
          <w:p>
            <w:pPr/>
            <w:r>
              <w:t xml:space="preserve">Non, en local</w:t>
            </w:r>
          </w:p>
        </w:tc>
        <w:tc>
          <w:tcPr>
            <w:tcW w:w="2340" w:type="dxa"/>
          </w:tcPr>
          <w:p>
            <w:pPr/>
            <w:r>
              <w:t xml:space="preserve">Code prêt à brancher</w:t>
            </w:r>
          </w:p>
        </w:tc>
      </w:tr>
      <w:tr>
        <w:tc>
          <w:tcPr>
            <w:tcW w:w="2340" w:type="dxa"/>
          </w:tcPr>
          <w:p>
            <w:pPr/>
            <w:r>
              <w:t xml:space="preserve">Sprint 4, à partir du 19/10</w:t>
            </w:r>
          </w:p>
        </w:tc>
        <w:tc>
          <w:tcPr>
            <w:tcW w:w="2340" w:type="dxa"/>
          </w:tcPr>
          <w:p>
            <w:pPr/>
            <w:r>
              <w:t xml:space="preserve">POC dans le pipeline sur ITG : 1 test de droits en API, 1 smoke UI</w:t>
            </w:r>
          </w:p>
        </w:tc>
        <w:tc>
          <w:tcPr>
            <w:tcW w:w="2340" w:type="dxa"/>
          </w:tcPr>
          <w:p>
            <w:pPr/>
            <w:r>
              <w:t xml:space="preserve">Oui, ITG plus agent plus comptes</w:t>
            </w:r>
          </w:p>
        </w:tc>
        <w:tc>
          <w:tcPr>
            <w:tcW w:w="2340" w:type="dxa"/>
          </w:tcPr>
          <w:p>
            <w:pPr/>
            <w:r>
              <w:t xml:space="preserve">10 exécutions vertes d'affilée</w:t>
            </w:r>
          </w:p>
        </w:tc>
      </w:tr>
      <w:tr>
        <w:tc>
          <w:tcPr>
            <w:tcW w:w="2340" w:type="dxa"/>
          </w:tcPr>
          <w:p>
            <w:pPr/>
            <w:r>
              <w:t xml:space="preserve">Sprint 4</w:t>
            </w:r>
          </w:p>
        </w:tc>
        <w:tc>
          <w:tcPr>
            <w:tcW w:w="2340" w:type="dxa"/>
          </w:tcPr>
          <w:p>
            <w:pPr/>
            <w:r>
              <w:t xml:space="preserve">Matrice de droits complète pour les cellules validées par Risk Management</w:t>
            </w:r>
          </w:p>
        </w:tc>
        <w:tc>
          <w:tcPr>
            <w:tcW w:w="2340" w:type="dxa"/>
          </w:tcPr>
          <w:p>
            <w:pPr/>
            <w:r>
              <w:t xml:space="preserve">Oui, ITG</w:t>
            </w:r>
          </w:p>
        </w:tc>
        <w:tc>
          <w:tcPr>
            <w:tcW w:w="2340" w:type="dxa"/>
          </w:tcPr>
          <w:p>
            <w:pPr/>
            <w:r>
              <w:t xml:space="preserve">Tag @droits dans le pipeline</w:t>
            </w:r>
          </w:p>
        </w:tc>
      </w:tr>
      <w:tr>
        <w:tc>
          <w:tcPr>
            <w:tcW w:w="2340" w:type="dxa"/>
          </w:tcPr>
          <w:p>
            <w:pPr/>
            <w:r>
              <w:t xml:space="preserve">Fin du sprint 4</w:t>
            </w:r>
          </w:p>
        </w:tc>
        <w:tc>
          <w:tcPr>
            <w:tcW w:w="2340" w:type="dxa"/>
          </w:tcPr>
          <w:p>
            <w:pPr/>
            <w:r>
              <w:t xml:space="preserve">Restitution courte : ce qui marche, ce qui bloque, avec une date par blocage</w:t>
            </w:r>
          </w:p>
        </w:tc>
        <w:tc>
          <w:tcPr>
            <w:tcW w:w="2340" w:type="dxa"/>
          </w:tcPr>
          <w:p>
            <w:pPr/>
            <w:r>
              <w:t xml:space="preserve">Non</w:t>
            </w:r>
          </w:p>
        </w:tc>
        <w:tc>
          <w:tcPr>
            <w:tcW w:w="2340" w:type="dxa"/>
          </w:tcPr>
          <w:p>
            <w:pPr/>
            <w:r>
              <w:t xml:space="preserve">Décision de continuer sur les règles au sprint 5</w:t>
            </w:r>
          </w:p>
        </w:tc>
      </w:tr>
    </w:tbl>
    <w:p>
      <w:pPr>
        <w:pStyle w:val="Heading3"/>
      </w:pPr>
      <w:r>
        <w:t xml:space="preserve">Pièges à éviter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Piège</w:t>
            </w:r>
          </w:p>
        </w:tc>
        <w:tc>
          <w:tcPr>
            <w:tcW w:w="3120" w:type="dxa"/>
            <w:shd w:val="clear" w:color="auto" w:fill="F2F2F2"/>
          </w:tcPr>
          <w:p>
            <w:pPr/>
            <w:r>
              <w:t xml:space="preserve">Conséquence</w:t>
            </w:r>
          </w:p>
        </w:tc>
        <w:tc>
          <w:tcPr>
            <w:tcW w:w="3120" w:type="dxa"/>
            <w:shd w:val="clear" w:color="auto" w:fill="F2F2F2"/>
          </w:tcPr>
          <w:p>
            <w:pPr/>
            <w:r>
              <w:t xml:space="preserve">Parade</w:t>
            </w:r>
          </w:p>
        </w:tc>
      </w:tr>
      <w:tr>
        <w:tc>
          <w:tcPr>
            <w:tcW w:w="3120" w:type="dxa"/>
          </w:tcPr>
          <w:p>
            <w:pPr/>
            <w:r>
              <w:t xml:space="preserve">Tout faire sur son poste et découvrir le réseau en CI au dernier moment</w:t>
            </w:r>
          </w:p>
        </w:tc>
        <w:tc>
          <w:tcPr>
            <w:tcW w:w="3120" w:type="dxa"/>
          </w:tcPr>
          <w:p>
            <w:pPr/>
            <w:r>
              <w:t xml:space="preserve">Rien ne tourne le jour de la démonstration</w:t>
            </w:r>
          </w:p>
        </w:tc>
        <w:tc>
          <w:tcPr>
            <w:tcW w:w="3120" w:type="dxa"/>
          </w:tcPr>
          <w:p>
            <w:pPr/>
            <w:r>
              <w:t xml:space="preserve">Tester l'agent dès la première semaine, même avec un test vide</w:t>
            </w:r>
          </w:p>
        </w:tc>
      </w:tr>
      <w:tr>
        <w:tc>
          <w:tcPr>
            <w:tcW w:w="3120" w:type="dxa"/>
          </w:tcPr>
          <w:p>
            <w:pPr/>
            <w:r>
              <w:t xml:space="preserve">Lancer les mêmes tests partout</w:t>
            </w:r>
          </w:p>
        </w:tc>
        <w:tc>
          <w:tcPr>
            <w:tcW w:w="3120" w:type="dxa"/>
          </w:tcPr>
          <w:p>
            <w:pPr/>
            <w:r>
              <w:t xml:space="preserve">Un test qui écrit finit en production</w:t>
            </w:r>
          </w:p>
        </w:tc>
        <w:tc>
          <w:tcPr>
            <w:tcW w:w="3120" w:type="dxa"/>
          </w:tcPr>
          <w:p>
            <w:pPr/>
            <w:r>
              <w:t xml:space="preserve">Politique par environnement et verrou dans le client API</w:t>
            </w:r>
          </w:p>
        </w:tc>
      </w:tr>
      <w:tr>
        <w:tc>
          <w:tcPr>
            <w:tcW w:w="3120" w:type="dxa"/>
          </w:tcPr>
          <w:p>
            <w:pPr/>
            <w:r>
              <w:t xml:space="preserve">Copier une session manuelle pour le pipeline</w:t>
            </w:r>
          </w:p>
        </w:tc>
        <w:tc>
          <w:tcPr>
            <w:tcW w:w="3120" w:type="dxa"/>
          </w:tcPr>
          <w:p>
            <w:pPr/>
            <w:r>
              <w:t xml:space="preserve">Elle expire, le pipeline est rouge le lundi matin</w:t>
            </w:r>
          </w:p>
        </w:tc>
        <w:tc>
          <w:tcPr>
            <w:tcW w:w="3120" w:type="dxa"/>
          </w:tcPr>
          <w:p>
            <w:pPr/>
            <w:r>
              <w:t xml:space="preserve">Jeton applicatif ou compte exempté, décidé avec la sécurité</w:t>
            </w:r>
          </w:p>
        </w:tc>
      </w:tr>
      <w:tr>
        <w:tc>
          <w:tcPr>
            <w:tcW w:w="3120" w:type="dxa"/>
          </w:tcPr>
          <w:p>
            <w:pPr/>
            <w:r>
              <w:t xml:space="preserve">Utiliser des données créées à la main en ITG</w:t>
            </w:r>
          </w:p>
        </w:tc>
        <w:tc>
          <w:tcPr>
            <w:tcW w:w="3120" w:type="dxa"/>
          </w:tcPr>
          <w:p>
            <w:pPr/>
            <w:r>
              <w:t xml:space="preserve">Elles disparaissent au prochain rafraîchissement</w:t>
            </w:r>
          </w:p>
        </w:tc>
        <w:tc>
          <w:tcPr>
            <w:tcW w:w="3120" w:type="dxa"/>
          </w:tcPr>
          <w:p>
            <w:pPr/>
            <w:r>
              <w:t xml:space="preserve">Chaque test crée et supprime sa donnée</w:t>
            </w:r>
          </w:p>
        </w:tc>
      </w:tr>
      <w:tr>
        <w:tc>
          <w:tcPr>
            <w:tcW w:w="3120" w:type="dxa"/>
          </w:tcPr>
          <w:p>
            <w:pPr/>
            <w:r>
              <w:t xml:space="preserve">Automatiser une règle non arbitrée</w:t>
            </w:r>
          </w:p>
        </w:tc>
        <w:tc>
          <w:tcPr>
            <w:tcW w:w="3120" w:type="dxa"/>
          </w:tcPr>
          <w:p>
            <w:pPr/>
            <w:r>
              <w:t xml:space="preserve">Réécriture à chaque décision</w:t>
            </w:r>
          </w:p>
        </w:tc>
        <w:tc>
          <w:tcPr>
            <w:tcW w:w="3120" w:type="dxa"/>
          </w:tcPr>
          <w:p>
            <w:pPr/>
            <w:r>
              <w:t xml:space="preserve">Écrire la table de données, ne la figer qu'après arbitrage</w:t>
            </w:r>
          </w:p>
        </w:tc>
      </w:tr>
      <w:tr>
        <w:tc>
          <w:tcPr>
            <w:tcW w:w="3120" w:type="dxa"/>
          </w:tcPr>
          <w:p>
            <w:pPr/>
            <w:r>
              <w:t xml:space="preserve">Vérifier le message « Succès » au lieu de la donnée</w:t>
            </w:r>
          </w:p>
        </w:tc>
        <w:tc>
          <w:tcPr>
            <w:tcW w:w="3120" w:type="dxa"/>
          </w:tcPr>
          <w:p>
            <w:pPr/>
            <w:r>
              <w:t xml:space="preserve">Un test vert sur une donnée fausse</w:t>
            </w:r>
          </w:p>
        </w:tc>
        <w:tc>
          <w:tcPr>
            <w:tcW w:w="3120" w:type="dxa"/>
          </w:tcPr>
          <w:p>
            <w:pPr/>
            <w:r>
              <w:t xml:space="preserve">Relire la demande par l'API</w:t>
            </w:r>
          </w:p>
        </w:tc>
      </w:tr>
      <w:tr>
        <w:tc>
          <w:tcPr>
            <w:tcW w:w="3120" w:type="dxa"/>
          </w:tcPr>
          <w:p>
            <w:pPr/>
            <w:r>
              <w:t xml:space="preserve">Lancer la suite complète en PREPROD pendant la recette métier</w:t>
            </w:r>
          </w:p>
        </w:tc>
        <w:tc>
          <w:tcPr>
            <w:tcW w:w="3120" w:type="dxa"/>
          </w:tcPr>
          <w:p>
            <w:pPr/>
            <w:r>
              <w:t xml:space="preserve">Conflits de données, perte de confiance du métier</w:t>
            </w:r>
          </w:p>
        </w:tc>
        <w:tc>
          <w:tcPr>
            <w:tcW w:w="3120" w:type="dxa"/>
          </w:tcPr>
          <w:p>
            <w:pPr/>
            <w:r>
              <w:t xml:space="preserve">Créneaux convenus, petit volume, la nuit si possible</w:t>
            </w:r>
          </w:p>
        </w:tc>
      </w:tr>
      <w:tr>
        <w:tc>
          <w:tcPr>
            <w:tcW w:w="3120" w:type="dxa"/>
          </w:tcPr>
          <w:p>
            <w:pPr/>
            <w:r>
              <w:t xml:space="preserve">Promettre un smoke de production automatisé</w:t>
            </w:r>
          </w:p>
        </w:tc>
        <w:tc>
          <w:tcPr>
            <w:tcW w:w="3120" w:type="dxa"/>
          </w:tcPr>
          <w:p>
            <w:pPr/>
            <w:r>
              <w:t xml:space="preserve">Promesse impossible sans compte autorisé</w:t>
            </w:r>
          </w:p>
        </w:tc>
        <w:tc>
          <w:tcPr>
            <w:tcW w:w="3120" w:type="dxa"/>
          </w:tcPr>
          <w:p>
            <w:pPr/>
            <w:r>
              <w:t xml:space="preserve">L'annoncer comme conditionnel à la décision de la sécurité</w:t>
            </w:r>
          </w:p>
        </w:tc>
      </w:tr>
      <w:tr>
        <w:tc>
          <w:tcPr>
            <w:tcW w:w="3120" w:type="dxa"/>
          </w:tcPr>
          <w:p>
            <w:pPr/>
            <w:r>
              <w:t xml:space="preserve">Défendre l'automatisation par le temps gagné</w:t>
            </w:r>
          </w:p>
        </w:tc>
        <w:tc>
          <w:tcPr>
            <w:tcW w:w="3120" w:type="dxa"/>
          </w:tcPr>
          <w:p>
            <w:pPr/>
            <w:r>
              <w:t xml:space="preserve">Sur un projet à une seule version, l'argument tombe</w:t>
            </w:r>
          </w:p>
        </w:tc>
        <w:tc>
          <w:tcPr>
            <w:tcW w:w="3120" w:type="dxa"/>
          </w:tcPr>
          <w:p>
            <w:pPr/>
            <w:r>
              <w:t xml:space="preserve">Parler de risque couvert et de preuve pour le Go/No-Go</w:t>
            </w:r>
          </w:p>
        </w:tc>
      </w:tr>
    </w:tbl>
    <w:p>
      <w:pPr/>
      <w:r>
        <w:t xml:space="preserve">Version pour une réunion, en deux phrases : « Je propose d'automatiser uniquement ce qui protège la donnée diffusée et la migration, en commençant par un POC sur ITG au sprint 4. Pour le lancer, il me faut un agent de build dans le réseau, des comptes de test par rôle sans double authentification manuelle et le contrat OpenAPI.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InfoCAC, stratégie d'automatisation multi-environnements</dc:title>
  <dc:description>Claude Docs node/c0b063fc-43a3@9 docx-w6</dc:description>
  <cp:revision>9</cp:revision>
</cp:coreProperties>
</file>