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171EB" w14:textId="77777777" w:rsidR="00B7716E" w:rsidRDefault="00B7716E">
      <w:pPr>
        <w:spacing w:before="1440"/>
      </w:pPr>
    </w:p>
    <w:p w14:paraId="745C26E6" w14:textId="77777777" w:rsidR="00B7716E" w:rsidRDefault="00000000">
      <w:pPr>
        <w:spacing w:after="120"/>
        <w:jc w:val="center"/>
      </w:pPr>
      <w:r>
        <w:rPr>
          <w:rFonts w:ascii="Arial" w:eastAsia="Arial" w:hAnsi="Arial" w:cs="Arial"/>
          <w:b/>
          <w:bCs/>
          <w:caps/>
          <w:color w:val="1F3864"/>
          <w:sz w:val="40"/>
          <w:szCs w:val="40"/>
        </w:rPr>
        <w:t>ANÁLISIS INSTITUCIONAL</w:t>
      </w:r>
    </w:p>
    <w:p w14:paraId="0E4D404A" w14:textId="77777777" w:rsidR="00B7716E" w:rsidRDefault="00000000">
      <w:pPr>
        <w:spacing w:after="180"/>
        <w:jc w:val="center"/>
      </w:pPr>
      <w:r>
        <w:rPr>
          <w:rFonts w:ascii="Arial" w:eastAsia="Arial" w:hAnsi="Arial" w:cs="Arial"/>
          <w:b/>
          <w:bCs/>
          <w:color w:val="2E75B6"/>
          <w:sz w:val="52"/>
          <w:szCs w:val="52"/>
        </w:rPr>
        <w:t>Fundación Global Effect</w:t>
      </w:r>
    </w:p>
    <w:p w14:paraId="44A81EBD" w14:textId="77777777" w:rsidR="00B7716E" w:rsidRDefault="00000000">
      <w:pPr>
        <w:spacing w:after="720"/>
        <w:jc w:val="center"/>
      </w:pPr>
      <w:r>
        <w:rPr>
          <w:rFonts w:ascii="Arial" w:eastAsia="Arial" w:hAnsi="Arial" w:cs="Arial"/>
          <w:i/>
          <w:iCs/>
          <w:color w:val="555555"/>
          <w:sz w:val="26"/>
          <w:szCs w:val="26"/>
        </w:rPr>
        <w:t>Desarrollo Integral de Comunidades Vulnerables en La Vega, República Dominicana</w:t>
      </w:r>
    </w:p>
    <w:p w14:paraId="00B019EC" w14:textId="77777777" w:rsidR="00B7716E" w:rsidRDefault="00000000">
      <w:pPr>
        <w:spacing w:after="480"/>
        <w:jc w:val="center"/>
      </w:pPr>
      <w:r>
        <w:rPr>
          <w:rFonts w:ascii="Arial" w:eastAsia="Arial" w:hAnsi="Arial" w:cs="Arial"/>
          <w:color w:val="CCCCCC"/>
        </w:rPr>
        <w:t>─────────────────────────────────────────</w:t>
      </w:r>
    </w:p>
    <w:p w14:paraId="7EDF1D5D" w14:textId="77777777" w:rsidR="00B7716E" w:rsidRDefault="00000000">
      <w:pPr>
        <w:spacing w:after="120"/>
        <w:jc w:val="center"/>
      </w:pPr>
      <w:r>
        <w:rPr>
          <w:rFonts w:ascii="Arial" w:eastAsia="Arial" w:hAnsi="Arial" w:cs="Arial"/>
          <w:b/>
          <w:bCs/>
          <w:color w:val="333333"/>
          <w:sz w:val="22"/>
          <w:szCs w:val="22"/>
        </w:rPr>
        <w:t>Documento de Caracterización Organizacional</w:t>
      </w:r>
    </w:p>
    <w:p w14:paraId="5076868D" w14:textId="77777777" w:rsidR="00B7716E" w:rsidRDefault="00000000">
      <w:pPr>
        <w:spacing w:after="1440"/>
        <w:jc w:val="center"/>
      </w:pPr>
      <w:r>
        <w:rPr>
          <w:rFonts w:ascii="Arial" w:eastAsia="Arial" w:hAnsi="Arial" w:cs="Arial"/>
          <w:color w:val="777777"/>
          <w:sz w:val="20"/>
          <w:szCs w:val="20"/>
        </w:rPr>
        <w:t>Fecha de elaboración: Junio 2025</w:t>
      </w:r>
    </w:p>
    <w:p w14:paraId="6E14A7B6" w14:textId="77777777" w:rsidR="00B7716E" w:rsidRDefault="00000000">
      <w:pPr>
        <w:pStyle w:val="Ttulo1"/>
      </w:pPr>
      <w:r>
        <w:t>1. Introducción</w:t>
      </w:r>
    </w:p>
    <w:p w14:paraId="2972DED0" w14:textId="77777777" w:rsidR="00B7716E" w:rsidRDefault="00000000">
      <w:pPr>
        <w:spacing w:after="200" w:line="360" w:lineRule="auto"/>
        <w:jc w:val="both"/>
      </w:pPr>
      <w:r>
        <w:t>La Fundación Global Effect constituye una organización no gubernamental de carácter cristiano, establecida y operativa en la provincia de La Vega, República Dominicana. Su fundación se atribuye a Scott Stevenson, quien concibió una entidad orientada a atender de manera integral las necesidades de poblaciones en condición de vulnerabilidad socioeconómica. La organización se distingue por la amplitud y coherencia de sus programas, los cuales abarcan dimensiones educativas, psicológicas, espirituales, técnicas y comunitarias, configurando un modelo de intervención social sistémico y multidimensional.</w:t>
      </w:r>
    </w:p>
    <w:p w14:paraId="36DAA868" w14:textId="77777777" w:rsidR="00B7716E" w:rsidRDefault="00000000">
      <w:pPr>
        <w:spacing w:after="200" w:line="360" w:lineRule="auto"/>
        <w:jc w:val="both"/>
      </w:pPr>
      <w:r>
        <w:t>El presente documento tiene como propósito caracterizar académicamente la estructura, los programas y el impacto institucional de Global Effect, con miras a comprender su contribución al desarrollo humano sostenible en el contexto caribeño. El análisis se fundamenta en información organizacional primaria y se estructura en torno a los ejes programáticos que definen la identidad institucional de la fundación.</w:t>
      </w:r>
    </w:p>
    <w:p w14:paraId="7D7B6542" w14:textId="77777777" w:rsidR="00B7716E" w:rsidRDefault="00000000">
      <w:pPr>
        <w:pStyle w:val="Ttulo1"/>
      </w:pPr>
      <w:r>
        <w:lastRenderedPageBreak/>
        <w:t>2. Misión y Visión Institucional</w:t>
      </w:r>
    </w:p>
    <w:p w14:paraId="01E8A01F" w14:textId="77777777" w:rsidR="00B7716E" w:rsidRDefault="00000000">
      <w:pPr>
        <w:spacing w:after="200" w:line="360" w:lineRule="auto"/>
        <w:jc w:val="both"/>
      </w:pPr>
      <w:r>
        <w:t>La misión central de Global Effect se articula en torno a la ruptura de los ciclos de pobreza mediante intervenciones integrales que combinan educación formal, formación técnica y universitaria, acompañamiento psicológico, desarrollo del liderazgo y proyectos de transformación comunitaria. Esta misión se ancla en una cosmovisión cristiana que entiende el desarrollo humano como un proceso que abarca la totalidad de la persona: su dimensión intelectual, emocional, vocacional y espiritual.</w:t>
      </w:r>
    </w:p>
    <w:p w14:paraId="54538493" w14:textId="77777777" w:rsidR="00B7716E" w:rsidRDefault="00000000">
      <w:pPr>
        <w:spacing w:after="200" w:line="360" w:lineRule="auto"/>
        <w:jc w:val="both"/>
      </w:pPr>
      <w:r>
        <w:t>Desde una perspectiva académica, el enfoque de la fundación es consistente con los postulados del desarrollo humano propuestos por Amartya Sen y Mahbub ul Haq, en tanto se orienta a la expansión de las capacidades individuales como condición para la libertad y el bienestar colectivo. La organización opera bajo la convicción de que la transformación social duradera requiere no solo la provisión de recursos materiales, sino el fortalecimiento de los activos humanos, sociales y morales de las comunidades beneficiarias.</w:t>
      </w:r>
    </w:p>
    <w:p w14:paraId="2311E7E7" w14:textId="77777777" w:rsidR="00B7716E" w:rsidRDefault="00000000">
      <w:pPr>
        <w:pStyle w:val="Ttulo1"/>
      </w:pPr>
      <w:r>
        <w:t>3. Estructura Programática</w:t>
      </w:r>
    </w:p>
    <w:p w14:paraId="00FA5400" w14:textId="77777777" w:rsidR="00B7716E" w:rsidRDefault="00000000">
      <w:pPr>
        <w:spacing w:after="280" w:line="360" w:lineRule="auto"/>
        <w:jc w:val="both"/>
      </w:pPr>
      <w:r>
        <w:t>La arquitectura programática de Global Effect responde a una lógica de embudo progresivo: los estudiantes son identificados en liceos públicos, se forman en valores y liderazgo, y los más destacados acceden a niveles superiores de acompañamiento y financiamiento educativo. Esta estructura garantiza la sostenibilidad del impacto y la coherencia entre los distintos niveles de intervención.</w:t>
      </w:r>
    </w:p>
    <w:p w14:paraId="1E7537A1" w14:textId="77777777" w:rsidR="00B7716E" w:rsidRDefault="00000000">
      <w:pPr>
        <w:pStyle w:val="Ttulo2"/>
      </w:pPr>
      <w:r>
        <w:t>3.1 Programa de Carácter y Liderazgo (Habitudes)</w:t>
      </w:r>
    </w:p>
    <w:p w14:paraId="11E3D4BD" w14:textId="77777777" w:rsidR="00B7716E" w:rsidRDefault="00000000">
      <w:pPr>
        <w:spacing w:after="160" w:line="360" w:lineRule="auto"/>
        <w:jc w:val="both"/>
      </w:pPr>
      <w:r>
        <w:t>Este programa representa el punto de entrada al ecosistema institucional de Global Effect y constituye su principal mecanismo de alcance masivo. Implementado en liceos públicos de La Vega, se dirige a estudiantes de los últimos años del bachillerato e impacta, según datos de la organización, a miles de jóvenes anualmente.</w:t>
      </w:r>
    </w:p>
    <w:p w14:paraId="6C650CF1" w14:textId="77777777" w:rsidR="00B7716E" w:rsidRDefault="00000000">
      <w:pPr>
        <w:spacing w:after="200" w:line="360" w:lineRule="auto"/>
        <w:jc w:val="both"/>
      </w:pPr>
      <w:r>
        <w:t>El programa centra su acción pedagógica en el fortalecimiento del carácter, la formación en valores cívicos y éticos, el desarrollo de habilidades de liderazgo y la construcción de una identidad personal sólida. Además de su impacto formativo directo, el programa funciona como un sistema de identificación y reclutamiento de futuros beneficiarios para los demás programas de la fundación, seleccionando a aquellos jóvenes que demuestran mayor potencial académico y liderazgo.</w:t>
      </w:r>
    </w:p>
    <w:p w14:paraId="7BAE7D89" w14:textId="77777777" w:rsidR="00B7716E" w:rsidRDefault="00000000">
      <w:pPr>
        <w:pStyle w:val="Ttulo2"/>
      </w:pPr>
      <w:r>
        <w:lastRenderedPageBreak/>
        <w:t>3.2 Academia de Liderazgo</w:t>
      </w:r>
    </w:p>
    <w:p w14:paraId="7012DC4A" w14:textId="77777777" w:rsidR="00B7716E" w:rsidRDefault="00000000">
      <w:pPr>
        <w:spacing w:after="160" w:line="360" w:lineRule="auto"/>
        <w:jc w:val="both"/>
      </w:pPr>
      <w:r>
        <w:t>La Academia de Liderazgo constituye el segundo nivel del sistema formativo de Global Effect y representa una instancia de alta selectividad. Con una duración aproximada de nueve a diez meses, este programa recibe a los estudiantes más sobresalientes de los liceos participantes, seleccionando aproximadamente sesenta jóvenes por cohorte, con base en criterios de rendimiento académico y condición socioeconómica.</w:t>
      </w:r>
    </w:p>
    <w:p w14:paraId="1E99F5E6" w14:textId="77777777" w:rsidR="00B7716E" w:rsidRDefault="00000000">
      <w:pPr>
        <w:spacing w:after="200" w:line="360" w:lineRule="auto"/>
        <w:jc w:val="both"/>
      </w:pPr>
      <w:r>
        <w:t>La formación ofrecida es intensiva y abarca el desarrollo del liderazgo personal y comunitario, la consolidación de valores y la preparación para el ingreso a la educación superior. En términos funcionales, la Academia actúa como un puente estratégico entre la educación secundaria pública y las oportunidades de formación universitaria y técnica patrocinadas por la fundación.</w:t>
      </w:r>
    </w:p>
    <w:p w14:paraId="137B4B81" w14:textId="77777777" w:rsidR="00B7716E" w:rsidRDefault="00000000">
      <w:pPr>
        <w:pStyle w:val="Ttulo2"/>
      </w:pPr>
      <w:r>
        <w:t>3.3 Programa de Becas Universitarias</w:t>
      </w:r>
    </w:p>
    <w:p w14:paraId="7C0C4A42" w14:textId="77777777" w:rsidR="00B7716E" w:rsidRDefault="00000000">
      <w:pPr>
        <w:spacing w:after="160" w:line="360" w:lineRule="auto"/>
        <w:jc w:val="both"/>
      </w:pPr>
      <w:r>
        <w:t>Quienes completan exitosamente la Academia de Liderazgo acceden a la posibilidad de recibir becas universitarias que cubren, de forma parcial o total, los gastos asociados a su formación superior. Este programa incluye un robusto sistema de seguimiento académico, la participación obligatoria en actividades institucionales y el acceso continuo a servicios de apoyo psicológico.</w:t>
      </w:r>
    </w:p>
    <w:p w14:paraId="7E89C13B" w14:textId="77777777" w:rsidR="00B7716E" w:rsidRDefault="00000000">
      <w:pPr>
        <w:spacing w:after="200" w:line="360" w:lineRule="auto"/>
        <w:jc w:val="both"/>
      </w:pPr>
      <w:r>
        <w:t>Un elemento diferenciador del modelo es el sistema de patrocinio individual o grupal. Los patrocinadores —personas particulares, iglesias, organizaciones y grupos de apoyo internacionales— asumen la responsabilidad financiera de uno o más estudiantes y reciben informes periódicos sobre su progreso. Este mecanismo no solo asegura la viabilidad financiera del programa, sino que genera vínculos de responsabilidad y solidaridad transnacional que fortalecen el tejido institucional de la fundación.</w:t>
      </w:r>
    </w:p>
    <w:p w14:paraId="05C6ECFF" w14:textId="77777777" w:rsidR="00B7716E" w:rsidRDefault="00000000">
      <w:pPr>
        <w:pStyle w:val="Ttulo2"/>
      </w:pPr>
      <w:r>
        <w:t>3.4 Programa de Becas Técnicas (Career Institute)</w:t>
      </w:r>
    </w:p>
    <w:p w14:paraId="3B7EB027" w14:textId="77777777" w:rsidR="00B7716E" w:rsidRDefault="00000000">
      <w:pPr>
        <w:spacing w:after="160" w:line="360" w:lineRule="auto"/>
        <w:jc w:val="both"/>
      </w:pPr>
      <w:r>
        <w:t>Reconociendo la diversidad de trayectorias vitales y educativas de sus beneficiarios, Global Effect ofrece un programa de formación técnica con una duración aproximada de quince meses. Las áreas de especialización incluyen inglés, secretariado ejecutivo, contabilidad e informática y soporte técnico, representando áreas de alta demanda en el mercado laboral dominicano.</w:t>
      </w:r>
    </w:p>
    <w:p w14:paraId="0638A6E2" w14:textId="77777777" w:rsidR="00B7716E" w:rsidRDefault="00000000">
      <w:pPr>
        <w:spacing w:after="200" w:line="360" w:lineRule="auto"/>
        <w:jc w:val="both"/>
      </w:pPr>
      <w:r>
        <w:t xml:space="preserve">Más allá de la capacitación técnica, el programa integra formación en liderazgo, desarrollo del carácter y acompañamiento espiritual, coherente con el enfoque holístico que caracteriza a la fundación. Este modelo resulta consistente con los enfoques de educación técnica y vocacional </w:t>
      </w:r>
      <w:r>
        <w:lastRenderedPageBreak/>
        <w:t>(TVET, por sus siglas en inglés) que la UNESCO ha promovido como herramienta estratégica para la reducción de la pobreza y la inserción laboral digna.</w:t>
      </w:r>
    </w:p>
    <w:p w14:paraId="4666CFFE" w14:textId="77777777" w:rsidR="00B7716E" w:rsidRDefault="00000000">
      <w:pPr>
        <w:pStyle w:val="Ttulo2"/>
      </w:pPr>
      <w:r>
        <w:t>3.5 Programa Infantil Comunitario</w:t>
      </w:r>
    </w:p>
    <w:p w14:paraId="71461D56" w14:textId="77777777" w:rsidR="00B7716E" w:rsidRDefault="00000000">
      <w:pPr>
        <w:spacing w:after="160" w:line="360" w:lineRule="auto"/>
        <w:jc w:val="both"/>
      </w:pPr>
      <w:r>
        <w:t>Este programa, desarrollado en los sectores de mayor vulnerabilidad social de la región, atiende a niños en edad escolar con el objetivo de reforzar su aprendizaje, enseñar valores y mantenerlos en entornos seguros, reduciendo así su exposición a violencia, drogas y actividades delictivas. El programa contempla además la provisión de meriendas y apoyo alimentario, atendiendo la inseguridad alimentaria como factor condicionante del rendimiento escolar.</w:t>
      </w:r>
    </w:p>
    <w:p w14:paraId="29E052D2" w14:textId="77777777" w:rsidR="00B7716E" w:rsidRDefault="00000000">
      <w:pPr>
        <w:spacing w:after="200" w:line="360" w:lineRule="auto"/>
        <w:jc w:val="both"/>
      </w:pPr>
      <w:r>
        <w:t>Desde una perspectiva teórica, este programa se alinea con la evidencia empírica sobre la importancia de la intervención temprana en el desarrollo infantil, ampliamente documentada por investigadores como James Heckman, quien ha demostrado que las inversiones en la primera infancia generan los mayores retornos sociales y económicos a largo plazo.</w:t>
      </w:r>
    </w:p>
    <w:p w14:paraId="1DD60F65" w14:textId="77777777" w:rsidR="00B7716E" w:rsidRDefault="00000000">
      <w:pPr>
        <w:pStyle w:val="Ttulo1"/>
      </w:pPr>
      <w:r>
        <w:t>4. Servicios de Apoyo Integral al Estudiante</w:t>
      </w:r>
    </w:p>
    <w:p w14:paraId="381945A5" w14:textId="77777777" w:rsidR="00B7716E" w:rsidRDefault="00000000">
      <w:pPr>
        <w:spacing w:after="200" w:line="360" w:lineRule="auto"/>
        <w:jc w:val="both"/>
      </w:pPr>
      <w:r>
        <w:t>Una de las fortalezas institucionales más notables de Global Effect es la integración de servicios de apoyo que buscan eliminar las barreras no académicas que impiden la culminación de los estudios en contextos de pobreza. Estos servicios comprenden cuatro dimensiones fundamentales.</w:t>
      </w:r>
    </w:p>
    <w:p w14:paraId="3C91AE5F" w14:textId="77777777" w:rsidR="00B7716E" w:rsidRDefault="00000000">
      <w:pPr>
        <w:pStyle w:val="Ttulo2"/>
      </w:pPr>
      <w:r>
        <w:t>4.1 Departamento de Psicología</w:t>
      </w:r>
    </w:p>
    <w:p w14:paraId="3BDB4DC6" w14:textId="77777777" w:rsidR="00B7716E" w:rsidRDefault="00000000">
      <w:pPr>
        <w:spacing w:after="160" w:line="360" w:lineRule="auto"/>
        <w:jc w:val="both"/>
      </w:pPr>
      <w:r>
        <w:t>El Departamento de Psicología representa uno de los componentes más significativos y diferenciadores de la fundación. Sus funciones abarcan evaluaciones psicológicas, terapias individuales, seguimiento emocional, gestión de expedientes, apoyo familiar e intervenciones en situaciones de riesgo. La asistencia periódica a consultas psicológicas forma parte de los requisitos del programa de becas universitarias, lo que refleja una comprensión institucional de la salud mental como condición para el éxito académico.</w:t>
      </w:r>
    </w:p>
    <w:p w14:paraId="674387E8" w14:textId="77777777" w:rsidR="00B7716E" w:rsidRDefault="00000000">
      <w:pPr>
        <w:spacing w:after="200" w:line="360" w:lineRule="auto"/>
        <w:jc w:val="both"/>
      </w:pPr>
      <w:r>
        <w:t>Esta apuesta por la atención psicológica sistemática resulta particularmente relevante en el contexto dominicano, donde el acceso a servicios de salud mental es escaso y estigmatizado, y donde muchos de los jóvenes beneficiarios provienen de entornos marcados por traumas, disfunciones familiares y exposición a la violencia.</w:t>
      </w:r>
    </w:p>
    <w:p w14:paraId="24C1CD76" w14:textId="77777777" w:rsidR="00B7716E" w:rsidRDefault="00000000">
      <w:pPr>
        <w:pStyle w:val="Ttulo2"/>
      </w:pPr>
      <w:r>
        <w:lastRenderedPageBreak/>
        <w:t>4.2 Programa de Vivienda Estudiantil</w:t>
      </w:r>
    </w:p>
    <w:p w14:paraId="39F3FD36" w14:textId="77777777" w:rsidR="00B7716E" w:rsidRDefault="00000000">
      <w:pPr>
        <w:spacing w:after="200" w:line="360" w:lineRule="auto"/>
        <w:jc w:val="both"/>
      </w:pPr>
      <w:r>
        <w:t>La fundación dispone de un programa de alojamiento gratuito para estudiantes universitarios seleccionados que provienen de entornos conflictivos o inseguros. Esta provisión reconoce que la estabilidad habitacional es una precondición para la concentración académica y el desarrollo personal. La vivienda estudiantil no solo ofrece un espacio físico seguro, sino que contribuye a la construcción de una comunidad de aprendizaje con normas y valores compartidos.</w:t>
      </w:r>
    </w:p>
    <w:p w14:paraId="6045D62F" w14:textId="77777777" w:rsidR="00B7716E" w:rsidRDefault="00000000">
      <w:pPr>
        <w:pStyle w:val="Ttulo2"/>
      </w:pPr>
      <w:r>
        <w:t>4.3 Programa de Alimentación y Transporte</w:t>
      </w:r>
    </w:p>
    <w:p w14:paraId="7236B38B" w14:textId="77777777" w:rsidR="00B7716E" w:rsidRDefault="00000000">
      <w:pPr>
        <w:spacing w:after="200" w:line="360" w:lineRule="auto"/>
        <w:jc w:val="both"/>
      </w:pPr>
      <w:r>
        <w:t>El apoyo alimentario, ofrecido mediante un servicio de almuerzo con registro previo de asistencia, y el acceso a mecanismos de transporte estudiantil, completan el sistema de eliminación de barreras. Ambos servicios reducen de forma directa los costos asociados a la permanencia en el sistema educativo, factor crítico en contextos de pobreza donde el costo de oportunidad de estudiar es elevado.</w:t>
      </w:r>
    </w:p>
    <w:p w14:paraId="3792DFF8" w14:textId="77777777" w:rsidR="00B7716E" w:rsidRDefault="00000000">
      <w:pPr>
        <w:pStyle w:val="Ttulo2"/>
      </w:pPr>
      <w:r>
        <w:t>4.4 Oficina de Estudio y Centro de Recursos</w:t>
      </w:r>
    </w:p>
    <w:p w14:paraId="18A70C55" w14:textId="77777777" w:rsidR="00B7716E" w:rsidRDefault="00000000">
      <w:pPr>
        <w:spacing w:after="200" w:line="360" w:lineRule="auto"/>
        <w:jc w:val="both"/>
      </w:pPr>
      <w:r>
        <w:t>La sede de la fundación funciona también como un centro de estudio, espacio de reuniones y área de trabajo académico. Este recurso es de especial relevancia para estudiantes cuyos hogares no ofrecen condiciones adecuadas para el estudio, dotándolos de un entorno propicio para el aprendizaje autónomo y el trabajo colaborativo.</w:t>
      </w:r>
    </w:p>
    <w:p w14:paraId="5B90C72F" w14:textId="77777777" w:rsidR="00B7716E" w:rsidRDefault="00000000">
      <w:pPr>
        <w:pStyle w:val="Ttulo1"/>
      </w:pPr>
      <w:r>
        <w:t>5. Dimensión Comunitaria e Internacional</w:t>
      </w:r>
    </w:p>
    <w:p w14:paraId="5C3639A7" w14:textId="77777777" w:rsidR="00B7716E" w:rsidRDefault="00000000">
      <w:pPr>
        <w:spacing w:after="160" w:line="360" w:lineRule="auto"/>
        <w:jc w:val="both"/>
      </w:pPr>
      <w:r>
        <w:t>Global Effect trasciende la acción educativa individual para proyectarse sobre la comunidad en su conjunto. La organización recibe regularmente grupos misioneros internacionales provenientes, principalmente, de Estados Unidos y Canadá, vinculados a iglesias y organizaciones asociadas. Estos grupos participan en actividades de distribución de filtros de agua, atención infantil, conferencias, evangelización, proyectos comunitarios y capacitación a iglesias locales.</w:t>
      </w:r>
    </w:p>
    <w:p w14:paraId="274EA4DE" w14:textId="77777777" w:rsidR="00B7716E" w:rsidRDefault="00000000">
      <w:pPr>
        <w:spacing w:after="200" w:line="360" w:lineRule="auto"/>
        <w:jc w:val="both"/>
      </w:pPr>
      <w:r>
        <w:t>Esta dimensión internacional aporta recursos financieros y humanos, pero también contribuye a la construcción de redes de solidaridad transnacional que amplían la visibilidad y la sostenibilidad de la organización. Desde una óptica académica, este modelo de cooperación norte-sur mediada por la fe comparte elementos con los paradigmas de la cooperación para el desarrollo basada en las organizaciones de la sociedad civil, en la que las relaciones de confianza y los valores compartidos reducen los costos de coordinación e incrementan la eficacia de la ayuda.</w:t>
      </w:r>
    </w:p>
    <w:p w14:paraId="0F17B364" w14:textId="77777777" w:rsidR="00B7716E" w:rsidRDefault="00000000">
      <w:pPr>
        <w:pStyle w:val="Ttulo1"/>
      </w:pPr>
      <w:r>
        <w:lastRenderedPageBreak/>
        <w:t>6. Estructura Organizacional y Gestión Institucional</w:t>
      </w:r>
    </w:p>
    <w:p w14:paraId="1B49B588" w14:textId="77777777" w:rsidR="00B7716E" w:rsidRDefault="00000000">
      <w:pPr>
        <w:spacing w:after="160" w:line="360" w:lineRule="auto"/>
        <w:jc w:val="both"/>
      </w:pPr>
      <w:r>
        <w:t>La estructura organizacional de Global Effect refleja la diversidad y complejidad de sus programas. Sus unidades funcionales principales comprenden los siguientes departamentos y áreas:</w:t>
      </w:r>
    </w:p>
    <w:p w14:paraId="75C5F0B4" w14:textId="77777777" w:rsidR="00B7716E" w:rsidRDefault="00000000">
      <w:pPr>
        <w:pStyle w:val="Prrafodelista"/>
        <w:numPr>
          <w:ilvl w:val="0"/>
          <w:numId w:val="2"/>
        </w:numPr>
        <w:spacing w:after="80"/>
      </w:pPr>
      <w:r>
        <w:t>Programa de Becados Universitarios</w:t>
      </w:r>
    </w:p>
    <w:p w14:paraId="45B0227A" w14:textId="77777777" w:rsidR="00B7716E" w:rsidRDefault="00000000">
      <w:pPr>
        <w:pStyle w:val="Prrafodelista"/>
        <w:numPr>
          <w:ilvl w:val="0"/>
          <w:numId w:val="2"/>
        </w:numPr>
        <w:spacing w:after="80"/>
      </w:pPr>
      <w:r>
        <w:t>Programa de Becados Técnicos (Career Institute)</w:t>
      </w:r>
    </w:p>
    <w:p w14:paraId="11276A2E" w14:textId="77777777" w:rsidR="00B7716E" w:rsidRDefault="00000000">
      <w:pPr>
        <w:pStyle w:val="Prrafodelista"/>
        <w:numPr>
          <w:ilvl w:val="0"/>
          <w:numId w:val="2"/>
        </w:numPr>
        <w:spacing w:after="80"/>
      </w:pPr>
      <w:r>
        <w:t>Programa Infantil Comunitario</w:t>
      </w:r>
    </w:p>
    <w:p w14:paraId="3021219B" w14:textId="77777777" w:rsidR="00B7716E" w:rsidRDefault="00000000">
      <w:pPr>
        <w:pStyle w:val="Prrafodelista"/>
        <w:numPr>
          <w:ilvl w:val="0"/>
          <w:numId w:val="2"/>
        </w:numPr>
        <w:spacing w:after="80"/>
      </w:pPr>
      <w:r>
        <w:t>Academia de Liderazgo y Reclutamiento</w:t>
      </w:r>
    </w:p>
    <w:p w14:paraId="0213084F" w14:textId="77777777" w:rsidR="00B7716E" w:rsidRDefault="00000000">
      <w:pPr>
        <w:pStyle w:val="Prrafodelista"/>
        <w:numPr>
          <w:ilvl w:val="0"/>
          <w:numId w:val="2"/>
        </w:numPr>
        <w:spacing w:after="80"/>
      </w:pPr>
      <w:r>
        <w:t>Departamento de Psicología</w:t>
      </w:r>
    </w:p>
    <w:p w14:paraId="2F327FBD" w14:textId="77777777" w:rsidR="00B7716E" w:rsidRDefault="00000000">
      <w:pPr>
        <w:pStyle w:val="Prrafodelista"/>
        <w:numPr>
          <w:ilvl w:val="0"/>
          <w:numId w:val="2"/>
        </w:numPr>
        <w:spacing w:after="80"/>
      </w:pPr>
      <w:r>
        <w:t>Departamento de Contabilidad y Gestión Financiera</w:t>
      </w:r>
    </w:p>
    <w:p w14:paraId="3F5B429D" w14:textId="77777777" w:rsidR="00B7716E" w:rsidRDefault="00000000">
      <w:pPr>
        <w:pStyle w:val="Prrafodelista"/>
        <w:numPr>
          <w:ilvl w:val="0"/>
          <w:numId w:val="2"/>
        </w:numPr>
        <w:spacing w:after="80"/>
      </w:pPr>
      <w:r>
        <w:t>Programa de Vivienda Estudiantil</w:t>
      </w:r>
    </w:p>
    <w:p w14:paraId="2B17606C" w14:textId="77777777" w:rsidR="00B7716E" w:rsidRDefault="00000000">
      <w:pPr>
        <w:pStyle w:val="Prrafodelista"/>
        <w:numPr>
          <w:ilvl w:val="0"/>
          <w:numId w:val="2"/>
        </w:numPr>
        <w:spacing w:after="80"/>
      </w:pPr>
      <w:r>
        <w:t>Programa de Alimentación y Bienestar</w:t>
      </w:r>
    </w:p>
    <w:p w14:paraId="3ADACB7A" w14:textId="77777777" w:rsidR="00B7716E" w:rsidRDefault="00000000">
      <w:pPr>
        <w:pStyle w:val="Prrafodelista"/>
        <w:numPr>
          <w:ilvl w:val="0"/>
          <w:numId w:val="2"/>
        </w:numPr>
        <w:spacing w:after="80"/>
      </w:pPr>
      <w:r>
        <w:t>Área de Misiones y Desarrollo Comunitario</w:t>
      </w:r>
    </w:p>
    <w:p w14:paraId="76BCE2A8" w14:textId="77777777" w:rsidR="00B7716E" w:rsidRDefault="00000000">
      <w:pPr>
        <w:spacing w:before="200" w:after="200" w:line="360" w:lineRule="auto"/>
        <w:jc w:val="both"/>
      </w:pPr>
      <w:r>
        <w:t>El Departamento de Contabilidad asume la responsabilidad del control financiero, la elaboración de presupuestos, la gestión de donaciones, el control de gastos y la rendición de cuentas institucional frente a donantes y patrocinadores. Esta función es crítica para el mantenimiento de la confianza institucional y la sostenibilidad financiera de la organización.</w:t>
      </w:r>
    </w:p>
    <w:p w14:paraId="475030FB" w14:textId="77777777" w:rsidR="00B7716E" w:rsidRDefault="00000000">
      <w:pPr>
        <w:pStyle w:val="Ttulo1"/>
      </w:pPr>
      <w:r>
        <w:t>7. Análisis y Valoración Crítica</w:t>
      </w:r>
    </w:p>
    <w:p w14:paraId="6A73E107" w14:textId="77777777" w:rsidR="00B7716E" w:rsidRDefault="00000000">
      <w:pPr>
        <w:spacing w:after="200" w:line="360" w:lineRule="auto"/>
        <w:jc w:val="both"/>
      </w:pPr>
      <w:r>
        <w:t>Desde una perspectiva analítica, el modelo institucional de Global Effect presenta varias fortalezas destacadas. En primer lugar, su enfoque sistémico e integral permite abordar la pobreza en sus múltiples dimensiones, evitando la fragmentación que caracteriza a muchas intervenciones sociales. La articulación entre formación en valores, educación formal, apoyo psicológico, vivienda y alimentación genera sinergias que incrementan la probabilidad de que los beneficiarios completen sus trayectorias educativas.</w:t>
      </w:r>
    </w:p>
    <w:p w14:paraId="7A8CAD32" w14:textId="77777777" w:rsidR="00B7716E" w:rsidRDefault="00000000">
      <w:pPr>
        <w:spacing w:after="200" w:line="360" w:lineRule="auto"/>
        <w:jc w:val="both"/>
      </w:pPr>
      <w:r>
        <w:t>En segundo lugar, el sistema de selección progresiva —que va desde el programa Habitudes en liceos públicos hasta las becas universitarias— garantiza que los recursos sean asignados a los jóvenes con mayor potencial y mayor necesidad, maximizando el impacto social de la inversión. En tercer lugar, el componente espiritual y de formación del carácter dota a los beneficiarios de recursos internos —motivación, esperanza, sentido de propósito— que la literatura sobre capital psicológico reconoce como factores predictores del éxito en contextos adversos.</w:t>
      </w:r>
    </w:p>
    <w:p w14:paraId="01DD4756" w14:textId="77777777" w:rsidR="00B7716E" w:rsidRDefault="00000000">
      <w:pPr>
        <w:spacing w:after="200" w:line="360" w:lineRule="auto"/>
        <w:jc w:val="both"/>
      </w:pPr>
      <w:r>
        <w:lastRenderedPageBreak/>
        <w:t>Como consideración para el fortalecimiento institucional, sería valioso que la fundación sistematice y publique datos de seguimiento a largo plazo sobre la inserción laboral y el impacto comunitario de sus egresados, lo cual contribuiría tanto a la rendición de cuentas como a la generación de evidencia sobre la efectividad del modelo para la comunidad académica y de política pública.</w:t>
      </w:r>
    </w:p>
    <w:p w14:paraId="21065E93" w14:textId="77777777" w:rsidR="00B7716E" w:rsidRDefault="00000000">
      <w:pPr>
        <w:pStyle w:val="Ttulo1"/>
      </w:pPr>
      <w:r>
        <w:t>8. Conclusiones</w:t>
      </w:r>
    </w:p>
    <w:p w14:paraId="0C66E6F4" w14:textId="77777777" w:rsidR="00B7716E" w:rsidRDefault="00000000">
      <w:pPr>
        <w:spacing w:after="200" w:line="360" w:lineRule="auto"/>
        <w:jc w:val="both"/>
      </w:pPr>
      <w:r>
        <w:t>La Fundación Global Effect representa un modelo de intervención social que merece atención académica y reconocimiento institucional. Su diseño programático demuestra una comprensión profunda de las causas multidimensionales de la pobreza y una apuesta coherente por intervenciones que fortalecen las capacidades humanas en lugar de limitarse a la provisión asistencial.</w:t>
      </w:r>
    </w:p>
    <w:p w14:paraId="62B6D5F0" w14:textId="77777777" w:rsidR="00B7716E" w:rsidRDefault="00000000">
      <w:pPr>
        <w:spacing w:after="360" w:line="360" w:lineRule="auto"/>
        <w:jc w:val="both"/>
      </w:pPr>
      <w:r>
        <w:t>La combinación de alcance masivo a través del programa Habitudes, formación intensiva en la Academia de Liderazgo, becas universitarias y técnicas con acompañamiento integral, y proyectos de impacto comunitario, configura un ecosistema institucional que actúa simultáneamente en múltiples niveles del cambio social. Este modelo, sustentado en alianzas internacionales y en una sólida base comunitaria local, constituye una referencia relevante para el estudio de las organizaciones de la sociedad civil en el contexto del Caribe hispanohablante.</w:t>
      </w:r>
    </w:p>
    <w:p w14:paraId="1B3A33FA" w14:textId="77777777" w:rsidR="00B7716E" w:rsidRDefault="00000000">
      <w:pPr>
        <w:pStyle w:val="Ttulo1"/>
      </w:pPr>
      <w:r>
        <w:t>Referencias Bibliográficas</w:t>
      </w:r>
    </w:p>
    <w:p w14:paraId="22E8C4DB" w14:textId="77777777" w:rsidR="00B7716E" w:rsidRPr="007D0D43" w:rsidRDefault="00000000">
      <w:pPr>
        <w:spacing w:after="140" w:line="320" w:lineRule="auto"/>
        <w:ind w:left="720" w:hanging="720"/>
        <w:jc w:val="both"/>
        <w:rPr>
          <w:lang w:val="en-US"/>
        </w:rPr>
      </w:pPr>
      <w:r>
        <w:rPr>
          <w:sz w:val="22"/>
          <w:szCs w:val="22"/>
        </w:rPr>
        <w:t xml:space="preserve">Heckman, J. J. (2006). </w:t>
      </w:r>
      <w:r w:rsidRPr="007D0D43">
        <w:rPr>
          <w:sz w:val="22"/>
          <w:szCs w:val="22"/>
          <w:lang w:val="en-US"/>
        </w:rPr>
        <w:t>Skill formation and the economics of investing in disadvantaged children. Science, 312(5782), 1900–1902.</w:t>
      </w:r>
    </w:p>
    <w:p w14:paraId="56D4C087" w14:textId="77777777" w:rsidR="00B7716E" w:rsidRPr="007D0D43" w:rsidRDefault="00000000">
      <w:pPr>
        <w:spacing w:after="140" w:line="320" w:lineRule="auto"/>
        <w:ind w:left="720" w:hanging="720"/>
        <w:jc w:val="both"/>
        <w:rPr>
          <w:lang w:val="en-US"/>
        </w:rPr>
      </w:pPr>
      <w:r w:rsidRPr="007D0D43">
        <w:rPr>
          <w:sz w:val="22"/>
          <w:szCs w:val="22"/>
          <w:lang w:val="en-US"/>
        </w:rPr>
        <w:t>Sen, A. (2000). Development as freedom. Anchor Books.</w:t>
      </w:r>
    </w:p>
    <w:p w14:paraId="3AEAD302" w14:textId="77777777" w:rsidR="00B7716E" w:rsidRDefault="00000000">
      <w:pPr>
        <w:spacing w:after="140" w:line="320" w:lineRule="auto"/>
        <w:ind w:left="720" w:hanging="720"/>
        <w:jc w:val="both"/>
      </w:pPr>
      <w:r w:rsidRPr="007D0D43">
        <w:rPr>
          <w:sz w:val="22"/>
          <w:szCs w:val="22"/>
          <w:lang w:val="en-US"/>
        </w:rPr>
        <w:t xml:space="preserve">UNESCO. (2015). Rethinking education: Towards a global common good? </w:t>
      </w:r>
      <w:r>
        <w:rPr>
          <w:sz w:val="22"/>
          <w:szCs w:val="22"/>
        </w:rPr>
        <w:t>UNESCO Publishing.</w:t>
      </w:r>
    </w:p>
    <w:p w14:paraId="5DADD701" w14:textId="77777777" w:rsidR="00B7716E" w:rsidRPr="007D0D43" w:rsidRDefault="00000000">
      <w:pPr>
        <w:spacing w:after="140" w:line="320" w:lineRule="auto"/>
        <w:ind w:left="720" w:hanging="720"/>
        <w:jc w:val="both"/>
        <w:rPr>
          <w:lang w:val="en-US"/>
        </w:rPr>
      </w:pPr>
      <w:r>
        <w:rPr>
          <w:sz w:val="22"/>
          <w:szCs w:val="22"/>
        </w:rPr>
        <w:t xml:space="preserve">Global Effect. (2025). Información institucional y descripción de programas. </w:t>
      </w:r>
      <w:r w:rsidRPr="007D0D43">
        <w:rPr>
          <w:sz w:val="22"/>
          <w:szCs w:val="22"/>
          <w:lang w:val="en-US"/>
        </w:rPr>
        <w:t>Documento interno.</w:t>
      </w:r>
    </w:p>
    <w:p w14:paraId="711E350D" w14:textId="77777777" w:rsidR="00B7716E" w:rsidRPr="007D0D43" w:rsidRDefault="00000000">
      <w:pPr>
        <w:spacing w:after="140" w:line="320" w:lineRule="auto"/>
        <w:ind w:left="720" w:hanging="720"/>
        <w:jc w:val="both"/>
        <w:rPr>
          <w:lang w:val="en-US"/>
        </w:rPr>
      </w:pPr>
      <w:r w:rsidRPr="007D0D43">
        <w:rPr>
          <w:sz w:val="22"/>
          <w:szCs w:val="22"/>
          <w:lang w:val="en-US"/>
        </w:rPr>
        <w:t>ul Haq, M. (1990). Human development report. United Nations Development Programme (UNDP).</w:t>
      </w:r>
    </w:p>
    <w:sectPr w:rsidR="00B7716E" w:rsidRPr="007D0D43">
      <w:headerReference w:type="default" r:id="rId7"/>
      <w:footerReference w:type="default" r:id="rId8"/>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8ED3A" w14:textId="77777777" w:rsidR="00DF35A7" w:rsidRDefault="00DF35A7">
      <w:r>
        <w:separator/>
      </w:r>
    </w:p>
  </w:endnote>
  <w:endnote w:type="continuationSeparator" w:id="0">
    <w:p w14:paraId="134A3FF0" w14:textId="77777777" w:rsidR="00DF35A7" w:rsidRDefault="00DF35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8C6AE" w14:textId="77777777" w:rsidR="00B7716E" w:rsidRDefault="00000000">
    <w:pPr>
      <w:pBdr>
        <w:top w:val="single" w:sz="2" w:space="4" w:color="CCCCCC"/>
      </w:pBdr>
      <w:jc w:val="center"/>
    </w:pPr>
    <w:r>
      <w:rPr>
        <w:rFonts w:ascii="Arial" w:eastAsia="Arial" w:hAnsi="Arial" w:cs="Arial"/>
        <w:color w:val="999999"/>
        <w:sz w:val="16"/>
        <w:szCs w:val="16"/>
      </w:rPr>
      <w:t xml:space="preserve">Documento Académico — Global Effect, La Vega, República Dominicana  |  Página </w:t>
    </w:r>
    <w:r>
      <w:rPr>
        <w:rFonts w:ascii="Arial" w:eastAsia="Arial" w:hAnsi="Arial" w:cs="Arial"/>
        <w:color w:val="999999"/>
        <w:sz w:val="16"/>
        <w:szCs w:val="16"/>
      </w:rPr>
      <w:fldChar w:fldCharType="begin"/>
    </w:r>
    <w:r>
      <w:rPr>
        <w:rFonts w:ascii="Arial" w:eastAsia="Arial" w:hAnsi="Arial" w:cs="Arial"/>
        <w:color w:val="999999"/>
        <w:sz w:val="16"/>
        <w:szCs w:val="16"/>
      </w:rPr>
      <w:instrText>PAGE</w:instrText>
    </w:r>
    <w:r>
      <w:rPr>
        <w:rFonts w:ascii="Arial" w:eastAsia="Arial" w:hAnsi="Arial" w:cs="Arial"/>
        <w:color w:val="999999"/>
        <w:sz w:val="16"/>
        <w:szCs w:val="16"/>
      </w:rPr>
      <w:fldChar w:fldCharType="separate"/>
    </w:r>
    <w:r w:rsidR="007D0D43">
      <w:rPr>
        <w:rFonts w:ascii="Arial" w:eastAsia="Arial" w:hAnsi="Arial" w:cs="Arial"/>
        <w:noProof/>
        <w:color w:val="999999"/>
        <w:sz w:val="16"/>
        <w:szCs w:val="16"/>
      </w:rPr>
      <w:t>1</w:t>
    </w:r>
    <w:r>
      <w:rPr>
        <w:rFonts w:ascii="Arial" w:eastAsia="Arial" w:hAnsi="Arial" w:cs="Arial"/>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2F0578" w14:textId="77777777" w:rsidR="00DF35A7" w:rsidRDefault="00DF35A7">
      <w:r>
        <w:separator/>
      </w:r>
    </w:p>
  </w:footnote>
  <w:footnote w:type="continuationSeparator" w:id="0">
    <w:p w14:paraId="638584C8" w14:textId="77777777" w:rsidR="00DF35A7" w:rsidRDefault="00DF35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AF849" w14:textId="77777777" w:rsidR="00B7716E" w:rsidRDefault="00000000">
    <w:pPr>
      <w:pBdr>
        <w:bottom w:val="single" w:sz="2" w:space="4" w:color="CCCCCC"/>
      </w:pBdr>
    </w:pPr>
    <w:r>
      <w:rPr>
        <w:rFonts w:ascii="Arial" w:eastAsia="Arial" w:hAnsi="Arial" w:cs="Arial"/>
        <w:color w:val="888888"/>
        <w:sz w:val="18"/>
        <w:szCs w:val="18"/>
      </w:rPr>
      <w:t>Análisis Institucional · Fundación Global Effect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24CAC"/>
    <w:multiLevelType w:val="hybridMultilevel"/>
    <w:tmpl w:val="399A2FD4"/>
    <w:lvl w:ilvl="0" w:tplc="497EBC82">
      <w:start w:val="1"/>
      <w:numFmt w:val="bullet"/>
      <w:lvlText w:val="•"/>
      <w:lvlJc w:val="left"/>
      <w:pPr>
        <w:ind w:left="720" w:hanging="360"/>
      </w:pPr>
    </w:lvl>
    <w:lvl w:ilvl="1" w:tplc="5A4A4922">
      <w:numFmt w:val="decimal"/>
      <w:lvlText w:val=""/>
      <w:lvlJc w:val="left"/>
    </w:lvl>
    <w:lvl w:ilvl="2" w:tplc="1C74DB2E">
      <w:numFmt w:val="decimal"/>
      <w:lvlText w:val=""/>
      <w:lvlJc w:val="left"/>
    </w:lvl>
    <w:lvl w:ilvl="3" w:tplc="31B8BEDA">
      <w:numFmt w:val="decimal"/>
      <w:lvlText w:val=""/>
      <w:lvlJc w:val="left"/>
    </w:lvl>
    <w:lvl w:ilvl="4" w:tplc="52FABA5A">
      <w:numFmt w:val="decimal"/>
      <w:lvlText w:val=""/>
      <w:lvlJc w:val="left"/>
    </w:lvl>
    <w:lvl w:ilvl="5" w:tplc="AAA28C28">
      <w:numFmt w:val="decimal"/>
      <w:lvlText w:val=""/>
      <w:lvlJc w:val="left"/>
    </w:lvl>
    <w:lvl w:ilvl="6" w:tplc="55D68A4C">
      <w:numFmt w:val="decimal"/>
      <w:lvlText w:val=""/>
      <w:lvlJc w:val="left"/>
    </w:lvl>
    <w:lvl w:ilvl="7" w:tplc="EFCC17EA">
      <w:numFmt w:val="decimal"/>
      <w:lvlText w:val=""/>
      <w:lvlJc w:val="left"/>
    </w:lvl>
    <w:lvl w:ilvl="8" w:tplc="C64CF7D8">
      <w:numFmt w:val="decimal"/>
      <w:lvlText w:val=""/>
      <w:lvlJc w:val="left"/>
    </w:lvl>
  </w:abstractNum>
  <w:abstractNum w:abstractNumId="1" w15:restartNumberingAfterBreak="0">
    <w:nsid w:val="796A175B"/>
    <w:multiLevelType w:val="hybridMultilevel"/>
    <w:tmpl w:val="846A671C"/>
    <w:lvl w:ilvl="0" w:tplc="FAA2CF44">
      <w:start w:val="1"/>
      <w:numFmt w:val="bullet"/>
      <w:lvlText w:val="●"/>
      <w:lvlJc w:val="left"/>
      <w:pPr>
        <w:ind w:left="720" w:hanging="360"/>
      </w:pPr>
    </w:lvl>
    <w:lvl w:ilvl="1" w:tplc="F2F0894E">
      <w:start w:val="1"/>
      <w:numFmt w:val="bullet"/>
      <w:lvlText w:val="○"/>
      <w:lvlJc w:val="left"/>
      <w:pPr>
        <w:ind w:left="1440" w:hanging="360"/>
      </w:pPr>
    </w:lvl>
    <w:lvl w:ilvl="2" w:tplc="DEA28F34">
      <w:start w:val="1"/>
      <w:numFmt w:val="bullet"/>
      <w:lvlText w:val="■"/>
      <w:lvlJc w:val="left"/>
      <w:pPr>
        <w:ind w:left="2160" w:hanging="360"/>
      </w:pPr>
    </w:lvl>
    <w:lvl w:ilvl="3" w:tplc="2C06454C">
      <w:start w:val="1"/>
      <w:numFmt w:val="bullet"/>
      <w:lvlText w:val="●"/>
      <w:lvlJc w:val="left"/>
      <w:pPr>
        <w:ind w:left="2880" w:hanging="360"/>
      </w:pPr>
    </w:lvl>
    <w:lvl w:ilvl="4" w:tplc="0B82CD1E">
      <w:start w:val="1"/>
      <w:numFmt w:val="bullet"/>
      <w:lvlText w:val="○"/>
      <w:lvlJc w:val="left"/>
      <w:pPr>
        <w:ind w:left="3600" w:hanging="360"/>
      </w:pPr>
    </w:lvl>
    <w:lvl w:ilvl="5" w:tplc="84EE33A8">
      <w:start w:val="1"/>
      <w:numFmt w:val="bullet"/>
      <w:lvlText w:val="■"/>
      <w:lvlJc w:val="left"/>
      <w:pPr>
        <w:ind w:left="4320" w:hanging="360"/>
      </w:pPr>
    </w:lvl>
    <w:lvl w:ilvl="6" w:tplc="02F85C7C">
      <w:start w:val="1"/>
      <w:numFmt w:val="bullet"/>
      <w:lvlText w:val="●"/>
      <w:lvlJc w:val="left"/>
      <w:pPr>
        <w:ind w:left="5040" w:hanging="360"/>
      </w:pPr>
    </w:lvl>
    <w:lvl w:ilvl="7" w:tplc="7EAE73B0">
      <w:start w:val="1"/>
      <w:numFmt w:val="bullet"/>
      <w:lvlText w:val="●"/>
      <w:lvlJc w:val="left"/>
      <w:pPr>
        <w:ind w:left="5760" w:hanging="360"/>
      </w:pPr>
    </w:lvl>
    <w:lvl w:ilvl="8" w:tplc="91B68B38">
      <w:start w:val="1"/>
      <w:numFmt w:val="bullet"/>
      <w:lvlText w:val="●"/>
      <w:lvlJc w:val="left"/>
      <w:pPr>
        <w:ind w:left="6480" w:hanging="360"/>
      </w:pPr>
    </w:lvl>
  </w:abstractNum>
  <w:num w:numId="1" w16cid:durableId="1891649786">
    <w:abstractNumId w:val="1"/>
    <w:lvlOverride w:ilvl="0">
      <w:startOverride w:val="1"/>
    </w:lvlOverride>
  </w:num>
  <w:num w:numId="2" w16cid:durableId="4441596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16E"/>
    <w:rsid w:val="00063416"/>
    <w:rsid w:val="005213A6"/>
    <w:rsid w:val="007D0D43"/>
    <w:rsid w:val="00B7716E"/>
    <w:rsid w:val="00DF35A7"/>
  </w:rsids>
  <m:mathPr>
    <m:mathFont m:val="Cambria Math"/>
    <m:brkBin m:val="before"/>
    <m:brkBinSub m:val="--"/>
    <m:smallFrac m:val="0"/>
    <m:dispDef/>
    <m:lMargin m:val="0"/>
    <m:rMargin m:val="0"/>
    <m:defJc m:val="centerGroup"/>
    <m:wrapIndent m:val="1440"/>
    <m:intLim m:val="subSup"/>
    <m:naryLim m:val="undOvr"/>
  </m:mathPr>
  <w:themeFontLang w:val="es-DO"/>
  <w:clrSchemeMapping w:bg1="light1" w:t1="dark1" w:bg2="light2" w:t2="dark2" w:accent1="accent1" w:accent2="accent2" w:accent3="accent3" w:accent4="accent4" w:accent5="accent5" w:accent6="accent6" w:hyperlink="hyperlink" w:followedHyperlink="followedHyperlink"/>
  <w:decimalSymbol w:val="."/>
  <w:listSeparator w:val=";"/>
  <w14:docId w14:val="024488E8"/>
  <w15:docId w15:val="{9C943E20-A2D3-F146-91CA-FB66062EB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D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4" w:space="4" w:color="2E75B6"/>
      </w:pBdr>
      <w:spacing w:before="360" w:after="120"/>
      <w:outlineLvl w:val="0"/>
    </w:pPr>
    <w:rPr>
      <w:rFonts w:ascii="Arial" w:eastAsia="Arial" w:hAnsi="Arial" w:cs="Arial"/>
      <w:b/>
      <w:bCs/>
      <w:color w:val="1F3864"/>
      <w:sz w:val="30"/>
      <w:szCs w:val="30"/>
    </w:rPr>
  </w:style>
  <w:style w:type="paragraph" w:styleId="Ttulo2">
    <w:name w:val="heading 2"/>
    <w:uiPriority w:val="9"/>
    <w:unhideWhenUsed/>
    <w:qFormat/>
    <w:pPr>
      <w:spacing w:before="280" w:after="100"/>
      <w:outlineLvl w:val="1"/>
    </w:pPr>
    <w:rPr>
      <w:rFonts w:ascii="Arial" w:eastAsia="Arial" w:hAnsi="Arial" w:cs="Arial"/>
      <w:b/>
      <w:bCs/>
      <w:color w:val="2E75B6"/>
      <w:sz w:val="26"/>
      <w:szCs w:val="26"/>
    </w:rPr>
  </w:style>
  <w:style w:type="paragraph" w:styleId="Ttulo3">
    <w:name w:val="heading 3"/>
    <w:uiPriority w:val="9"/>
    <w:semiHidden/>
    <w:unhideWhenUsed/>
    <w:qFormat/>
    <w:pPr>
      <w:spacing w:before="200" w:after="80"/>
      <w:outlineLvl w:val="2"/>
    </w:pPr>
    <w:rPr>
      <w:rFonts w:ascii="Arial" w:eastAsia="Arial" w:hAnsi="Arial" w:cs="Arial"/>
      <w:b/>
      <w:bCs/>
      <w:color w:val="44444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2222</Words>
  <Characters>12226</Characters>
  <Application>Microsoft Office Word</Application>
  <DocSecurity>0</DocSecurity>
  <Lines>101</Lines>
  <Paragraphs>28</Paragraphs>
  <ScaleCrop>false</ScaleCrop>
  <Company/>
  <LinksUpToDate>false</LinksUpToDate>
  <CharactersWithSpaces>14420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Dauris Santana</cp:lastModifiedBy>
  <cp:revision>2</cp:revision>
  <dcterms:created xsi:type="dcterms:W3CDTF">2026-06-13T13:54:00Z</dcterms:created>
  <dcterms:modified xsi:type="dcterms:W3CDTF">2026-06-13T13:54:00Z</dcterms:modified>
</cp:coreProperties>
</file>