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716782" cy="4225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6782" cy="422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72b45"/>
          <w:sz w:val="52"/>
          <w:szCs w:val="52"/>
          <w:rtl w:val="0"/>
        </w:rPr>
        <w:t xml:space="preserve">Plan de Gestión de las 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30"/>
          <w:szCs w:val="30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tbl>
      <w:tblPr>
        <w:tblStyle w:val="Table1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David Arenas Márquez (frontend) · Amaru Rojas Justiniano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corte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24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2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417"/>
        <w:gridCol w:w="4762"/>
        <w:gridCol w:w="2268"/>
        <w:tblGridChange w:id="0">
          <w:tblGrid>
            <w:gridCol w:w="1134"/>
            <w:gridCol w:w="1417"/>
            <w:gridCol w:w="4762"/>
            <w:gridCol w:w="2268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del plan de comunicaciones.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sdt>
      <w:sdtPr>
        <w:id w:val="20062278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Canales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Matriz de comunicaciones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Reglas de comunicación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Escalamiento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Evaluación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Define qué información se comunica, a quién, con qué frecuencia, por qué canal y quién es responsable, para que los interesados reciban información oportuna y las decisiones queden registradas. Se basa en el análisis de la Documentación de Stakeholders.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2. Canales</w:t>
      </w:r>
    </w:p>
    <w:tbl>
      <w:tblPr>
        <w:tblStyle w:val="Table3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3628"/>
        <w:gridCol w:w="3402"/>
        <w:tblGridChange w:id="0">
          <w:tblGrid>
            <w:gridCol w:w="2551"/>
            <w:gridCol w:w="3628"/>
            <w:gridCol w:w="3402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Reunión semanal (miércoles, 17:00 a 17:30)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Presentar avances y plantear consultas con Karina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levanta acta; participan Karina, Amaru y David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Coordinación rápida y mensajes con Karina y 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es registro oficial; las decisiones relevantes se anotan en el 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Correo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Comunicación formal con la 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Conserva evidencia escrita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CoreStream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Registro del avance del proyecto ante Alloxentric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Proyecto “DAD_Aprueba Administración”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Google Drive y Notion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Repositorio de documentos y estado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Carpeta de documentación del proyecto y página “APRUEBA ADMIN”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Código, historial de cambios y ramas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Organización Aprueba-Administracion, repositorio Aprueba-Admin-Web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3. Matriz de comunicaciones</w:t>
      </w:r>
    </w:p>
    <w:tbl>
      <w:tblPr>
        <w:tblStyle w:val="Table4"/>
        <w:tblW w:w="95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7"/>
        <w:gridCol w:w="1587"/>
        <w:gridCol w:w="1530"/>
        <w:gridCol w:w="1360"/>
        <w:gridCol w:w="1247"/>
        <w:gridCol w:w="1757"/>
        <w:tblGridChange w:id="0">
          <w:tblGrid>
            <w:gridCol w:w="2097"/>
            <w:gridCol w:w="1587"/>
            <w:gridCol w:w="1530"/>
            <w:gridCol w:w="1360"/>
            <w:gridCol w:w="1247"/>
            <w:gridCol w:w="1757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Avance del sprint y demostración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Karina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y Amaru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Consultas al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Max, por medio de Karina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Según necesidad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Reunión o 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Acta y Resolución de conflictos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Karina y 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Cada 2 semanas o al cierre de un hito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Informe de Estado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Entregables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Según calendario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Correo o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Carpeta de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Alertas de riesgo o retraso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Karina y 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Inmediata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WhatsApp o correo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Quien lo detecte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Resolución de conflictos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Coordinación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Otros equipos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Semanal durante la integración (16 al 27/11/2026)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y Amaru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Sincronización interna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Diaria o según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y Amaru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Commits y tablero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Registro de avances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 cada épica cerrada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CoreStream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CoreStream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4. Reglas de comunicación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Trato formal con el patrocinador, tratándolo de usted.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decisiones y los acuerdos se anotan en el acta de la reunión del mismo día.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 consulta sin respuesta pasa por el proceso de escalamiento de la Resolución de conflictos.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se versionan y se guardan en la carpeta compartida con la fecha en el histórico.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acuerdo hecho por WhatsApp se confirma en el acta o por correo si afecta al alcance o a una entrega.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5. Escalamiento</w:t>
      </w:r>
    </w:p>
    <w:tbl>
      <w:tblPr>
        <w:tblStyle w:val="Table5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2948"/>
        <w:gridCol w:w="3969"/>
        <w:gridCol w:w="1644"/>
        <w:tblGridChange w:id="0">
          <w:tblGrid>
            <w:gridCol w:w="1020"/>
            <w:gridCol w:w="2948"/>
            <w:gridCol w:w="3969"/>
            <w:gridCol w:w="1644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Duda técnica o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Plantear a Karina en la reunión semanal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Siguiente miércoles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respuesta tras dos reuniones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 escrita a Max, con supuesto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respuesta al vencer el plazo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Adoptar el supuesto, documentarlo y avisar a Karina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Riesgo para un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Informar a la 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6. Evaluación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Cada dos semanas el equipo revisa si el plan funciona: si las consultas obtienen respuesta, si los acuerdos están registrados y si los interesados reciben la información a tiempo. Los ajustes se anotan en el histórico. Una debilidad ya detectada es la baja respuesta del patrocinador, que se aborda con el escalamiento del punto 5.</w:t>
      </w:r>
    </w:p>
    <w:sectPr>
      <w:footerReference r:id="rId8" w:type="default"/>
      <w:pgSz w:h="15840" w:w="12240" w:orient="portrait"/>
      <w:pgMar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Plan de Comunicaciones · Aprueba Administración · v1.0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80" w:lineRule="auto"/>
    </w:pPr>
    <w:rPr>
      <w:rFonts w:ascii="Calibri" w:cs="Calibri" w:eastAsia="Calibri" w:hAnsi="Calibri"/>
      <w:b w:val="1"/>
      <w:bCs w:val="1"/>
      <w:color w:val="172b45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2b4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2b4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UDVJrbyQco/GUD9V0jKQr7/MQ==">CgMxLjA4AHIhMV9pY0RZQUlwMXBfcFF2RG5JMEFRRmU3Ym5FeWtlb3ky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