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b/>
          <w:i w:val="0"/>
          <w:color w:val="172B45"/>
          <w:sz w:val="52"/>
        </w:rPr>
        <w:t>Resolución de Conflictos</w:t>
      </w:r>
    </w:p>
    <w:p>
      <w:pPr>
        <w:spacing w:after="480"/>
        <w:jc w:val="center"/>
      </w:pPr>
      <w:r>
        <w:rPr>
          <w:b w:val="0"/>
          <w:i w:val="0"/>
          <w:sz w:val="30"/>
        </w:rPr>
        <w:t>Registro de conflictos, supuestos y decisiones · Aprueba Administración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747"/>
      </w:tblGrid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Organización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Duoc UC. Escuela de Informática y Telecomunicaciones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004D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Docente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Luis Alberto Bravo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Patrocinador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Alloxentric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Product Owner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Karina Alvarez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Equipo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David Arenas Márquez (frontend) · Amaru Rojas Justiniano (backend)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Fecha de corte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24 de octubre de 2026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1.0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Histórico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417"/>
        <w:gridCol w:w="4762"/>
        <w:gridCol w:w="2268"/>
      </w:tblGrid>
      <w:tr>
        <w:trPr>
          <w:tblHeader w:val="true"/>
        </w:trPr>
        <w:tc>
          <w:tcPr>
            <w:tcW w:type="dxa" w:w="1134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762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226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Autor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24/10/2026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Primera versión: conflictos del proyecto, comunicación con el patrocinador, supuestos adoptados y acciones de resolución.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 y Amaru Rojas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24/10/2026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 incorporan las consultas concretas preparadas para Max (06/10/2026) y los pendientes que dependen de él, con el supuesto adoptado en cada caso.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 y Amaru Rojas</w:t>
            </w:r>
          </w:p>
        </w:tc>
      </w:tr>
    </w:tbl>
    <w:p>
      <w:pPr>
        <w:spacing w:after="40"/>
      </w:pPr>
    </w:p>
    <w:p>
      <w:pPr>
        <w:pStyle w:val="Heading1"/>
      </w:pPr>
      <w:r>
        <w:t>Tabla de contenido</w:t>
      </w:r>
    </w:p>
    <w:p>
      <w:r>
        <w:fldChar w:fldCharType="begin"/>
        <w:instrText xml:space="preserve"> TOC \o "1-2" \h \z \u </w:instrText>
        <w:fldChar w:fldCharType="separate"/>
        <w:t>Actualizar campo (clic derecho) para ver el índice.</w:t>
        <w:fldChar w:fldCharType="end"/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Este documento registra los conflictos y bloqueos que han afectado al proyecto Aprueba Administración, cómo se abordaron y qué quedó pendiente. Su foco principal es la falta de respuesta del representante del patrocinador (Max, de Alloxentric) a varias consultas del equipo, que obligó a tomar decisiones y supuestos propios para no detener el desarrollo. También recoge otros conflictos de alcance, de coordinación y técnicos.</w:t>
      </w:r>
    </w:p>
    <w:p>
      <w:r>
        <w:t>Se considera conflicto cualquier situación que bloquee o ponga en riesgo un entregable y requiera una decisión. Los hechos se registran sin atribuir culpas: el objetivo es dejar evidencia de qué se preguntó, qué se respondió y qué decidió el equipo.</w:t>
      </w:r>
    </w:p>
    <w:p>
      <w:pPr>
        <w:pStyle w:val="Heading1"/>
      </w:pPr>
      <w:r>
        <w:t>2. Partes involucradas y canales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118"/>
        <w:gridCol w:w="4195"/>
      </w:tblGrid>
      <w:tr>
        <w:trPr>
          <w:tblHeader w:val="true"/>
        </w:trPr>
        <w:tc>
          <w:tcPr>
            <w:tcW w:type="dxa" w:w="226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311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195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Canal de contacto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 Márquez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Desarrollador frontend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Reunión semanal, WhatsApp y correo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Amaru Rojas Justiniano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Desarrollador backend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Reunión semanal, WhatsApp y correo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Karina Alvarez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Product Owner; representante ante el patrocinador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Reunión semanal de los miércoles de 17:00 a 17:30 y mensajería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Max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Dueño de Alloxentric; define el modelo de datos y la API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hay contacto directo; las consultas se hacen a través de Karina. Contesta de forma esporádica por WhatsApp.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Luis Alberto Bravo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Docente de la sección 004D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Reuniones y correo institucional</w:t>
            </w:r>
          </w:p>
        </w:tc>
      </w:tr>
    </w:tbl>
    <w:p>
      <w:pPr>
        <w:spacing w:after="40"/>
      </w:pPr>
    </w:p>
    <w:p>
      <w:r>
        <w:t>Las consultas al patrocinador siguen siempre el mismo camino: el equipo las prepara, las plantea a Karina en la reunión de los miércoles o por mensajería, y ella las transmite a Max. El equipo se dirige a Max de forma formal.</w:t>
      </w:r>
    </w:p>
    <w:p>
      <w:pPr>
        <w:pStyle w:val="Heading1"/>
      </w:pPr>
      <w:r>
        <w:t>3. Resumen de conflictos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082"/>
        <w:gridCol w:w="1360"/>
        <w:gridCol w:w="3402"/>
      </w:tblGrid>
      <w:tr>
        <w:trPr>
          <w:tblHeader w:val="true"/>
        </w:trPr>
        <w:tc>
          <w:tcPr>
            <w:tcW w:type="dxa" w:w="737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82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Conflicto</w:t>
            </w:r>
          </w:p>
        </w:tc>
        <w:tc>
          <w:tcPr>
            <w:tcW w:type="dxa" w:w="1361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02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Resolución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C-01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 patrocinador no responde varias consultas del equipo</w:t>
            </w:r>
          </w:p>
        </w:tc>
        <w:tc>
          <w:tcPr>
            <w:tcW w:type="dxa" w:w="1361"/>
            <w:shd w:val="clear" w:color="auto" w:fill="F4CCCC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Abierto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Supuestos propios documentados; escalamiento por Karina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C-02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Alcance: consola completa vs. módulo Sponsors y Beneficios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Cumplido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Aclarado con la docente y Alloxentric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C-03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Costos del proyecto sin definición del patrocinador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Cumplido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 docente dejó el tema a criterio del equipo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C-04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Responsabilidad de la documentación para Duoc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Cumplido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Max dejó la documentación a cargo del equipo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C-05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Integración de módulos de otros equipos con entregas atrasadas</w:t>
            </w:r>
          </w:p>
        </w:tc>
        <w:tc>
          <w:tcPr>
            <w:tcW w:type="dxa" w:w="1361"/>
            <w:shd w:val="clear" w:color="auto" w:fill="F4CCCC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Abierto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Responsabilidad confirmada; falta definir el contrato de entrega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C-06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Limitaciones de las herramientas gratuitas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Emulador de Firestore y cuentas separadas de Vercel</w:t>
            </w:r>
          </w:p>
        </w:tc>
      </w:tr>
    </w:tbl>
    <w:p>
      <w:pPr>
        <w:spacing w:after="40"/>
      </w:pPr>
    </w:p>
    <w:p>
      <w:pPr>
        <w:pStyle w:val="Heading1"/>
      </w:pPr>
      <w:r>
        <w:t>4. C-01: falta de respuesta del patrocinador</w:t>
      </w:r>
    </w:p>
    <w:p>
      <w:pPr>
        <w:pStyle w:val="Heading2"/>
      </w:pPr>
      <w:r>
        <w:t>4.1 Descripción</w:t>
      </w:r>
    </w:p>
    <w:p>
      <w:r>
        <w:t>Alloxentric entregó la especificación formal de la API y del modelo de datos de Firestore (versión 1.0, septiembre de 2026), que el equipo debe seguir. Max no trabaja junto al equipo en el día a día: entregó los documentos y, desde entonces, varias consultas surgidas al implementarlos no han recibido respuesta. Dado que el equipo solo puede comunicarse con él a través de Karina, cada consulta depende de que ella la transmita y de que Max conteste.</w:t>
      </w:r>
    </w:p>
    <w:p>
      <w:pPr>
        <w:pStyle w:val="Heading2"/>
      </w:pPr>
      <w:r>
        <w:t>4.2 Cronología de la comunicación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30"/>
        <w:gridCol w:w="4365"/>
        <w:gridCol w:w="1757"/>
        <w:gridCol w:w="1927"/>
      </w:tblGrid>
      <w:tr>
        <w:trPr>
          <w:tblHeader w:val="true"/>
        </w:trPr>
        <w:tc>
          <w:tcPr>
            <w:tcW w:type="dxa" w:w="1531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365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Hecho</w:t>
            </w:r>
          </w:p>
        </w:tc>
        <w:tc>
          <w:tcPr>
            <w:tcW w:type="dxa" w:w="1757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92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Septiembre 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Alloxentric entrega la API y el modelo de datos de Firestore v1.0 y asigna como entrega prioritaria el módulo Sponsors y Beneficios (épica D-E4)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Documentos y reunión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Respuesta recibida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Septiembre 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 pide registrar el avance en CoreStream (plataforma de Alloxentric); se sube la épica DAD_19_1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Karina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Respuesta recibida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prepara el documento “Preguntas para la reunión”: 5 consultas prioritarias, 7 secundarias y un mensaje corto para Karina, para alinear la consola con el modelo de datos de Max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Documento interno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Enviado a Karina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07/10/2026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Las consultas prioritarias se plantean a Karina en la reunión semanal para que las transmita a Max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Reunión semanal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 respuesta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Octubre 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Max indica que la documentación para Duoc (diagrama de clases, mockups, plan de pruebas) queda a cargo de David y Amaru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Karina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Respuesta recibida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07/10/2026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 docente propone que el equipo integre los módulos de otros equipos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Reunión con la docente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Evaluado por el equipo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14/10/2026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Max confirma por WhatsApp que David y Amaru siguen como responsables de la integración; el equipo está listo y espera las entregas de los otros equipos, varios con poco avance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Respuesta recibida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21/10/2026</w:t>
            </w:r>
          </w:p>
        </w:tc>
        <w:tc>
          <w:tcPr>
            <w:tcW w:type="dxa" w:w="436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Revisión de pendientes: las decisiones que dependen de Max siguen abiertas (MFA TOTP, Express o FastAPI, Stripe y entornos de GCP, reglas e índices de Firestore, quién escribe los canjes)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Documento “Pendientes”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 respuesta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Por confirmar: la fecha y el medio exactos en que cada consulta llegó a Max, y si hubo respuestas parciales. Deben adjuntarse como evidencia las capturas de WhatsApp y el documento de preguntas.</w:t>
      </w:r>
    </w:p>
    <w:p>
      <w:pPr>
        <w:pStyle w:val="Heading2"/>
      </w:pPr>
      <w:r>
        <w:t>4.3 Respuestas recibidas del patrocinador</w:t>
      </w:r>
    </w:p>
    <w:p>
      <w:pPr>
        <w:pStyle w:val="ListBullet"/>
        <w:spacing w:after="40"/>
      </w:pPr>
      <w:r>
        <w:t>Entrega de los documentos de la API y del modelo de datos v1.0 (septiembre).</w:t>
      </w:r>
    </w:p>
    <w:p>
      <w:pPr>
        <w:pStyle w:val="ListBullet"/>
        <w:spacing w:after="40"/>
      </w:pPr>
      <w:r>
        <w:rPr>
          <w:b/>
        </w:rPr>
        <w:t xml:space="preserve">Definición de la entrega prioritaria: </w:t>
      </w:r>
      <w:r>
        <w:t>Sponsors y Beneficios.</w:t>
      </w:r>
    </w:p>
    <w:p>
      <w:pPr>
        <w:pStyle w:val="ListBullet"/>
        <w:spacing w:after="40"/>
      </w:pPr>
      <w:r>
        <w:t>Delegación de la documentación para Duoc al equipo.</w:t>
      </w:r>
    </w:p>
    <w:p>
      <w:pPr>
        <w:pStyle w:val="ListBullet"/>
        <w:spacing w:after="40"/>
      </w:pPr>
      <w:r>
        <w:t>Confirmación del 14/10/2026 de que David y Amaru siguen como responsables de la integración de módulos.</w:t>
      </w:r>
    </w:p>
    <w:p>
      <w:r>
        <w:t>Las respuestas se concentran en la entrega de documentos y en confirmaciones generales. Las consultas técnicas y de negocio puntuales no se han respondido.</w:t>
      </w:r>
    </w:p>
    <w:p>
      <w:pPr>
        <w:pStyle w:val="Heading2"/>
      </w:pPr>
      <w:r>
        <w:t>4.4 Consultas sin respuesta y supuestos adoptados</w:t>
      </w:r>
    </w:p>
    <w:p>
      <w:r>
        <w:t>Consultas prioritarias, preparadas el 06/10/2026 y transmitidas por medio de Karina. Ninguna tiene respuesta a la fecha de corte.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3175"/>
        <w:gridCol w:w="3628"/>
        <w:gridCol w:w="2268"/>
      </w:tblGrid>
      <w:tr>
        <w:trPr>
          <w:tblHeader w:val="true"/>
        </w:trPr>
        <w:tc>
          <w:tcPr>
            <w:tcW w:type="dxa" w:w="510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3175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Consulta a Max</w:t>
            </w:r>
          </w:p>
        </w:tc>
        <w:tc>
          <w:tcPr>
            <w:tcW w:type="dxa" w:w="362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Supuesto adoptado por el equipo</w:t>
            </w:r>
          </w:p>
        </w:tc>
        <w:tc>
          <w:tcPr>
            <w:tcW w:type="dxa" w:w="226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Riesgo si el supuesto es incorrecto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¿Todas las fechas de la base de datos van como Timestamp de Firestore?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sigue el modelo de Max (Timestamp). El sistema acepta ambos formatos y se migraron las colecciones alineadas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Rehacer migraciones de las colecciones restantes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¿Entregará los archivos firestore.indexes.json, firestore.rules y la configuración de TTL? ¿Quién los despliega y en qué proyecto?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 equipo versiona sus propias reglas, índices y TTL a partir del documento de Max y usa un único proyecto Firebase (aprueba-admin)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Diferencias con los archivos oficiales; falta de ambientes separados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¿Quién crea y actualiza la colección subscriptions y qué campos son obligatorios?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avanza con datos de prueba; el backend escribe la colección mientras no se defina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Flujo de pagos sin cerrar ni probar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Stripe: ¿qué moneda, se edita el precio anual desde la consola y dónde se recibe el webhook?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 código de Stripe de Amaru se porta al backend actual y sincroniza solo cuando cambia nombre, precio, moneda o estado de publicación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Rehacer la integración si Max define una Cloud Function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¿Qué método de MFA se usará en producción y quién guarda las claves?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mantiene un código fijo de demostración (SEG-02, abierto) y no se toca hasta tener la respuesta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Seguridad de acceso sin acreditar; HU-02 queda parcial</w:t>
            </w:r>
          </w:p>
        </w:tc>
      </w:tr>
    </w:tbl>
    <w:p>
      <w:pPr>
        <w:spacing w:after="40"/>
      </w:pPr>
    </w:p>
    <w:p>
      <w:r>
        <w:t>Consultas secundarias y pendientes que dependen de Max: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4082"/>
        <w:gridCol w:w="3628"/>
      </w:tblGrid>
      <w:tr>
        <w:trPr>
          <w:tblHeader w:val="true"/>
        </w:trPr>
        <w:tc>
          <w:tcPr>
            <w:tcW w:type="dxa" w:w="1871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4082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362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Supuesto adoptado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Express o FastAPI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¿Acepta Express como tecnología del backend?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mantiene Express mientras se cumpla el contrato de la API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Entornos de GCP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Alcance de Stripe y variables para dev, staging y producción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usan Vercel Hobby, Firebase Spark y el emulador local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Colección adminSessions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¿Habrá rotación y revocación de sesiones?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implementó por decisión del equipo el 23/10/2026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benefitRedemptions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¿Quién escribe el canje real? ¿La estructura es la final?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 comprobante queda en medalLedger y el canje se simula en el emulador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devices y activityLog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¿Los escribe la app del alumno?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Solo lectura con datos de prueba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Métricas reales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¿Habrá un proceso que calcule las métricas? ¿Con qué frecuencia?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Métricas sintéticas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Operativa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¿Se conectará a Cloud Run y Cloud Monitoring? ¿Quién entrega los permisos?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Operativa simulada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Secretos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¿Quién define JWT_SECRET de producción y la rotación de las contraseñas sembradas?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 define el equipo; las contraseñas del seed se rotarán al corregir SEG-01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Contrato de la API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¿Cuáles son los 3 endpoints que faltan de los 29 (hay 26)?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 implementan los que el listado de Max confirme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Costos del proyecto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Costo del proyecto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Estimación propia: costo real $0 y valorización referencial de $6.750.000 (450 h por persona a $7.500)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>Por confirmar por el equipo: la fecha de cada consulta secundaria y si alguna recibió respuesta parcial.</w:t>
      </w:r>
    </w:p>
    <w:p>
      <w:pPr>
        <w:pStyle w:val="Heading2"/>
      </w:pPr>
      <w:r>
        <w:t>4.5 Impacto</w:t>
      </w:r>
    </w:p>
    <w:p>
      <w:pPr>
        <w:pStyle w:val="ListBullet"/>
        <w:spacing w:after="40"/>
      </w:pPr>
      <w:r>
        <w:rPr>
          <w:b/>
        </w:rPr>
        <w:t xml:space="preserve">Cronograma: </w:t>
      </w:r>
      <w:r>
        <w:t>el equipo avanzó sin esperar las respuestas, por lo que no hubo retrasos mayores, pero algunos casos de prueba quedaron bloqueados.</w:t>
      </w:r>
    </w:p>
    <w:p>
      <w:pPr>
        <w:pStyle w:val="ListBullet"/>
        <w:spacing w:after="40"/>
      </w:pPr>
      <w:r>
        <w:rPr>
          <w:b/>
        </w:rPr>
        <w:t xml:space="preserve">Calidad: </w:t>
      </w:r>
      <w:r>
        <w:t>dos defectos de seguridad abiertos (SEG-01 y SEG-02) y cinco casos bloqueados por dependencias externas.</w:t>
      </w:r>
    </w:p>
    <w:p>
      <w:pPr>
        <w:pStyle w:val="ListBullet"/>
        <w:spacing w:after="40"/>
      </w:pPr>
      <w:r>
        <w:rPr>
          <w:b/>
        </w:rPr>
        <w:t xml:space="preserve">Alcance: </w:t>
      </w:r>
      <w:r>
        <w:t>algunas historias quedaron parciales (HU-02, HU-11, HU-20 y HU-23).</w:t>
      </w:r>
    </w:p>
    <w:p>
      <w:pPr>
        <w:pStyle w:val="ListBullet"/>
        <w:spacing w:after="40"/>
      </w:pPr>
      <w:r>
        <w:rPr>
          <w:b/>
        </w:rPr>
        <w:t xml:space="preserve">Carga de trabajo: </w:t>
      </w:r>
      <w:r>
        <w:t>el equipo debió decidir por su cuenta, y mantener la documentación de las decisiones, sin validación del patrocinador.</w:t>
      </w:r>
    </w:p>
    <w:p>
      <w:pPr>
        <w:pStyle w:val="Heading2"/>
      </w:pPr>
      <w:r>
        <w:t>4.6 Acciones de resolución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0"/>
        <w:gridCol w:w="2551"/>
        <w:gridCol w:w="1360"/>
      </w:tblGrid>
      <w:tr>
        <w:trPr>
          <w:tblHeader w:val="true"/>
        </w:trPr>
        <w:tc>
          <w:tcPr>
            <w:tcW w:type="dxa" w:w="5669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551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361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Registrar cada supuesto en este documento y en la reunión semanal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Realizado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Reiterar las consultas pendientes a Karina cada miércoles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 y Amaru Rojas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Realizado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Enviar a Max una lista única con las consultas y los supuestos para que los valide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Planificado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 no hay respuesta antes del cierre de la Fase 2, informar a la docente y pedir que valide los supuestos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Planificado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Diseñar el código para que cada supuesto se pueda cambiar sin reescribir (variables de entorno y capas de servicio)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Amaru Rojas</w:t>
            </w:r>
          </w:p>
        </w:tc>
        <w:tc>
          <w:tcPr>
            <w:tcW w:type="dxa" w:w="1361"/>
            <w:shd w:val="clear" w:color="auto" w:fill="D9EAD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Realizado</w:t>
            </w:r>
          </w:p>
        </w:tc>
      </w:tr>
    </w:tbl>
    <w:p>
      <w:pPr>
        <w:spacing w:after="40"/>
      </w:pPr>
    </w:p>
    <w:p>
      <w:pPr>
        <w:pStyle w:val="Heading1"/>
      </w:pPr>
      <w:r>
        <w:t>5. Otros conflictos</w:t>
      </w:r>
    </w:p>
    <w:p>
      <w:pPr>
        <w:pStyle w:val="Heading2"/>
      </w:pPr>
      <w:r>
        <w:t>5.1 C-02: alcance</w:t>
      </w:r>
    </w:p>
    <w:p>
      <w:r>
        <w:t>El colegio pidió originalmente el Tomo III de negocio completo, pero la docente confirmó en septiembre que la base requerida son las vistas de Sponsors y Beneficios, porque varios grupos tomaron el mismo proyecto y se dividió el trabajo. Alloxentric asignó como prioridad el módulo de marketing y fidelización. Resolución: se cerró Sponsors y Beneficios, que cumple los 4 criterios oficiales de aceptación, y luego el equipo decidió ampliar el alcance a toda la consola.</w:t>
      </w:r>
    </w:p>
    <w:p>
      <w:pPr>
        <w:pStyle w:val="Heading2"/>
      </w:pPr>
      <w:r>
        <w:t>5.2 C-03: costos</w:t>
      </w:r>
    </w:p>
    <w:p>
      <w:r>
        <w:t>Los costos no fueron definidos por el patrocinador. La docente indicó que el tema queda a criterio del equipo, por lo que David y Amaru estimaron los costos sin consultar a Max (ver 4.4). Resolución: documentados en el Plan de Dirección v1.2 y en el detalle de costos.</w:t>
      </w:r>
    </w:p>
    <w:p>
      <w:pPr>
        <w:pStyle w:val="Heading2"/>
      </w:pPr>
      <w:r>
        <w:t>5.3 C-04: documentación para Duoc</w:t>
      </w:r>
    </w:p>
    <w:p>
      <w:r>
        <w:t>Había dudas sobre quién debía definir los documentos de diseño y gestión. Max dejó esa documentación a cargo del equipo, como trabajo aparte del de Alloxentric aunque trate del mismo proyecto. Resolución: David y Amaru toman esas decisiones sin consultarlas a Max.</w:t>
      </w:r>
    </w:p>
    <w:p>
      <w:pPr>
        <w:pStyle w:val="Heading2"/>
      </w:pPr>
      <w:r>
        <w:t>5.4 C-05: integración de módulos de otros equipos</w:t>
      </w:r>
    </w:p>
    <w:p>
      <w:r>
        <w:t>El 07/10/2026 la docente propuso que el equipo integre los módulos de los demás equipos para armar el prototipo completo, con entrega prevista entre el 16 y el 27 de noviembre. Max confirmó el 14/10 que David y Amaru siguen como responsables. El equipo está listo, pero varios equipos tienen poco avance. Acción pendiente: acordar con la docente fechas de entrega y un contrato de integración.</w:t>
      </w:r>
    </w:p>
    <w:p>
      <w:pPr>
        <w:pStyle w:val="Heading2"/>
      </w:pPr>
      <w:r>
        <w:t>5.5 C-06: limitaciones técnicas</w:t>
      </w:r>
    </w:p>
    <w:p>
      <w:r>
        <w:t>Dos situaciones pasaron de ser problemas a lecciones: el plan gratuito de Vercel Hobby no permite invitar compañeros, por lo que ambos conectaron su propia cuenta al mismo repositorio; y la cuota de lecturas de Firestore se agotó una vez, lo que provocó una caída de la página. Resolución: se adoptó el emulador local de Firestore para pruebas y la carga de datos.</w:t>
      </w:r>
    </w:p>
    <w:p>
      <w:pPr>
        <w:pStyle w:val="Heading1"/>
      </w:pPr>
      <w:r>
        <w:t>6. Proceso de escalamiento acordado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3402"/>
        <w:gridCol w:w="5159"/>
      </w:tblGrid>
      <w:tr>
        <w:trPr>
          <w:tblHeader w:val="true"/>
        </w:trPr>
        <w:tc>
          <w:tcPr>
            <w:tcW w:type="dxa" w:w="1020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402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5159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Duda técnica o de negocio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Plantear a Karina en la reunión del miércoles y registrar en el acta.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 respuesta tras dos reuniones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Enviar a Max la consulta por escrito, con un supuesto propuesto y un plazo.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 respuesta al vencer el plazo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Adoptar el supuesto, documentarlo y avisar a Karina.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Riesgo para un entregable</w:t>
            </w:r>
          </w:p>
        </w:tc>
        <w:tc>
          <w:tcPr>
            <w:tcW w:type="dxa" w:w="515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Informar a la docente.</w:t>
            </w:r>
          </w:p>
        </w:tc>
      </w:tr>
    </w:tbl>
    <w:p>
      <w:pPr>
        <w:spacing w:after="40"/>
      </w:pPr>
    </w:p>
    <w:p>
      <w:pPr>
        <w:pStyle w:val="Heading1"/>
      </w:pPr>
      <w:r>
        <w:t>7. Conclusiones</w:t>
      </w:r>
    </w:p>
    <w:p>
      <w:r>
        <w:t>La falta de respuesta de Max es el principal conflicto abierto, pero el proyecto no se detuvo: el equipo trabajó con supuestos explícitos y reversibles. Los puntos que más preocupan son los de seguridad (TOTP real y defectos abiertos) y la validación de costos. El equipo propone cerrar este conflicto enviando a Max una lista única de supuestos y, si no responde, pedir la validación de la docente antes de cerrar la Fase 2.</w:t>
      </w:r>
    </w:p>
    <w:p>
      <w:pPr>
        <w:pStyle w:val="Heading1"/>
      </w:pPr>
      <w:r>
        <w:t>8. Firmas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835"/>
        <w:gridCol w:w="3628"/>
      </w:tblGrid>
      <w:tr>
        <w:trPr>
          <w:tblHeader w:val="true"/>
        </w:trPr>
        <w:tc>
          <w:tcPr>
            <w:tcW w:type="dxa" w:w="311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35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628"/>
            <w:shd w:val="clear" w:color="auto" w:fill="172B45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Firma y fecha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Karina Alvarez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Amaru Rojas Justiniano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Developer backend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David Arenas Márquez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Developer frontend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Resolución de Conflictos · Aprueba Administración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2B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