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C5409" w14:textId="77777777" w:rsidR="00C1796B" w:rsidRDefault="00000000">
      <w:pPr>
        <w:spacing w:after="80"/>
        <w:jc w:val="center"/>
      </w:pPr>
      <w:r>
        <w:rPr>
          <w:b/>
          <w:bCs/>
          <w:sz w:val="36"/>
          <w:szCs w:val="36"/>
        </w:rPr>
        <w:t>Related Literature Review</w:t>
      </w:r>
    </w:p>
    <w:p w14:paraId="40509371" w14:textId="77777777" w:rsidR="00C1796B" w:rsidRDefault="00000000">
      <w:pPr>
        <w:spacing w:after="40"/>
        <w:jc w:val="center"/>
      </w:pPr>
      <w:r>
        <w:rPr>
          <w:i/>
          <w:iCs/>
          <w:color w:val="555555"/>
          <w:sz w:val="26"/>
          <w:szCs w:val="26"/>
        </w:rPr>
        <w:t>Wildfire Smoke and Voting Behavior in the United States</w:t>
      </w:r>
    </w:p>
    <w:p w14:paraId="6E353C66" w14:textId="77777777" w:rsidR="00C1796B" w:rsidRDefault="00000000">
      <w:pPr>
        <w:spacing w:after="200"/>
        <w:jc w:val="center"/>
      </w:pPr>
      <w:r>
        <w:rPr>
          <w:color w:val="777777"/>
          <w:sz w:val="22"/>
          <w:szCs w:val="22"/>
        </w:rPr>
        <w:t>Prepared for David Clingingsmith • February 2026</w:t>
      </w:r>
    </w:p>
    <w:p w14:paraId="0B5B19E8" w14:textId="77777777" w:rsidR="00C1796B" w:rsidRDefault="00C1796B">
      <w:pPr>
        <w:pBdr>
          <w:bottom w:val="single" w:sz="6" w:space="8" w:color="CCCCCC"/>
        </w:pBdr>
        <w:spacing w:after="300"/>
      </w:pPr>
    </w:p>
    <w:p w14:paraId="40FD8EB5" w14:textId="77777777" w:rsidR="00C1796B" w:rsidRDefault="00000000">
      <w:pPr>
        <w:pStyle w:val="Heading1"/>
      </w:pPr>
      <w:r>
        <w:t>Overview</w:t>
      </w:r>
    </w:p>
    <w:p w14:paraId="5A587CC9" w14:textId="77777777" w:rsidR="00C1796B" w:rsidRDefault="00000000">
      <w:pPr>
        <w:spacing w:after="200" w:line="300" w:lineRule="auto"/>
      </w:pPr>
      <w:r>
        <w:t>This report surveys the literatures most relevant to your paper on wildfire smoke and voting behavior. It is organized into five main strands: (1) environmental shocks and voting, (2) the theory of anti-incumbent and retrospective voting, (3) air pollution and political behavior, (4) wildfire smoke and economic/health outcomes, and (5) identification strategies using wind and atmospheric variation. For each strand, I summarize the key papers, highlight what they find, and note how they connect to your contribution.</w:t>
      </w:r>
    </w:p>
    <w:p w14:paraId="0FB80C5B" w14:textId="77777777" w:rsidR="00C1796B" w:rsidRDefault="00000000">
      <w:pPr>
        <w:pStyle w:val="Heading1"/>
      </w:pPr>
      <w:r>
        <w:t>1. Environmental Shocks, Natural Disasters, and Voting</w:t>
      </w:r>
    </w:p>
    <w:p w14:paraId="22BEB0AA" w14:textId="77777777" w:rsidR="00C1796B" w:rsidRDefault="00000000">
      <w:pPr>
        <w:spacing w:after="200" w:line="300" w:lineRule="auto"/>
      </w:pPr>
      <w:r>
        <w:t>A large literature examines whether environmental shocks—floods, hurricanes, droughts, wildfires—alter political behavior. The findings cluster around two mechanisms: retrospective incumbent punishment and climate salience.</w:t>
      </w:r>
    </w:p>
    <w:p w14:paraId="088C26AE" w14:textId="77777777" w:rsidR="00C1796B" w:rsidRDefault="00000000">
      <w:pPr>
        <w:pStyle w:val="Heading2"/>
      </w:pPr>
      <w:r>
        <w:t>1.1 Incumbent Punishment and Retrospective Voting</w:t>
      </w:r>
    </w:p>
    <w:p w14:paraId="03B4882D" w14:textId="77777777" w:rsidR="00C1796B" w:rsidRDefault="00000000">
      <w:pPr>
        <w:spacing w:after="240" w:line="300" w:lineRule="auto"/>
        <w:ind w:left="360"/>
      </w:pPr>
      <w:r>
        <w:rPr>
          <w:b/>
          <w:bCs/>
        </w:rPr>
        <w:t>Healy and Malhotra (2010)</w:t>
      </w:r>
      <w:r>
        <w:rPr>
          <w:i/>
          <w:iCs/>
          <w:color w:val="555555"/>
        </w:rPr>
        <w:t xml:space="preserve"> (American Political Science Review). </w:t>
      </w:r>
      <w:r>
        <w:t>Foundational paper on myopic retrospective voting. Voters punish incumbents for disaster damage but reward them for disaster relief spending. The asymmetry implies that governments underinvest in preparedness relative to relief. Your anti-incumbent finding is squarely in this tradition.</w:t>
      </w:r>
    </w:p>
    <w:p w14:paraId="3FD8EB35" w14:textId="77777777" w:rsidR="00C1796B" w:rsidRDefault="00000000">
      <w:pPr>
        <w:spacing w:after="240" w:line="300" w:lineRule="auto"/>
        <w:ind w:left="360"/>
      </w:pPr>
      <w:r>
        <w:rPr>
          <w:b/>
          <w:bCs/>
        </w:rPr>
        <w:t>Achen and Bartels (2016)</w:t>
      </w:r>
      <w:r>
        <w:rPr>
          <w:i/>
          <w:iCs/>
          <w:color w:val="555555"/>
        </w:rPr>
        <w:t xml:space="preserve"> (Democracy for Realists (Princeton UP)). </w:t>
      </w:r>
      <w:r>
        <w:t>Influential argument that voters engage in “blind retrospection,” punishing incumbents for events beyond their control, including droughts, floods, and even shark attacks. The shark attack finding is contested (Fowler and Hall 2018), but the broader framework—that negative experiences shift votes against the incumbent regardless of policy responsibility—directly supports your incumbent punishment results.</w:t>
      </w:r>
    </w:p>
    <w:p w14:paraId="7FC42751" w14:textId="77777777" w:rsidR="00C1796B" w:rsidRDefault="00000000">
      <w:pPr>
        <w:spacing w:after="240" w:line="300" w:lineRule="auto"/>
        <w:ind w:left="360"/>
      </w:pPr>
      <w:r>
        <w:rPr>
          <w:b/>
          <w:bCs/>
        </w:rPr>
        <w:t>Gasper and Reeves (2011)</w:t>
      </w:r>
      <w:r>
        <w:rPr>
          <w:i/>
          <w:iCs/>
          <w:color w:val="555555"/>
        </w:rPr>
        <w:t xml:space="preserve"> (American Journal of Political Science). </w:t>
      </w:r>
      <w:r>
        <w:t xml:space="preserve">Show that voters punish governors and presidents differently after natural disasters, depending on whether a disaster declaration was issued. Voters appear to distinguish between </w:t>
      </w:r>
      <w:r>
        <w:lastRenderedPageBreak/>
        <w:t>experiencing harm and receiving a government response, consistent with a rational accountability model rather than pure blind retrospection.</w:t>
      </w:r>
    </w:p>
    <w:p w14:paraId="2325512E" w14:textId="77777777" w:rsidR="00C1796B" w:rsidRDefault="00000000">
      <w:pPr>
        <w:spacing w:after="240" w:line="300" w:lineRule="auto"/>
        <w:ind w:left="360"/>
      </w:pPr>
      <w:r>
        <w:rPr>
          <w:b/>
          <w:bCs/>
        </w:rPr>
        <w:t>Bechtel and Hainmueller (2011)</w:t>
      </w:r>
      <w:r>
        <w:rPr>
          <w:i/>
          <w:iCs/>
          <w:color w:val="555555"/>
        </w:rPr>
        <w:t xml:space="preserve"> (American Political Science Review). </w:t>
      </w:r>
      <w:r>
        <w:t>Study of the 2002 Elbe River flood in Germany. Voters rewarded the incumbent government for effective flood management. Demonstrates that the sign of the disaster–voting relationship depends on the government’s response, which is relevant to interpreting your results: if the incumbent is not perceived as responding to smoke, punishment is more likely.</w:t>
      </w:r>
    </w:p>
    <w:p w14:paraId="69A803D6" w14:textId="77777777" w:rsidR="00C1796B" w:rsidRDefault="00000000">
      <w:pPr>
        <w:spacing w:after="240" w:line="300" w:lineRule="auto"/>
        <w:ind w:left="360"/>
      </w:pPr>
      <w:r>
        <w:rPr>
          <w:b/>
          <w:bCs/>
        </w:rPr>
        <w:t>Cole, Healy, and Werker (2012)</w:t>
      </w:r>
      <w:r>
        <w:rPr>
          <w:i/>
          <w:iCs/>
          <w:color w:val="555555"/>
        </w:rPr>
        <w:t xml:space="preserve"> (Journal of Development Economics). </w:t>
      </w:r>
      <w:r>
        <w:t>Use rainfall variation in India to show that voters reward governments for disaster relief. Provides an important developing-country parallel to the Healy and Malhotra framework.</w:t>
      </w:r>
    </w:p>
    <w:p w14:paraId="6DA8166F" w14:textId="77777777" w:rsidR="00C1796B" w:rsidRDefault="00000000">
      <w:pPr>
        <w:pStyle w:val="Heading2"/>
      </w:pPr>
      <w:r>
        <w:t>1.2 Wildfires and Voting</w:t>
      </w:r>
    </w:p>
    <w:p w14:paraId="64719D87" w14:textId="77777777" w:rsidR="00C1796B" w:rsidRDefault="00000000">
      <w:pPr>
        <w:spacing w:after="240" w:line="300" w:lineRule="auto"/>
        <w:ind w:left="360"/>
      </w:pPr>
      <w:r>
        <w:rPr>
          <w:b/>
          <w:bCs/>
        </w:rPr>
        <w:t>Hazlett and Mildenberger (2020)</w:t>
      </w:r>
      <w:r>
        <w:rPr>
          <w:i/>
          <w:iCs/>
          <w:color w:val="555555"/>
        </w:rPr>
        <w:t xml:space="preserve"> (American Political Science Review). </w:t>
      </w:r>
      <w:r>
        <w:t>The most directly relevant paper to yours. Uses proximity to California wildfire perimeters to study effects on pro-environment ballot proposition voting. Find that fire proximity increases pro-environment voting, but only in already-Democratic areas. Republican areas show no response. Your paper extends this in three important ways: (1) smoke exposure rather than fire proximity, providing a plausibly exogenous treatment; (2) national scope rather than California only; (3) effects across the partisan spectrum, not limited to Democratic areas. The contrast between their null Republican finding and your positive (if smaller) Republican-area effect is worth emphasizing.</w:t>
      </w:r>
    </w:p>
    <w:p w14:paraId="75B531F6" w14:textId="77777777" w:rsidR="00C1796B" w:rsidRDefault="00000000">
      <w:pPr>
        <w:spacing w:after="240" w:line="300" w:lineRule="auto"/>
        <w:ind w:left="360"/>
      </w:pPr>
      <w:r>
        <w:rPr>
          <w:b/>
          <w:bCs/>
        </w:rPr>
        <w:t>Liao and Ruiz Junco (2022)</w:t>
      </w:r>
      <w:r>
        <w:rPr>
          <w:i/>
          <w:iCs/>
          <w:color w:val="555555"/>
        </w:rPr>
        <w:t xml:space="preserve"> (Journal of Environmental Economics and Management). </w:t>
      </w:r>
      <w:r>
        <w:t>Study how extreme weather and natural disasters affect campaign contributions and U.S. House elections. Find that temperature shocks motivate Democratic donations and that natural disasters hurt incumbents with anti-environment records. Provides complementary evidence on the electoral consequences of environmental experiences, using campaign finance data that captures revealed rather than stated preferences.</w:t>
      </w:r>
    </w:p>
    <w:p w14:paraId="434A961D" w14:textId="77777777" w:rsidR="00C1796B" w:rsidRDefault="00000000">
      <w:pPr>
        <w:pStyle w:val="Heading2"/>
      </w:pPr>
      <w:r>
        <w:t>1.3 Climate Salience and Voting</w:t>
      </w:r>
    </w:p>
    <w:p w14:paraId="1F6DB82B" w14:textId="77777777" w:rsidR="00C1796B" w:rsidRDefault="00000000">
      <w:pPr>
        <w:spacing w:after="240" w:line="300" w:lineRule="auto"/>
        <w:ind w:left="360"/>
      </w:pPr>
      <w:r>
        <w:rPr>
          <w:b/>
          <w:bCs/>
        </w:rPr>
        <w:t>Herrnstadt and Muehlegger (2014)</w:t>
      </w:r>
      <w:r>
        <w:rPr>
          <w:i/>
          <w:iCs/>
          <w:color w:val="555555"/>
        </w:rPr>
        <w:t xml:space="preserve"> (Journal of Environmental Economics and Management). </w:t>
      </w:r>
      <w:r>
        <w:t xml:space="preserve">Use Google search intensity as a proxy for climate change salience </w:t>
      </w:r>
      <w:r>
        <w:lastRenderedPageBreak/>
        <w:t>and show that unusual weather increases searches for “climate change” and “global warming.” Crucially, they also show that members of Congress vote more pro-environment when their home states experience unusual weather. This is the clearest evidence for a salience channel linking environmental experience to political behavior.</w:t>
      </w:r>
    </w:p>
    <w:p w14:paraId="4F3F1719" w14:textId="77777777" w:rsidR="00C1796B" w:rsidRDefault="00000000">
      <w:pPr>
        <w:spacing w:after="240" w:line="300" w:lineRule="auto"/>
        <w:ind w:left="360"/>
      </w:pPr>
      <w:r>
        <w:rPr>
          <w:b/>
          <w:bCs/>
        </w:rPr>
        <w:t>Hoffmann, Muttarak, Peisker, and Stanig (2022)</w:t>
      </w:r>
      <w:r>
        <w:rPr>
          <w:i/>
          <w:iCs/>
          <w:color w:val="555555"/>
        </w:rPr>
        <w:t xml:space="preserve"> (Nature Climate Change). </w:t>
      </w:r>
      <w:r>
        <w:t>Using panel data across Europe, show that personal experience of climate-related events raises environmental concerns and increases Green party voting. Provides cross-national evidence that the salience mechanism operates across institutional contexts.</w:t>
      </w:r>
    </w:p>
    <w:p w14:paraId="4265ECE1" w14:textId="77777777" w:rsidR="00C1796B" w:rsidRDefault="00000000">
      <w:pPr>
        <w:spacing w:after="240" w:line="300" w:lineRule="auto"/>
        <w:ind w:left="360"/>
      </w:pPr>
      <w:r>
        <w:rPr>
          <w:b/>
          <w:bCs/>
        </w:rPr>
        <w:t>Baccini and Leemann (2021)</w:t>
      </w:r>
      <w:r>
        <w:rPr>
          <w:i/>
          <w:iCs/>
          <w:color w:val="555555"/>
        </w:rPr>
        <w:t xml:space="preserve"> (Political Science Research and Methods). </w:t>
      </w:r>
      <w:r>
        <w:t>Study Swiss referendum voting after floods and find that flood exposure increases support for pro-climate ballot measures by up to 20%. The referendum setting is useful because it isolates policy preferences from candidate preferences.</w:t>
      </w:r>
    </w:p>
    <w:p w14:paraId="5B3D4290" w14:textId="77777777" w:rsidR="00C1796B" w:rsidRDefault="00000000">
      <w:pPr>
        <w:spacing w:after="240" w:line="300" w:lineRule="auto"/>
        <w:ind w:left="360"/>
      </w:pPr>
      <w:r>
        <w:rPr>
          <w:b/>
          <w:bCs/>
        </w:rPr>
        <w:t>Elliott, Nguyen-Tien, Strobl, and Tveit (2023)</w:t>
      </w:r>
      <w:r>
        <w:rPr>
          <w:i/>
          <w:iCs/>
          <w:color w:val="555555"/>
        </w:rPr>
        <w:t xml:space="preserve"> (Journal of the Association of Environmental and Resource Economists). </w:t>
      </w:r>
      <w:r>
        <w:t>Examine whether U.S. senators vote more pro-environment after climate-related natural disasters in their states. Find that support for environmental legislation increases after unusual human losses (but not economic losses), and that the effect is short-lived (about two years). The temporal dynamics in your paper—strongest effects at 30–60 days—are consistent with their finding of rapid decay.</w:t>
      </w:r>
    </w:p>
    <w:p w14:paraId="582F6B72" w14:textId="77777777" w:rsidR="00C1796B" w:rsidRDefault="00000000">
      <w:pPr>
        <w:spacing w:after="240" w:line="300" w:lineRule="auto"/>
        <w:ind w:left="360"/>
      </w:pPr>
      <w:r>
        <w:rPr>
          <w:b/>
          <w:bCs/>
        </w:rPr>
        <w:t>Holub and Schündeln (2023) and Garside and Zhai (2022)</w:t>
      </w:r>
      <w:r>
        <w:rPr>
          <w:i/>
          <w:iCs/>
          <w:color w:val="555555"/>
        </w:rPr>
        <w:t xml:space="preserve"> (Working papers). </w:t>
      </w:r>
      <w:r>
        <w:t>Study the 2021 German floods and subsequent election using municipality-level data. Find surprisingly small effects despite extreme salience of the event, which a recent paper by Fremerey et al. (2025) attributes to differential out-migration from flood-affected areas.</w:t>
      </w:r>
    </w:p>
    <w:p w14:paraId="2E39EC27" w14:textId="77777777" w:rsidR="00C1796B" w:rsidRDefault="00000000">
      <w:pPr>
        <w:pStyle w:val="Heading2"/>
      </w:pPr>
      <w:r>
        <w:t>1.4 Weather and Turnout</w:t>
      </w:r>
    </w:p>
    <w:p w14:paraId="7F2551AE" w14:textId="77777777" w:rsidR="00C1796B" w:rsidRDefault="00000000">
      <w:pPr>
        <w:spacing w:after="240" w:line="300" w:lineRule="auto"/>
        <w:ind w:left="360"/>
      </w:pPr>
      <w:r>
        <w:rPr>
          <w:b/>
          <w:bCs/>
        </w:rPr>
        <w:t>Gomez, Hansford, and Krause (2007)</w:t>
      </w:r>
      <w:r>
        <w:rPr>
          <w:i/>
          <w:iCs/>
          <w:color w:val="555555"/>
        </w:rPr>
        <w:t xml:space="preserve"> (Journal of Politics). </w:t>
      </w:r>
      <w:r>
        <w:t>Classic paper showing that rain on election day suppresses voter turnout, with differential effects by party. You cite this as one of three strands your paper bridges. Important for the turnout channel: your positive turnout coefficient could be in tension with their finding if smoke operates like bad weather, but smoke exposure is pre-election (over 60 days) rather than on election day.</w:t>
      </w:r>
    </w:p>
    <w:p w14:paraId="55BB8548" w14:textId="77777777" w:rsidR="00C1796B" w:rsidRDefault="00000000">
      <w:pPr>
        <w:pStyle w:val="Heading1"/>
      </w:pPr>
      <w:r>
        <w:lastRenderedPageBreak/>
        <w:t>2. Anti-Incumbent Voting: Theoretical Foundations</w:t>
      </w:r>
    </w:p>
    <w:p w14:paraId="15F50BC7" w14:textId="77777777" w:rsidR="00C1796B" w:rsidRDefault="00000000">
      <w:pPr>
        <w:spacing w:after="200" w:line="300" w:lineRule="auto"/>
      </w:pPr>
      <w:r>
        <w:t>Your paper’s robust anti-incumbent finding places it squarely within one of the oldest and most important debates in democratic theory: what does it mean when voters punish the party in power? This section reviews the theoretical literature on retrospective voting, which provides the conceptual framework for interpreting your results.</w:t>
      </w:r>
    </w:p>
    <w:p w14:paraId="74D184FE" w14:textId="77777777" w:rsidR="00C1796B" w:rsidRDefault="00000000">
      <w:pPr>
        <w:pStyle w:val="Heading2"/>
      </w:pPr>
      <w:r>
        <w:t>2.1 The Sanctioning Model</w:t>
      </w:r>
    </w:p>
    <w:p w14:paraId="24E7EADA" w14:textId="77777777" w:rsidR="00C1796B" w:rsidRDefault="00000000">
      <w:pPr>
        <w:spacing w:after="200" w:line="300" w:lineRule="auto"/>
      </w:pPr>
      <w:r>
        <w:t xml:space="preserve">The formal literature on electoral accountability begins with Barro (1973) and Ferejohn (1986), who model elections as a mechanism for disciplining incumbents. In Ferejohn’s canonical model, voters cannot trust campaign promises and are unable to distinguish between </w:t>
      </w:r>
      <w:proofErr w:type="gramStart"/>
      <w:r>
        <w:t>candidates</w:t>
      </w:r>
      <w:proofErr w:type="gramEnd"/>
      <w:r>
        <w:t xml:space="preserve"> ex ante. Instead, they adopt a retrospective voting rule: retain the incumbent if performance exceeds some </w:t>
      </w:r>
      <w:proofErr w:type="gramStart"/>
      <w:r>
        <w:t>threshold, and</w:t>
      </w:r>
      <w:proofErr w:type="gramEnd"/>
      <w:r>
        <w:t xml:space="preserve"> replace her otherwise. This transforms elections from a selection mechanism (choosing the best candidate) into a sanctioning mechanism (punishing poor performance). In equilibrium, the threat of electoral punishment disciplines the incumbent to exert effort she would otherwise shirk. The key insight is that retrospective voting can sustain accountability even when voters are poorly informed about policy, </w:t>
      </w:r>
      <w:proofErr w:type="gramStart"/>
      <w:r>
        <w:t>as long as</w:t>
      </w:r>
      <w:proofErr w:type="gramEnd"/>
      <w:r>
        <w:t xml:space="preserve"> they can observe outcomes. This “sanctioning” interpretation of anti-incumbent voting is optimistic about democracy: voters do not need to understand the details of governance; they just need to know whether they are better or worse off.</w:t>
      </w:r>
    </w:p>
    <w:p w14:paraId="70297A4B" w14:textId="77777777" w:rsidR="00C1796B" w:rsidRDefault="00000000">
      <w:pPr>
        <w:pStyle w:val="Heading2"/>
      </w:pPr>
      <w:r>
        <w:t>2.2 The Selection Model</w:t>
      </w:r>
    </w:p>
    <w:p w14:paraId="02458BEE" w14:textId="77777777" w:rsidR="00C1796B" w:rsidRDefault="00000000">
      <w:pPr>
        <w:spacing w:after="200" w:line="300" w:lineRule="auto"/>
      </w:pPr>
      <w:r>
        <w:t>Fearon (1999) challenged the pure sanctioning interpretation by arguing that forward-looking voters should care not just about disciplining the current incumbent but about selecting a better replacement. In a selection model, voters use past performance as a signal of competence or type. Poor outcomes lead voters to update negatively about the incumbent’s ability and to prefer the challenger, whose type is drawn from the prior. The selection and sanctioning interpretations generate different predictions. Under sanctioning, voters punish incumbents to create incentives; under selection, they replace incumbents they believe are low-quality. Both predict anti-incumbent voting after bad outcomes, but for different reasons. Ashworth (2012) provides a comprehensive review showing that most modern formal models blend the two mechanisms, and the empirical literature has struggled to separate them.</w:t>
      </w:r>
    </w:p>
    <w:p w14:paraId="4115E687" w14:textId="77777777" w:rsidR="00C1796B" w:rsidRDefault="00000000">
      <w:pPr>
        <w:pStyle w:val="Heading2"/>
      </w:pPr>
      <w:r>
        <w:t>2.3 Blind Retrospection and Its Critics</w:t>
      </w:r>
    </w:p>
    <w:p w14:paraId="0039A450" w14:textId="77777777" w:rsidR="00C1796B" w:rsidRDefault="00000000">
      <w:pPr>
        <w:spacing w:after="200" w:line="300" w:lineRule="auto"/>
      </w:pPr>
      <w:r>
        <w:lastRenderedPageBreak/>
        <w:t>The most provocative challenge to the accountability interpretation comes from Achen and Bartels (2016), who argue that retrospective voting is often “blind”: voters punish incumbents for events entirely beyond the government’s control. Their evidence includes electoral responses to droughts, floods, and famously, shark attacks off the New Jersey coast in 1916. If voters cannot distinguish between bad outcomes caused by poor governance and bad outcomes caused by bad luck, retrospective voting loses its disciplining function and becomes, in V.O. Key’s early phrase, “blindly striking a blow at a scapegoat.”</w:t>
      </w:r>
    </w:p>
    <w:p w14:paraId="3E613E52" w14:textId="77777777" w:rsidR="00C1796B" w:rsidRDefault="00000000">
      <w:pPr>
        <w:spacing w:after="200" w:line="300" w:lineRule="auto"/>
      </w:pPr>
      <w:r>
        <w:t>This interpretation has generated substantial pushback. Gasper and Reeves (2011) find that voters do distinguish between the disaster itself and the government’s response, punishing incumbents primarily when disaster declarations are not issued. Healy and Malhotra (2010) show that voters reward relief spending but not preparedness spending, suggesting something more nuanced than blind punishment—voters evaluate observable government responses, even if they weight them suboptimally. Fowler and Hall (2018) challenge the shark attack result specifically, arguing that it does not replicate with alternative specifications. The emerging consensus, as articulated in Healy and Malhotra’s (2013) review in the Annual Review of Political Science, is a middle ground: voters are neither fully rational accountability agents nor purely blind avengers. They resemble decision makers in other domains—sometimes applying a coherent logic, sometimes falling prey to well-known psychological biases such as end-period weighting, mood effects, and attribution errors.</w:t>
      </w:r>
    </w:p>
    <w:p w14:paraId="33A09E8B" w14:textId="77777777" w:rsidR="00C1796B" w:rsidRDefault="00000000">
      <w:pPr>
        <w:pStyle w:val="Heading2"/>
      </w:pPr>
      <w:r>
        <w:t>2.4 Psychological Mechanisms: Mood, Attribution, and Salience</w:t>
      </w:r>
    </w:p>
    <w:p w14:paraId="33EEF8B0" w14:textId="77777777" w:rsidR="00C1796B" w:rsidRDefault="00000000">
      <w:pPr>
        <w:spacing w:after="200" w:line="300" w:lineRule="auto"/>
      </w:pPr>
      <w:r>
        <w:t xml:space="preserve">A more recent literature has explored the psychological channels through which negative experiences translate into anti-incumbent votes, moving beyond the question of whether retrospective voting is rational to ask how it </w:t>
      </w:r>
      <w:proofErr w:type="gramStart"/>
      <w:r>
        <w:t>actually works</w:t>
      </w:r>
      <w:proofErr w:type="gramEnd"/>
      <w:r>
        <w:t>. Three mechanisms are especially relevant to your paper.</w:t>
      </w:r>
    </w:p>
    <w:p w14:paraId="71C748A2" w14:textId="77777777" w:rsidR="00C1796B" w:rsidRDefault="00000000">
      <w:pPr>
        <w:spacing w:after="200" w:line="300" w:lineRule="auto"/>
      </w:pPr>
      <w:r>
        <w:t>First, negative affect or mood: Healy, Malhotra, and Mo (2010, PNAS) show that irrelevant events—specifically, the outcomes of college football games on the weekend before an election—shift evaluations of incumbents. This suggests that negative emotional states, regardless of their source, reduce support for the status quo. Huber, Hill, and Lenz (2012, APSR) provide experimental evidence that voters overweight recent performance and are influenced by irrelevant lotteries, confirming that mood contamination is a robust phenomenon. This is the channel emphasized by Bellani et al. (2024) for imperceptible air pollution: PM10 worsens mood, and bad mood punishes incumbents.</w:t>
      </w:r>
    </w:p>
    <w:p w14:paraId="053A60BF" w14:textId="77777777" w:rsidR="00C1796B" w:rsidRDefault="00000000">
      <w:pPr>
        <w:spacing w:after="200" w:line="300" w:lineRule="auto"/>
      </w:pPr>
      <w:r>
        <w:lastRenderedPageBreak/>
        <w:t>Second, attribution: voters may consciously attribute blame for negative experiences, even when the causal connection to government is tenuous. Malhotra and Kuo (2008) study blame attribution after Hurricane Katrina, finding that partisanship powerfully shapes who voters hold responsible. This suggests your partisan heterogeneity finding—stronger effects in Democratic counties—may partly reflect differential attribution of blame for wildfire smoke to Republican incumbents or differential connection of smoke to climate policy.</w:t>
      </w:r>
    </w:p>
    <w:p w14:paraId="2B9E3676" w14:textId="77777777" w:rsidR="00C1796B" w:rsidRDefault="00000000">
      <w:pPr>
        <w:spacing w:after="200" w:line="300" w:lineRule="auto"/>
      </w:pPr>
      <w:r>
        <w:t xml:space="preserve">Third, issue salience: negative experiences can shift the issues </w:t>
      </w:r>
      <w:proofErr w:type="gramStart"/>
      <w:r>
        <w:t>voters</w:t>
      </w:r>
      <w:proofErr w:type="gramEnd"/>
      <w:r>
        <w:t xml:space="preserve"> weight when making their choice. If smoke makes environmental quality salient at the moment of voting or in the weeks before, voters who already care about climate are activated (explaining the </w:t>
      </w:r>
      <w:proofErr w:type="gramStart"/>
      <w:r>
        <w:t>Democratic county</w:t>
      </w:r>
      <w:proofErr w:type="gramEnd"/>
      <w:r>
        <w:t xml:space="preserve"> effect) while other voters simply experience negative affect (explaining the cross-partisan incumbent punishment). This dual-channel interpretation—salience for the pro-Democratic shift, affect for the anti-incumbent shift—maps cleanly onto the theoretical distinction between rational updating and blind retrospection.</w:t>
      </w:r>
    </w:p>
    <w:p w14:paraId="6F9C13BF" w14:textId="77777777" w:rsidR="00C1796B" w:rsidRDefault="00000000">
      <w:pPr>
        <w:pStyle w:val="Heading2"/>
      </w:pPr>
      <w:r>
        <w:t>2.5 Implications for Your Paper</w:t>
      </w:r>
    </w:p>
    <w:p w14:paraId="51AE8025" w14:textId="77777777" w:rsidR="00C1796B" w:rsidRDefault="00000000">
      <w:pPr>
        <w:spacing w:after="200" w:line="300" w:lineRule="auto"/>
      </w:pPr>
      <w:r>
        <w:t>Your paper’s findings speak directly to this theoretical debate. The anti-incumbent effect that survives dropping 2020 is consistent with either the affect channel (smoke makes people feel bad, and they punish whoever is in charge) or a rational response to perceived government failure to address air quality. The pro-Democratic effect that is driven primarily by 2020 is more consistent with the salience channel: the extreme 2020 fire season made climate an impossible-to-ignore issue, activating pro-environment voting especially where such preferences were already latent. The fact that both channels appear to operate simultaneously in your data is itself a contribution to the theoretical literature. Most prior work treats blind retrospection and rational accountability as competing interpretations; your setting, where smoke is both an involuntary mood-altering experience and a visible, attributable environmental event, suggests that both mechanisms can operate on the same electorate at the same time through different pathways.</w:t>
      </w:r>
    </w:p>
    <w:p w14:paraId="2E76EBBA" w14:textId="77777777" w:rsidR="00C1796B" w:rsidRDefault="00000000">
      <w:pPr>
        <w:pStyle w:val="Heading1"/>
      </w:pPr>
      <w:r>
        <w:t>3. Air Pollution and Political Behavior</w:t>
      </w:r>
    </w:p>
    <w:p w14:paraId="233E01B5" w14:textId="77777777" w:rsidR="00C1796B" w:rsidRDefault="00000000">
      <w:pPr>
        <w:spacing w:after="200" w:line="300" w:lineRule="auto"/>
      </w:pPr>
      <w:r>
        <w:t>A newer strand of research examines how ambient air pollution—distinct from discrete disaster events—affects voting. This is the literature your paper most directly contributes to.</w:t>
      </w:r>
    </w:p>
    <w:p w14:paraId="1CD44D01" w14:textId="77777777" w:rsidR="00C1796B" w:rsidRDefault="00000000">
      <w:pPr>
        <w:spacing w:after="240" w:line="300" w:lineRule="auto"/>
        <w:ind w:left="360"/>
      </w:pPr>
      <w:r>
        <w:rPr>
          <w:b/>
          <w:bCs/>
        </w:rPr>
        <w:lastRenderedPageBreak/>
        <w:t>Bellani, Ceolotto, Elsner, and Pestel (2024)</w:t>
      </w:r>
      <w:r>
        <w:rPr>
          <w:i/>
          <w:iCs/>
          <w:color w:val="555555"/>
        </w:rPr>
        <w:t xml:space="preserve"> (Proceedings of the National Academy of Sciences). </w:t>
      </w:r>
      <w:r>
        <w:t>The closest analogue to your pollution–voting mechanism. Using 60 German federal and state elections from 2000 to 2018, they exploit within-county variation in PM10 on election day to show that higher pollution shifts votes from incumbent to opposition parties. A 10 μg/m³ increase (about two within-county standard deviations) reduces the incumbent vote share by two percentage points. Crucially, they argue this operates through a subconscious emotional channel: PM10 fluctuations are not noticeable to voters, yet they increase negative emotions (anger, worry, unhappiness), which reduces support for the status quo. This is your “negative affect” mechanism. Your smoke setting differs in that smoke is visible and salient—voters can see and smell it—which potentially activates both the affect channel and the salience channel simultaneously.</w:t>
      </w:r>
    </w:p>
    <w:p w14:paraId="179AE772" w14:textId="77777777" w:rsidR="00C1796B" w:rsidRDefault="00000000">
      <w:pPr>
        <w:spacing w:after="240" w:line="300" w:lineRule="auto"/>
        <w:ind w:left="360"/>
      </w:pPr>
      <w:r>
        <w:rPr>
          <w:b/>
          <w:bCs/>
        </w:rPr>
        <w:t>Kahn (2007)</w:t>
      </w:r>
      <w:r>
        <w:rPr>
          <w:i/>
          <w:iCs/>
          <w:color w:val="555555"/>
        </w:rPr>
        <w:t xml:space="preserve"> (Journal of Public Economics). </w:t>
      </w:r>
      <w:r>
        <w:t xml:space="preserve">Early study of “environmental voters.” Shows that coastal California counties with more environmental amenities have higher demand for pro-environment candidates. Provides background for the heterogeneity pattern you </w:t>
      </w:r>
      <w:proofErr w:type="gramStart"/>
      <w:r>
        <w:t>find:</w:t>
      </w:r>
      <w:proofErr w:type="gramEnd"/>
      <w:r>
        <w:t xml:space="preserve"> areas with stronger baseline pro-environment preferences (Democratic-leaning counties) show larger smoke effects.</w:t>
      </w:r>
    </w:p>
    <w:p w14:paraId="2CADD037" w14:textId="77777777" w:rsidR="00C1796B" w:rsidRDefault="00000000">
      <w:pPr>
        <w:spacing w:after="240" w:line="300" w:lineRule="auto"/>
        <w:ind w:left="360"/>
      </w:pPr>
      <w:r>
        <w:rPr>
          <w:b/>
          <w:bCs/>
        </w:rPr>
        <w:t>Araujo, Santarrosa, and Pereira (2024)</w:t>
      </w:r>
      <w:r>
        <w:rPr>
          <w:i/>
          <w:iCs/>
          <w:color w:val="555555"/>
        </w:rPr>
        <w:t xml:space="preserve"> (Working paper). </w:t>
      </w:r>
      <w:r>
        <w:t>Study election-day temperature and voting for Marina Silva, a pro-environment candidate in Brazilian presidential elections. Find that higher temperatures on election day increase votes for Silva, consistent with climate salience. Interesting because it shows the salience mechanism operates for a specific candidate, not just party.</w:t>
      </w:r>
    </w:p>
    <w:p w14:paraId="2319929E" w14:textId="77777777" w:rsidR="00C1796B" w:rsidRDefault="00000000">
      <w:pPr>
        <w:pStyle w:val="Heading1"/>
      </w:pPr>
      <w:r>
        <w:t>4. Wildfire Smoke: Economic, Health, and Behavioral Effects</w:t>
      </w:r>
    </w:p>
    <w:p w14:paraId="271A7990" w14:textId="77777777" w:rsidR="00C1796B" w:rsidRDefault="00000000">
      <w:pPr>
        <w:spacing w:after="200" w:line="300" w:lineRule="auto"/>
      </w:pPr>
      <w:r>
        <w:t>A rapidly growing literature documents the broad consequences of wildfire smoke. This matters for your paper because it establishes both the health/mood channels and the behavioral responses that could mediate voting effects.</w:t>
      </w:r>
    </w:p>
    <w:p w14:paraId="3DB64BB3" w14:textId="77777777" w:rsidR="00C1796B" w:rsidRDefault="00000000">
      <w:pPr>
        <w:pStyle w:val="Heading2"/>
      </w:pPr>
      <w:r>
        <w:t>4.1 Labor Markets and Economic Costs</w:t>
      </w:r>
    </w:p>
    <w:p w14:paraId="1582E952" w14:textId="77777777" w:rsidR="00C1796B" w:rsidRDefault="00000000">
      <w:pPr>
        <w:spacing w:after="240" w:line="300" w:lineRule="auto"/>
        <w:ind w:left="360"/>
      </w:pPr>
      <w:r>
        <w:rPr>
          <w:b/>
          <w:bCs/>
        </w:rPr>
        <w:t>Borgschulte, Molitor, and Zou (2022)</w:t>
      </w:r>
      <w:r>
        <w:rPr>
          <w:i/>
          <w:iCs/>
          <w:color w:val="555555"/>
        </w:rPr>
        <w:t xml:space="preserve"> (Review of Economics and Statistics). </w:t>
      </w:r>
      <w:r>
        <w:t xml:space="preserve">The leading paper using wildfire smoke as an exogenous source of PM2.5 variation to study economic outcomes. Using satellite smoke plume data (the same NOAA HMS plumes underlying the Childs et al. 2022 data you use), they estimate that each additional day of smoke reduces quarterly per capita earnings by about 0.1%, </w:t>
      </w:r>
      <w:r>
        <w:lastRenderedPageBreak/>
        <w:t>implying annual labor market losses of $125 billion. Effects are larger for older workers and in counties with more Black residents. Their identification strategy is very close to yours: they rely on the quasi-random spatial dispersion of smoke plumes. Importantly, they show that controlling flexibly for wind direction does not change their estimates, strengthening the case that it is smoke—not correlated wind patterns—driving the variation. This is a robustness check you should consider replicating.</w:t>
      </w:r>
    </w:p>
    <w:p w14:paraId="5A3DB9B7" w14:textId="77777777" w:rsidR="00C1796B" w:rsidRDefault="00000000">
      <w:pPr>
        <w:spacing w:after="240" w:line="300" w:lineRule="auto"/>
        <w:ind w:left="360"/>
      </w:pPr>
      <w:r>
        <w:rPr>
          <w:b/>
          <w:bCs/>
        </w:rPr>
        <w:t>Miller, Molitor, and Zou (2024)</w:t>
      </w:r>
      <w:r>
        <w:rPr>
          <w:i/>
          <w:iCs/>
          <w:color w:val="555555"/>
        </w:rPr>
        <w:t xml:space="preserve"> (NBER Working Paper 32924). </w:t>
      </w:r>
      <w:r>
        <w:t>Use wildfire smoke to study nonlinear effects of PM2.5 on mortality among Medicare beneficiaries. Estimate that wildfire smoke accounts for 18% of ambient PM2.5 concentrations and 0.42% of deaths among adults 65+. Relevant because it establishes the health harm of the exact same pollution source you study, supporting the negative-affect mechanism.</w:t>
      </w:r>
    </w:p>
    <w:p w14:paraId="0D0A93E6" w14:textId="77777777" w:rsidR="00C1796B" w:rsidRDefault="00000000">
      <w:pPr>
        <w:pStyle w:val="Heading2"/>
      </w:pPr>
      <w:r>
        <w:t>4.2 Mental Health and Mood</w:t>
      </w:r>
    </w:p>
    <w:p w14:paraId="69D8A00A" w14:textId="77777777" w:rsidR="00C1796B" w:rsidRDefault="00000000">
      <w:pPr>
        <w:spacing w:after="240" w:line="300" w:lineRule="auto"/>
        <w:ind w:left="360"/>
      </w:pPr>
      <w:r>
        <w:rPr>
          <w:b/>
          <w:bCs/>
        </w:rPr>
        <w:t>Burke, Heft-Neal, Li, et al. (2022)</w:t>
      </w:r>
      <w:r>
        <w:rPr>
          <w:i/>
          <w:iCs/>
          <w:color w:val="555555"/>
        </w:rPr>
        <w:t xml:space="preserve"> (Nature Human Behaviour). </w:t>
      </w:r>
      <w:r>
        <w:t>Document behavioral and sentiment responses to wildfire smoke using cell phone data, social media, private pollution sensors, and internet search activity. Key finding: during smoke events, people search more for air quality information, stay home more, and express more negative sentiment. Responses differ by income, with lower-income residents showing less protective behavior. This paper provides direct evidence that smoke affects mood and well-being—the mechanism your paper invokes for incumbent punishment.</w:t>
      </w:r>
    </w:p>
    <w:p w14:paraId="36809665" w14:textId="77777777" w:rsidR="00C1796B" w:rsidRDefault="00000000">
      <w:pPr>
        <w:spacing w:after="240" w:line="300" w:lineRule="auto"/>
        <w:ind w:left="360"/>
      </w:pPr>
      <w:r>
        <w:rPr>
          <w:b/>
          <w:bCs/>
        </w:rPr>
        <w:t>Jung, Johnson, Burke, et al. (2025)</w:t>
      </w:r>
      <w:r>
        <w:rPr>
          <w:i/>
          <w:iCs/>
          <w:color w:val="555555"/>
        </w:rPr>
        <w:t xml:space="preserve"> (JAMA Network Open). </w:t>
      </w:r>
      <w:r>
        <w:t xml:space="preserve">First study to isolate short-term mental health effects of </w:t>
      </w:r>
      <w:proofErr w:type="gramStart"/>
      <w:r>
        <w:t>wildfire-specific</w:t>
      </w:r>
      <w:proofErr w:type="gramEnd"/>
      <w:r>
        <w:t xml:space="preserve"> PM2.5 (not total PM2.5). Using California data from the extreme 2020 fire season, find that a 10 μg/m³ increase in wildfire PM2.5 significantly increases emergency department visits for depression, anxiety, and mood disorders, with effects lasting up to seven days. Women, children, Black and Hispanic individuals, and Medicaid enrollees show highest risk. Directly relevant to the affect channel and to your heterogeneity analysis.</w:t>
      </w:r>
    </w:p>
    <w:p w14:paraId="7E1676B5" w14:textId="77777777" w:rsidR="00C1796B" w:rsidRDefault="00000000">
      <w:pPr>
        <w:spacing w:after="240" w:line="300" w:lineRule="auto"/>
        <w:ind w:left="360"/>
      </w:pPr>
      <w:r>
        <w:rPr>
          <w:b/>
          <w:bCs/>
        </w:rPr>
        <w:t>Persico and colleagues (various)</w:t>
      </w:r>
      <w:r>
        <w:rPr>
          <w:i/>
          <w:iCs/>
          <w:color w:val="555555"/>
        </w:rPr>
        <w:t xml:space="preserve"> (NBER Working Papers). </w:t>
      </w:r>
      <w:r>
        <w:t xml:space="preserve">A related strand connects general PM2.5 to suicide, using the Deryugina et al. wind-direction IV. Find that a 1 μg/m³ increase in daily PM2.5 is associated with a 0.49% increase in daily </w:t>
      </w:r>
      <w:r>
        <w:lastRenderedPageBreak/>
        <w:t>suicides. Establishes that pollution affects mental health at a population level, not just among clinical populations.</w:t>
      </w:r>
    </w:p>
    <w:p w14:paraId="3ED4EBAD" w14:textId="77777777" w:rsidR="00C1796B" w:rsidRDefault="00000000">
      <w:pPr>
        <w:pStyle w:val="Heading2"/>
      </w:pPr>
      <w:r>
        <w:t>4.3 Other Behavioral Effects</w:t>
      </w:r>
    </w:p>
    <w:p w14:paraId="0962114F" w14:textId="77777777" w:rsidR="00C1796B" w:rsidRDefault="00000000">
      <w:pPr>
        <w:spacing w:after="240" w:line="300" w:lineRule="auto"/>
        <w:ind w:left="360"/>
      </w:pPr>
      <w:r>
        <w:rPr>
          <w:b/>
          <w:bCs/>
        </w:rPr>
        <w:t>Gellman, Walls, and Wibbenmeyer (2025)</w:t>
      </w:r>
      <w:r>
        <w:rPr>
          <w:i/>
          <w:iCs/>
          <w:color w:val="555555"/>
        </w:rPr>
        <w:t xml:space="preserve"> (Journal of Environmental Economics and Management). </w:t>
      </w:r>
      <w:r>
        <w:t>Use high-frequency campground reservation data to estimate welfare losses from wildfire smoke exposure during outdoor recreation. Estimate $107 per person per trip in welfare losses, with damages increasing under consecutive smoke days. Relevant as revealed-preference evidence of smoke’s welfare costs and as evidence for behavioral disruption.</w:t>
      </w:r>
    </w:p>
    <w:p w14:paraId="123EC5CA" w14:textId="77777777" w:rsidR="00C1796B" w:rsidRDefault="00000000">
      <w:pPr>
        <w:spacing w:after="240" w:line="300" w:lineRule="auto"/>
        <w:ind w:left="360"/>
      </w:pPr>
      <w:r>
        <w:rPr>
          <w:b/>
          <w:bCs/>
        </w:rPr>
        <w:t>Heft-Neal, Driscoll, Yang, et al. (2022)</w:t>
      </w:r>
      <w:r>
        <w:rPr>
          <w:i/>
          <w:iCs/>
          <w:color w:val="555555"/>
        </w:rPr>
        <w:t xml:space="preserve"> (Environmental Research). </w:t>
      </w:r>
      <w:r>
        <w:t>Document effects of wildfire smoke exposure during pregnancy on preterm birth risk in California. Part of a broader body of work showing smoke affects birth outcomes, cognitive performance in children, and hospital admissions—all establishing the health channels through which smoke degrades well-being.</w:t>
      </w:r>
    </w:p>
    <w:p w14:paraId="0D3691CE" w14:textId="77777777" w:rsidR="00C1796B" w:rsidRDefault="00000000">
      <w:pPr>
        <w:pStyle w:val="Heading1"/>
      </w:pPr>
      <w:r>
        <w:t>5. Identification: Wind Direction and Atmospheric Dispersion</w:t>
      </w:r>
    </w:p>
    <w:p w14:paraId="018440E4" w14:textId="77777777" w:rsidR="00C1796B" w:rsidRDefault="00000000">
      <w:pPr>
        <w:spacing w:after="200" w:line="300" w:lineRule="auto"/>
      </w:pPr>
      <w:r>
        <w:t>Your identification strategy relies on the quasi-random atmospheric dispersion of wildfire smoke. Several important papers use related strategies for causal inference in environmental economics.</w:t>
      </w:r>
    </w:p>
    <w:p w14:paraId="49BA0F05" w14:textId="77777777" w:rsidR="00C1796B" w:rsidRDefault="00000000">
      <w:pPr>
        <w:spacing w:after="240" w:line="300" w:lineRule="auto"/>
        <w:ind w:left="360"/>
      </w:pPr>
      <w:r>
        <w:rPr>
          <w:b/>
          <w:bCs/>
        </w:rPr>
        <w:t>Deryugina, Heutel, Miller, Molitor, and Reif (2019)</w:t>
      </w:r>
      <w:r>
        <w:rPr>
          <w:i/>
          <w:iCs/>
          <w:color w:val="555555"/>
        </w:rPr>
        <w:t xml:space="preserve"> (American Economic Review). </w:t>
      </w:r>
      <w:r>
        <w:t xml:space="preserve">The foundational paper using wind direction as an instrument for air pollution. Instrument for PM2.5 using daily changes in local wind direction, estimating effects of acute PM2.5 exposure on elderly mortality using Medicare data. Find that a 1 μg/m³ increase in PM2.5 causes 0.69 additional deaths per million elderly. The innovation is that the approach does not require knowing the location of pollution sources—it simply exploits the fact that wind direction shifts nonlocal pollution in and out of a county. This has become the standard IV in the air pollution–health literature and has been adopted by numerous follow-on papers. Your approach differs importantly: rather than using wind as an instrument for total PM2.5, you use data (Childs et al. 2022) that has already separated wildfire smoke PM2.5 from other </w:t>
      </w:r>
      <w:proofErr w:type="gramStart"/>
      <w:r>
        <w:t>sources, and</w:t>
      </w:r>
      <w:proofErr w:type="gramEnd"/>
      <w:r>
        <w:t xml:space="preserve"> argue that the atmospheric dispersion of smoke is quasi-random conditional on county and year fixed effects. You might consider citing </w:t>
      </w:r>
      <w:r>
        <w:lastRenderedPageBreak/>
        <w:t>Deryugina et al. explicitly when discussing identification, since reviewers will naturally think of this paper.</w:t>
      </w:r>
    </w:p>
    <w:p w14:paraId="01DF0265" w14:textId="77777777" w:rsidR="00C1796B" w:rsidRDefault="00000000">
      <w:pPr>
        <w:spacing w:after="240" w:line="300" w:lineRule="auto"/>
        <w:ind w:left="360"/>
      </w:pPr>
      <w:r>
        <w:rPr>
          <w:b/>
          <w:bCs/>
        </w:rPr>
        <w:t>Anderson (2020)</w:t>
      </w:r>
      <w:r>
        <w:rPr>
          <w:i/>
          <w:iCs/>
          <w:color w:val="555555"/>
        </w:rPr>
        <w:t xml:space="preserve"> (Review of Economics and Statistics). </w:t>
      </w:r>
      <w:r>
        <w:t>Uses wind direction across a highway in Los Angeles to identify effects of traffic-related pollution on long-term health. A more local version of the wind-direction approach.</w:t>
      </w:r>
    </w:p>
    <w:p w14:paraId="636B97E2" w14:textId="77777777" w:rsidR="00C1796B" w:rsidRDefault="00000000">
      <w:pPr>
        <w:spacing w:after="240" w:line="300" w:lineRule="auto"/>
        <w:ind w:left="360"/>
      </w:pPr>
      <w:r>
        <w:rPr>
          <w:b/>
          <w:bCs/>
        </w:rPr>
        <w:t>Schlenker and Walker (2016)</w:t>
      </w:r>
      <w:r>
        <w:rPr>
          <w:i/>
          <w:iCs/>
          <w:color w:val="555555"/>
        </w:rPr>
        <w:t xml:space="preserve"> (Review of Economic Studies). </w:t>
      </w:r>
      <w:r>
        <w:t>Use daily variation in airport congestion as an instrument for pollution, showing that carbon monoxide from airport traffic affects hospitalization rates in nearby communities. Another influential quasi-experimental design in the pollution–health literature.</w:t>
      </w:r>
    </w:p>
    <w:p w14:paraId="31AEA5FA" w14:textId="77777777" w:rsidR="00C1796B" w:rsidRDefault="00000000">
      <w:pPr>
        <w:spacing w:after="240" w:line="300" w:lineRule="auto"/>
        <w:ind w:left="360"/>
      </w:pPr>
      <w:r>
        <w:rPr>
          <w:b/>
          <w:bCs/>
        </w:rPr>
        <w:t>Rangel and Vogl (2019)</w:t>
      </w:r>
      <w:r>
        <w:rPr>
          <w:i/>
          <w:iCs/>
          <w:color w:val="555555"/>
        </w:rPr>
        <w:t xml:space="preserve"> (Review of Economics and Statistics). </w:t>
      </w:r>
      <w:r>
        <w:t>Use upwind/downwind variation from agricultural fires in Brazil to study effects on birth outcomes. Conceptually very close to your approach: agricultural fires produce smoke that drifts with wind, creating exogenous variation in exposure for downwind communities.</w:t>
      </w:r>
    </w:p>
    <w:p w14:paraId="14222F61" w14:textId="77777777" w:rsidR="00C1796B" w:rsidRDefault="00000000">
      <w:pPr>
        <w:spacing w:after="240" w:line="300" w:lineRule="auto"/>
        <w:ind w:left="360"/>
      </w:pPr>
      <w:r>
        <w:rPr>
          <w:b/>
          <w:bCs/>
        </w:rPr>
        <w:t>IZA Working Paper (2024) – Chile wildfire smoke and human capital</w:t>
      </w:r>
      <w:r>
        <w:rPr>
          <w:i/>
          <w:iCs/>
          <w:color w:val="555555"/>
        </w:rPr>
        <w:t xml:space="preserve"> (IZA Discussion Paper 18256). </w:t>
      </w:r>
      <w:r>
        <w:t>Uses HYSPLIT atmospheric dispersion modeling to simulate smoke plume trajectories from specific Chilean wildfires, creating municipality-level exposure measures. This “modeled exposure” approach is more structural than yours or Borgschulte et al.’</w:t>
      </w:r>
      <w:proofErr w:type="gramStart"/>
      <w:r>
        <w:t>s, but</w:t>
      </w:r>
      <w:proofErr w:type="gramEnd"/>
      <w:r>
        <w:t xml:space="preserve"> serves the same identification purpose: exploiting atmospheric conditions to isolate exogenous pollution variation. Worth citing as a methodological comparison.</w:t>
      </w:r>
    </w:p>
    <w:p w14:paraId="7E80619E" w14:textId="77777777" w:rsidR="00C1796B" w:rsidRDefault="00000000">
      <w:pPr>
        <w:spacing w:after="240" w:line="300" w:lineRule="auto"/>
        <w:ind w:left="360"/>
      </w:pPr>
      <w:r>
        <w:rPr>
          <w:b/>
          <w:bCs/>
        </w:rPr>
        <w:t>Callaway, Goodman-Bacon, and Sant’Anna (2024)</w:t>
      </w:r>
      <w:r>
        <w:rPr>
          <w:i/>
          <w:iCs/>
          <w:color w:val="555555"/>
        </w:rPr>
        <w:t xml:space="preserve"> (NBER Working Paper 32117). </w:t>
      </w:r>
      <w:r>
        <w:t>Not about pollution, but about econometric methodology. Show that TWFE with continuous treatment can produce coefficients lacking clear causal interpretation when treatment effect heterogeneity is correlated with treatment intensity. You already discuss this in Section 4 of your paper, which is important since your treatment (smoke PM2.5) is continuous. Your arguments for why this is less concerning in your setting—atmospheric assignment, linear specification, robustness to binary treatment—are well-taken.</w:t>
      </w:r>
    </w:p>
    <w:p w14:paraId="1E2DF23F" w14:textId="77777777" w:rsidR="00C1796B" w:rsidRDefault="00000000">
      <w:pPr>
        <w:pStyle w:val="Heading1"/>
      </w:pPr>
      <w:r>
        <w:t>6. Positioning Your Contribution</w:t>
      </w:r>
    </w:p>
    <w:p w14:paraId="63B31A80" w14:textId="77777777" w:rsidR="00C1796B" w:rsidRDefault="00000000">
      <w:pPr>
        <w:spacing w:after="200" w:line="300" w:lineRule="auto"/>
      </w:pPr>
      <w:r>
        <w:t>Your paper sits at the intersection of these four literatures. Here is how it relates to each:</w:t>
      </w:r>
    </w:p>
    <w:p w14:paraId="690C8281" w14:textId="77777777" w:rsidR="00C1796B" w:rsidRDefault="00000000">
      <w:pPr>
        <w:spacing w:after="200" w:line="300" w:lineRule="auto"/>
      </w:pPr>
      <w:r>
        <w:lastRenderedPageBreak/>
        <w:t>Relative to the environmental shocks and voting literature (Hazlett and Mildenberger 2020; Healy and Malhotra 2010), your innovation is the treatment variable: smoke exposure rather than fire proximity or disaster declarations. Smoke is plausibly exogenous, affects far more people, and isolates the experiential/health channel from property destruction.</w:t>
      </w:r>
    </w:p>
    <w:p w14:paraId="1FF77F2F" w14:textId="77777777" w:rsidR="00C1796B" w:rsidRDefault="00000000">
      <w:pPr>
        <w:spacing w:after="200" w:line="300" w:lineRule="auto"/>
      </w:pPr>
      <w:r>
        <w:t xml:space="preserve">Relative to the air pollution and voting literature (Bellani et al. 2024), your setting differs in that wildfire smoke is visible and salient. This means both the affect channel (smoke makes people feel bad) and the salience channel (smoke makes climate change tangible) can operate simultaneously. The fact that your pro-Democratic effect is </w:t>
      </w:r>
      <w:proofErr w:type="gramStart"/>
      <w:r>
        <w:t>fragile</w:t>
      </w:r>
      <w:proofErr w:type="gramEnd"/>
      <w:r>
        <w:t xml:space="preserve"> but the anti-incumbent effect is robust may help disentangle these: salience shifts votes toward Democrats, while affect punishes the incumbent regardless of party.</w:t>
      </w:r>
    </w:p>
    <w:p w14:paraId="74D6EC43" w14:textId="77777777" w:rsidR="00C1796B" w:rsidRDefault="00000000">
      <w:pPr>
        <w:spacing w:after="200" w:line="300" w:lineRule="auto"/>
      </w:pPr>
      <w:r>
        <w:t>Relative to the wildfire smoke economics literature (Borgschulte et al. 2022; Miller et al. 2024), you provide the first evidence that smoke affects political behavior, not just health and labor markets. This is a meaningful extension because it shows that the welfare costs of smoke include democratic consequences.</w:t>
      </w:r>
    </w:p>
    <w:p w14:paraId="7432BD66" w14:textId="77777777" w:rsidR="00C1796B" w:rsidRDefault="00000000">
      <w:pPr>
        <w:spacing w:after="200" w:line="300" w:lineRule="auto"/>
      </w:pPr>
      <w:r>
        <w:t>Relative to the identification literature (Deryugina et al. 2019), your use of source-separated smoke PM2.5 from Childs et al. (2022) is both a strength and a simplification. You avoid the need for an instrument because the data already isolates the exogenous component, but this means your identification rests on the quality of the Childs et al. machine learning separation rather than on an exclusion restriction. Citing Borgschulte et al.’s wind-direction robustness check and replicating it could address this.</w:t>
      </w:r>
    </w:p>
    <w:p w14:paraId="5998E405" w14:textId="77777777" w:rsidR="00C1796B" w:rsidRDefault="00000000">
      <w:pPr>
        <w:pStyle w:val="Heading1"/>
      </w:pPr>
      <w:r>
        <w:t>7. Perceptual Thresholds: When Is Smoke Noticeable?</w:t>
      </w:r>
    </w:p>
    <w:p w14:paraId="5970784B" w14:textId="77777777" w:rsidR="00C1796B" w:rsidRDefault="00000000">
      <w:pPr>
        <w:spacing w:after="200" w:line="300" w:lineRule="auto"/>
      </w:pPr>
      <w:r>
        <w:t xml:space="preserve">A key distinction between your paper and Bellani et al. (2024) is that wildfire smoke is perceptible to people—they can see it, smell it, and feel its irritating effects—whereas day-to-day fluctuations in ambient PM10 are not. This matters theoretically because it determines which mechanisms can operate: if pollution is imperceptible, only the subconscious affect channel is available; if it is salient, both </w:t>
      </w:r>
      <w:proofErr w:type="gramStart"/>
      <w:r>
        <w:t>affect</w:t>
      </w:r>
      <w:proofErr w:type="gramEnd"/>
      <w:r>
        <w:t xml:space="preserve"> and deliberate salience/attribution channels can operate. Understanding the PM2.5 thresholds at which smoke becomes perceptible to humans helps contextualize your treatment variable and the magnitudes you report.</w:t>
      </w:r>
    </w:p>
    <w:p w14:paraId="4AC3C557" w14:textId="77777777" w:rsidR="00C1796B" w:rsidRDefault="00000000">
      <w:pPr>
        <w:pStyle w:val="Heading2"/>
      </w:pPr>
      <w:r>
        <w:t>7.1 Visual Perception: Haze and Reduced Visibility</w:t>
      </w:r>
    </w:p>
    <w:p w14:paraId="53766A41" w14:textId="77777777" w:rsidR="00C1796B" w:rsidRDefault="00000000">
      <w:pPr>
        <w:spacing w:after="200" w:line="300" w:lineRule="auto"/>
      </w:pPr>
      <w:r>
        <w:t xml:space="preserve">PM2.5 is the main driver of reduced visibility (haze) in the United States (EPA). The relationship between PM2.5 concentrations and visual range is well established, </w:t>
      </w:r>
      <w:r>
        <w:lastRenderedPageBreak/>
        <w:t>particularly for wildfire smoke. O’Neill, Lahm, Fitch, and Broughton (2013, Journal of the Air &amp; Waste Management Association) derive the empirical relationship PM2.5 = 622 × VR</w:t>
      </w:r>
      <w:proofErr w:type="gramStart"/>
      <w:r>
        <w:t>^(</w:t>
      </w:r>
      <w:proofErr w:type="gramEnd"/>
      <w:r>
        <w:t>−0.98), where VR is visual range in kilometers, with a correlation of 0.99. This relationship was originally calibrated from co-located PM2.5 monitors and airport visibility observations in Helena, Montana during heavy smoke events.</w:t>
      </w:r>
    </w:p>
    <w:p w14:paraId="00D71CAE" w14:textId="77777777" w:rsidR="00C1796B" w:rsidRDefault="00000000">
      <w:pPr>
        <w:spacing w:after="200" w:line="300" w:lineRule="auto"/>
      </w:pPr>
      <w:r>
        <w:t>The practical visibility thresholds used by U.S. public health agencies for wildfire smoke (from the EPA’s Wildfire Smoke: A Guide for Public Health Officials) are approximately as follows. When visual range exceeds about 12–15 miles (roughly 20–25 km), air quality is classified as “good,” corresponding to 1–</w:t>
      </w:r>
      <w:proofErr w:type="gramStart"/>
      <w:r>
        <w:t>3 hour</w:t>
      </w:r>
      <w:proofErr w:type="gramEnd"/>
      <w:r>
        <w:t xml:space="preserve"> PM2.5 below about 38 μg/m³. When visual range drops to 5–11 miles (8–18 km), air quality is “moderate” (PM2.5 roughly 39–88 μg/m³). Below 5 miles (~8 km), conditions are classified as “unhealthy for sensitive groups” or worse, and below 1–3 miles, conditions are “very unhealthy” to “hazardous.”</w:t>
      </w:r>
    </w:p>
    <w:p w14:paraId="5773E340" w14:textId="77777777" w:rsidR="00C1796B" w:rsidRDefault="00000000">
      <w:pPr>
        <w:spacing w:after="200" w:line="300" w:lineRule="auto"/>
      </w:pPr>
      <w:r>
        <w:t>This means that haze becomes noticeable to most people at PM2.5 concentrations somewhere in the range of 20–40 μg/m³, depending on background conditions and humidity. In arid western environments where baseline visibility is very high, haze from smoke can be perceptible at even lower concentrations. For context, your sample mean smoke PM2.5 is 2.7 μg/m³ over the 60-day pre-election window, and the extreme 2020 Western fire season produced means around 40 μg/m³. This implies that at the sample mean, smoke would not be visually obvious as haze, but that counties with above-average exposure—particularly in the right tail of the distribution—would experience clearly visible smoke.</w:t>
      </w:r>
    </w:p>
    <w:p w14:paraId="13E1F641" w14:textId="77777777" w:rsidR="00C1796B" w:rsidRDefault="00000000">
      <w:pPr>
        <w:pStyle w:val="Heading2"/>
      </w:pPr>
      <w:r>
        <w:t>7.2 Olfactory Perception: Smell</w:t>
      </w:r>
    </w:p>
    <w:p w14:paraId="5EB0DF0C" w14:textId="77777777" w:rsidR="00C1796B" w:rsidRDefault="00000000">
      <w:pPr>
        <w:spacing w:after="200" w:line="300" w:lineRule="auto"/>
      </w:pPr>
      <w:r>
        <w:t>The smell of wildfire smoke operates through a different channel than the particulate matter itself. Smoke odor comes primarily from volatile organic compounds (VOCs)—not from PM2.5 particles, which are too small to trigger olfactory receptors. The key VOCs in wildfire smoke include acrolein, formaldehyde, benzene, and various phenolic compounds. Because VOCs and PM2.5 are co-emitted but have different atmospheric lifetimes and dispersion characteristics, the relationship between PM2.5 concentration and perceptible odor is imperfect.</w:t>
      </w:r>
    </w:p>
    <w:p w14:paraId="4269BB7B" w14:textId="77777777" w:rsidR="00C1796B" w:rsidRDefault="00000000">
      <w:pPr>
        <w:spacing w:after="200" w:line="300" w:lineRule="auto"/>
      </w:pPr>
      <w:r>
        <w:t xml:space="preserve">There are no well-established PM2.5 thresholds at which wildfire smoke becomes reliably detectable by smell. Several features of the problem make this difficult to pin down. First, VOCs and PM2.5 disperse and decay at different rates—smoke can lose its characteristic smell within about a day of travel while PM2.5 persists longer. This means that smoke transported long distances may still elevate PM2.5 without being smellable. </w:t>
      </w:r>
      <w:r>
        <w:lastRenderedPageBreak/>
        <w:t xml:space="preserve">Atmospheric scientist Jeff Pierce of Colorado State University has noted that in the Northeast United States, wildfire smoke transported from </w:t>
      </w:r>
      <w:proofErr w:type="gramStart"/>
      <w:r>
        <w:t>Canada</w:t>
      </w:r>
      <w:proofErr w:type="gramEnd"/>
      <w:r>
        <w:t xml:space="preserve"> or the West often does not smell like smoke, because the odor-causing VOCs have dissipated during transport, even though PM2.5 concentrations remain elevated. Washington State’s occupational safety agency explicitly warns that “wildfire smoke can be harmful even when it can’t be seen or smelled.”</w:t>
      </w:r>
    </w:p>
    <w:p w14:paraId="6D4A3BA4" w14:textId="77777777" w:rsidR="00C1796B" w:rsidRDefault="00000000">
      <w:pPr>
        <w:spacing w:after="200" w:line="300" w:lineRule="auto"/>
      </w:pPr>
      <w:r>
        <w:t>Second, olfactory sensitivity varies enormously across individuals, with factors including age, smoking status, and sex all affecting detection thresholds. Third, olfactory adaptation (habituation) occurs rapidly—people exposed to smoke for extended periods may stop noticing the smell even as concentrations remain high.</w:t>
      </w:r>
    </w:p>
    <w:p w14:paraId="53DEFA3D" w14:textId="77777777" w:rsidR="00C1796B" w:rsidRDefault="00000000">
      <w:pPr>
        <w:spacing w:after="200" w:line="300" w:lineRule="auto"/>
      </w:pPr>
      <w:r>
        <w:t xml:space="preserve">That said, during acute smoke events where PM2.5 is elevated to levels in the “unhealthy” range (roughly 55+ μg/m³ for 24-hour averages, higher for short-term peaks), smoke odor is typically </w:t>
      </w:r>
      <w:proofErr w:type="gramStart"/>
      <w:r>
        <w:t>quite obvious</w:t>
      </w:r>
      <w:proofErr w:type="gramEnd"/>
      <w:r>
        <w:t xml:space="preserve"> to most people, particularly if the smoke is relatively fresh (originating within a few hundred miles). At these levels, people also commonly report eye, nose, and throat irritation—physical symptoms that make the smoke experience highly salient regardless of whether they can identify the smell.</w:t>
      </w:r>
    </w:p>
    <w:p w14:paraId="2C32D326" w14:textId="77777777" w:rsidR="00C1796B" w:rsidRDefault="00000000">
      <w:pPr>
        <w:pStyle w:val="Heading2"/>
      </w:pPr>
      <w:r>
        <w:t>7.3 Implications for Your Paper</w:t>
      </w:r>
    </w:p>
    <w:p w14:paraId="34DB1C3E" w14:textId="77777777" w:rsidR="00C1796B" w:rsidRDefault="00000000">
      <w:pPr>
        <w:spacing w:after="200" w:line="300" w:lineRule="auto"/>
      </w:pPr>
      <w:r>
        <w:t>The perceptual thresholds have several implications for interpreting your results:</w:t>
      </w:r>
    </w:p>
    <w:p w14:paraId="54D73C48" w14:textId="77777777" w:rsidR="00C1796B" w:rsidRDefault="00000000">
      <w:pPr>
        <w:spacing w:after="200" w:line="300" w:lineRule="auto"/>
      </w:pPr>
      <w:r>
        <w:t>First, your treatment variable is a 60-day mean. Even if daily peaks produced visible haze or detectable odor, averaging over 60 days will dilute this. A mean smoke PM2.5 of 2.7 μg/m³ could reflect many clean days plus a few smoky episodes, or persistent low-level smoke. The temporal dynamics results (Figure 1) showing larger effects at shorter windows are consistent with the idea that acute, perceptible smoke events drive the political response.</w:t>
      </w:r>
    </w:p>
    <w:p w14:paraId="6030741D" w14:textId="77777777" w:rsidR="00C1796B" w:rsidRDefault="00000000">
      <w:pPr>
        <w:spacing w:after="200" w:line="300" w:lineRule="auto"/>
      </w:pPr>
      <w:r>
        <w:t>Second, the distinction between Bellani et al.’s invisible PM10 and your visible/smellable smoke is important for mechanism. If your effects operated only through subconscious mood changes (as in Bellani et al.), we would not necessarily expect the pro-Democratic salience effect. The fact that you find both a pro-Democratic shift (salience) and incumbent punishment (affect) is consistent with smoke being perceptible enough to activate deliberate climate-related reasoning in addition to mood effects.</w:t>
      </w:r>
    </w:p>
    <w:p w14:paraId="3DE37432" w14:textId="77777777" w:rsidR="00C1796B" w:rsidRDefault="00000000">
      <w:pPr>
        <w:spacing w:after="200" w:line="300" w:lineRule="auto"/>
      </w:pPr>
      <w:r>
        <w:t xml:space="preserve">Third, the finding that your pro-Democratic effect is driven by the 2020 fire season—when smoke levels were extreme and highly perceptible—while the anti-incumbent effect is robust even without 2020, suggests that the salience channel may require </w:t>
      </w:r>
      <w:r>
        <w:lastRenderedPageBreak/>
        <w:t>perceptible smoke (high concentrations) while the affect channel operates at lower, possibly imperceptible levels. This is an interesting distinction you could develop further.</w:t>
      </w:r>
    </w:p>
    <w:p w14:paraId="59ED7F13" w14:textId="77777777" w:rsidR="00C1796B" w:rsidRDefault="00000000">
      <w:pPr>
        <w:spacing w:after="200" w:line="300" w:lineRule="auto"/>
      </w:pPr>
      <w:r>
        <w:t>Fourth, you might consider a specification that interacts smoke exposure with an indicator for whether daily smoke PM2.5 exceeded a perceptibility threshold (say, 20–35 μg/m³ on any given day in the pre-election window), to test whether the number of “perceptible smoke days” predicts voting differently than average smoke PM2.5. This could help disentangle the salience and affect channels.</w:t>
      </w:r>
    </w:p>
    <w:p w14:paraId="0730DEBD" w14:textId="77777777" w:rsidR="00C1796B" w:rsidRDefault="00000000">
      <w:pPr>
        <w:spacing w:after="200" w:line="300" w:lineRule="auto"/>
      </w:pPr>
      <w:r>
        <w:t xml:space="preserve">Fifth, and relatedly, an alternative treatment variable worth considering is the share of days in the pre-election window in which daily smoke PM2.5 exceeded a health-relevant threshold. The EPA’s 24-hour PM2.5 standard is 35 μg/m³, and AQI breakpoints classify daily PM2.5 above 35.5 μg/m³ as “Unhealthy for Sensitive Groups” (AQI 101–150) and above 55.5 μg/m³ as “Unhealthy” for everyone (AQI 151–200). Computing the fraction of days in the 30- or 60-day pre-election window that exceeded one of these thresholds has several advantages over mean smoke PM2.5. It is more directly interpretable as a measure of salient exposure: a county where 10 of 60 days had unhealthy air is more meaningfully “smoke-affected” than one where mild background smoke was persistent but imperceptible. It also reduces sensitivity to the extreme right tail of the daily distribution, which can distort the mean and generate leverage for individual observations. Since the Childs et al. (2022) data provide daily county-level smoke PM2.5, computing this measure is straightforward. You could estimate specifications using the share of days above 35 μg/m³ (a threshold where haze is </w:t>
      </w:r>
      <w:proofErr w:type="gramStart"/>
      <w:r>
        <w:t>visible</w:t>
      </w:r>
      <w:proofErr w:type="gramEnd"/>
      <w:r>
        <w:t xml:space="preserve"> and many people experience symptoms) or above 55 μg/m³ (where smoke is unmistakable and nearly everyone is aware of it). If the pro-Democratic effect is driven by salience while the anti-incumbent effect operates through mood, the share-of-unhealthy-days measure should predict the Democratic vote share more strongly than mean PM2.5, while the mean might be a better predictor of incumbent punishment. This would provide a clean test of the dual-mechanism interpretation you propose in the discussion.</w:t>
      </w:r>
    </w:p>
    <w:p w14:paraId="78DD9C2C" w14:textId="77777777" w:rsidR="00C1796B" w:rsidRDefault="00000000">
      <w:pPr>
        <w:pStyle w:val="Heading1"/>
      </w:pPr>
      <w:r>
        <w:t>8. Possible Additional Citations</w:t>
      </w:r>
    </w:p>
    <w:p w14:paraId="68BD47EE" w14:textId="77777777" w:rsidR="00C1796B" w:rsidRDefault="00000000">
      <w:pPr>
        <w:spacing w:after="200" w:line="300" w:lineRule="auto"/>
      </w:pPr>
      <w:r>
        <w:t>Childs, Li, Wen, Heft-Neal, Drber, and Burke (2022), Environmental Science &amp; Technology — the data source you already cite; reviewers will want to understand its validation.</w:t>
      </w:r>
    </w:p>
    <w:p w14:paraId="407D70B8" w14:textId="77777777" w:rsidR="00C1796B" w:rsidRDefault="00000000">
      <w:pPr>
        <w:spacing w:after="200" w:line="300" w:lineRule="auto"/>
      </w:pPr>
      <w:r>
        <w:lastRenderedPageBreak/>
        <w:t xml:space="preserve">Goebel et al. (2015) on the Fukushima disaster and </w:t>
      </w:r>
      <w:proofErr w:type="gramStart"/>
      <w:r>
        <w:t>Green</w:t>
      </w:r>
      <w:proofErr w:type="gramEnd"/>
      <w:r>
        <w:t xml:space="preserve"> voting in Germany — a case where an environmental disaster had large, rapid effects on party support.</w:t>
      </w:r>
    </w:p>
    <w:p w14:paraId="275A14F8" w14:textId="77777777" w:rsidR="00C1796B" w:rsidRDefault="00000000">
      <w:pPr>
        <w:spacing w:after="200" w:line="300" w:lineRule="auto"/>
      </w:pPr>
      <w:r>
        <w:t>Fowler and Hall (2018) — the rebuttal to the shark-attack finding in Achen and Bartels; useful for positioning the “blind retrospection” debate.</w:t>
      </w:r>
    </w:p>
    <w:p w14:paraId="45E32491" w14:textId="77777777" w:rsidR="00C1796B" w:rsidRDefault="00000000">
      <w:pPr>
        <w:spacing w:after="200" w:line="300" w:lineRule="auto"/>
      </w:pPr>
      <w:r>
        <w:t>Kahn and Kotchen (2011) on local weather and climate change beliefs — an early contribution to the salience literature.</w:t>
      </w:r>
    </w:p>
    <w:p w14:paraId="35FEAA8A" w14:textId="77777777" w:rsidR="00C1796B" w:rsidRDefault="00000000">
      <w:pPr>
        <w:spacing w:after="200" w:line="300" w:lineRule="auto"/>
      </w:pPr>
      <w:r>
        <w:t>Osberghaus and Fugger (2022) on natural disasters and climate change beliefs — establishes that distance matters for belief updating, relevant to your point that smoke reaches far more people than fire proximity.</w:t>
      </w:r>
    </w:p>
    <w:sectPr w:rsidR="00C1796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066C0"/>
    <w:multiLevelType w:val="hybridMultilevel"/>
    <w:tmpl w:val="5F3AB6F0"/>
    <w:lvl w:ilvl="0" w:tplc="9B940D24">
      <w:start w:val="1"/>
      <w:numFmt w:val="bullet"/>
      <w:lvlText w:val="●"/>
      <w:lvlJc w:val="left"/>
      <w:pPr>
        <w:ind w:left="720" w:hanging="360"/>
      </w:pPr>
    </w:lvl>
    <w:lvl w:ilvl="1" w:tplc="5FEEC15A">
      <w:start w:val="1"/>
      <w:numFmt w:val="bullet"/>
      <w:lvlText w:val="○"/>
      <w:lvlJc w:val="left"/>
      <w:pPr>
        <w:ind w:left="1440" w:hanging="360"/>
      </w:pPr>
    </w:lvl>
    <w:lvl w:ilvl="2" w:tplc="1B0E5F18">
      <w:start w:val="1"/>
      <w:numFmt w:val="bullet"/>
      <w:lvlText w:val="■"/>
      <w:lvlJc w:val="left"/>
      <w:pPr>
        <w:ind w:left="2160" w:hanging="360"/>
      </w:pPr>
    </w:lvl>
    <w:lvl w:ilvl="3" w:tplc="8C7E3E96">
      <w:start w:val="1"/>
      <w:numFmt w:val="bullet"/>
      <w:lvlText w:val="●"/>
      <w:lvlJc w:val="left"/>
      <w:pPr>
        <w:ind w:left="2880" w:hanging="360"/>
      </w:pPr>
    </w:lvl>
    <w:lvl w:ilvl="4" w:tplc="6344A3F8">
      <w:start w:val="1"/>
      <w:numFmt w:val="bullet"/>
      <w:lvlText w:val="○"/>
      <w:lvlJc w:val="left"/>
      <w:pPr>
        <w:ind w:left="3600" w:hanging="360"/>
      </w:pPr>
    </w:lvl>
    <w:lvl w:ilvl="5" w:tplc="03FE9704">
      <w:start w:val="1"/>
      <w:numFmt w:val="bullet"/>
      <w:lvlText w:val="■"/>
      <w:lvlJc w:val="left"/>
      <w:pPr>
        <w:ind w:left="4320" w:hanging="360"/>
      </w:pPr>
    </w:lvl>
    <w:lvl w:ilvl="6" w:tplc="1C203A5A">
      <w:start w:val="1"/>
      <w:numFmt w:val="bullet"/>
      <w:lvlText w:val="●"/>
      <w:lvlJc w:val="left"/>
      <w:pPr>
        <w:ind w:left="5040" w:hanging="360"/>
      </w:pPr>
    </w:lvl>
    <w:lvl w:ilvl="7" w:tplc="FE4EC4C4">
      <w:start w:val="1"/>
      <w:numFmt w:val="bullet"/>
      <w:lvlText w:val="●"/>
      <w:lvlJc w:val="left"/>
      <w:pPr>
        <w:ind w:left="5760" w:hanging="360"/>
      </w:pPr>
    </w:lvl>
    <w:lvl w:ilvl="8" w:tplc="20584544">
      <w:start w:val="1"/>
      <w:numFmt w:val="bullet"/>
      <w:lvlText w:val="●"/>
      <w:lvlJc w:val="left"/>
      <w:pPr>
        <w:ind w:left="6480" w:hanging="360"/>
      </w:pPr>
    </w:lvl>
  </w:abstractNum>
  <w:num w:numId="1" w16cid:durableId="956859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96B"/>
    <w:rsid w:val="005A2099"/>
    <w:rsid w:val="00C1796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D197B90"/>
  <w15:docId w15:val="{85DAC9BB-DD8D-9141-B79C-899FDEBB0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32"/>
      <w:szCs w:val="32"/>
    </w:rPr>
  </w:style>
  <w:style w:type="paragraph" w:styleId="Heading2">
    <w:name w:val="heading 2"/>
    <w:uiPriority w:val="9"/>
    <w:unhideWhenUsed/>
    <w:qFormat/>
    <w:pPr>
      <w:spacing w:before="280" w:after="160"/>
      <w:outlineLvl w:val="1"/>
    </w:pPr>
    <w:rPr>
      <w:b/>
      <w:bCs/>
      <w:color w:val="333333"/>
      <w:sz w:val="28"/>
      <w:szCs w:val="28"/>
    </w:rPr>
  </w:style>
  <w:style w:type="paragraph" w:styleId="Heading3">
    <w:name w:val="heading 3"/>
    <w:uiPriority w:val="9"/>
    <w:semiHidden/>
    <w:unhideWhenUsed/>
    <w:qFormat/>
    <w:pPr>
      <w:spacing w:before="200" w:after="120"/>
      <w:outlineLvl w:val="2"/>
    </w:pPr>
    <w:rPr>
      <w:b/>
      <w:bCs/>
      <w:i/>
      <w:iCs/>
      <w:color w:val="44444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5134</Words>
  <Characters>29270</Characters>
  <Application>Microsoft Office Word</Application>
  <DocSecurity>0</DocSecurity>
  <Lines>243</Lines>
  <Paragraphs>68</Paragraphs>
  <ScaleCrop>false</ScaleCrop>
  <Company/>
  <LinksUpToDate>false</LinksUpToDate>
  <CharactersWithSpaces>34336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Clingingsmith</cp:lastModifiedBy>
  <cp:revision>2</cp:revision>
  <dcterms:created xsi:type="dcterms:W3CDTF">2026-02-14T20:04:00Z</dcterms:created>
  <dcterms:modified xsi:type="dcterms:W3CDTF">2026-02-14T20:04:00Z</dcterms:modified>
</cp:coreProperties>
</file>