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A43" w:rsidRPr="004A37DA" w:rsidRDefault="00AF188F" w:rsidP="004A37DA">
      <w:pPr>
        <w:pStyle w:val="BATitle"/>
      </w:pPr>
      <w:bookmarkStart w:id="0" w:name="_GoBack"/>
      <w:bookmarkEnd w:id="0"/>
      <w:r w:rsidRPr="004A37DA">
        <w:t>Su</w:t>
      </w:r>
      <w:r w:rsidR="00D83AAA" w:rsidRPr="004A37DA">
        <w:t>pplementary</w:t>
      </w:r>
      <w:r w:rsidRPr="004A37DA">
        <w:t xml:space="preserve"> Information for the manuscript:</w:t>
      </w:r>
    </w:p>
    <w:p w:rsidR="004A37DA" w:rsidRDefault="004A37DA" w:rsidP="004A37DA">
      <w:pPr>
        <w:spacing w:line="480" w:lineRule="auto"/>
        <w:jc w:val="both"/>
        <w:rPr>
          <w:rFonts w:ascii="Times New Roman" w:hAnsi="Times New Roman" w:cs="Times New Roman"/>
          <w:b/>
          <w:sz w:val="32"/>
          <w:szCs w:val="32"/>
        </w:rPr>
      </w:pPr>
      <w:r>
        <w:rPr>
          <w:rFonts w:ascii="Times New Roman" w:hAnsi="Times New Roman" w:cs="Times New Roman"/>
          <w:b/>
          <w:sz w:val="32"/>
          <w:szCs w:val="32"/>
        </w:rPr>
        <w:t>“</w:t>
      </w:r>
      <w:r w:rsidRPr="00E338D3">
        <w:rPr>
          <w:rFonts w:ascii="Times New Roman" w:hAnsi="Times New Roman" w:cs="Times New Roman"/>
          <w:b/>
          <w:sz w:val="32"/>
          <w:szCs w:val="32"/>
        </w:rPr>
        <w:t>Phase equilibria, solvent properties, and protein partitioning in aqueous polyethylene glycol-600-trimethylamine N-oxide and polyethylene glycol-600-choline chloride two-phase systems</w:t>
      </w:r>
      <w:r>
        <w:rPr>
          <w:rFonts w:ascii="Times New Roman" w:hAnsi="Times New Roman" w:cs="Times New Roman"/>
          <w:b/>
          <w:sz w:val="32"/>
          <w:szCs w:val="32"/>
        </w:rPr>
        <w:t>”</w:t>
      </w:r>
    </w:p>
    <w:p w:rsidR="004A37DA" w:rsidRPr="000F775D" w:rsidRDefault="004A37DA" w:rsidP="004A37DA">
      <w:pPr>
        <w:spacing w:line="360" w:lineRule="auto"/>
        <w:jc w:val="both"/>
        <w:rPr>
          <w:rFonts w:asciiTheme="majorBidi" w:hAnsiTheme="majorBidi" w:cstheme="majorBidi"/>
          <w:b/>
          <w:bCs/>
          <w:sz w:val="24"/>
          <w:szCs w:val="24"/>
          <w:lang w:val="pt-PT"/>
        </w:rPr>
      </w:pPr>
      <w:r w:rsidRPr="000F775D">
        <w:rPr>
          <w:rFonts w:asciiTheme="majorBidi" w:hAnsiTheme="majorBidi" w:cstheme="majorBidi"/>
          <w:b/>
          <w:bCs/>
          <w:sz w:val="24"/>
          <w:szCs w:val="24"/>
          <w:lang w:val="pt-PT"/>
        </w:rPr>
        <w:t>Luisa A. Ferreira</w:t>
      </w:r>
      <w:r w:rsidRPr="000F775D">
        <w:rPr>
          <w:rFonts w:asciiTheme="majorBidi" w:hAnsiTheme="majorBidi" w:cstheme="majorBidi"/>
          <w:b/>
          <w:bCs/>
          <w:sz w:val="24"/>
          <w:szCs w:val="24"/>
          <w:vertAlign w:val="superscript"/>
          <w:lang w:val="pt-PT"/>
        </w:rPr>
        <w:t>a</w:t>
      </w:r>
      <w:r w:rsidRPr="000F775D">
        <w:rPr>
          <w:rFonts w:asciiTheme="majorBidi" w:hAnsiTheme="majorBidi" w:cstheme="majorBidi"/>
          <w:b/>
          <w:bCs/>
          <w:sz w:val="24"/>
          <w:szCs w:val="24"/>
          <w:lang w:val="pt-PT"/>
        </w:rPr>
        <w:t>, Vladimir N. Uversky</w:t>
      </w:r>
      <w:r w:rsidRPr="000F775D">
        <w:rPr>
          <w:rFonts w:asciiTheme="majorBidi" w:hAnsiTheme="majorBidi" w:cstheme="majorBidi"/>
          <w:b/>
          <w:bCs/>
          <w:sz w:val="24"/>
          <w:szCs w:val="24"/>
          <w:vertAlign w:val="superscript"/>
          <w:lang w:val="pt-PT"/>
        </w:rPr>
        <w:t>b</w:t>
      </w:r>
      <w:r w:rsidRPr="000F775D">
        <w:rPr>
          <w:rFonts w:asciiTheme="majorBidi" w:hAnsiTheme="majorBidi" w:cstheme="majorBidi"/>
          <w:b/>
          <w:bCs/>
          <w:sz w:val="24"/>
          <w:szCs w:val="24"/>
          <w:lang w:val="pt-PT"/>
        </w:rPr>
        <w:t>, Boris Y. Zaslavsky</w:t>
      </w:r>
      <w:r w:rsidRPr="000F775D">
        <w:rPr>
          <w:rFonts w:asciiTheme="majorBidi" w:hAnsiTheme="majorBidi" w:cstheme="majorBidi"/>
          <w:b/>
          <w:bCs/>
          <w:sz w:val="24"/>
          <w:szCs w:val="24"/>
          <w:vertAlign w:val="superscript"/>
          <w:lang w:val="pt-PT"/>
        </w:rPr>
        <w:t>a*</w:t>
      </w:r>
    </w:p>
    <w:p w:rsidR="004A37DA" w:rsidRPr="00104E2E" w:rsidRDefault="004A37DA" w:rsidP="004A37DA">
      <w:pPr>
        <w:spacing w:after="0" w:line="360" w:lineRule="auto"/>
        <w:jc w:val="both"/>
        <w:rPr>
          <w:rFonts w:asciiTheme="majorBidi" w:hAnsiTheme="majorBidi" w:cstheme="majorBidi"/>
          <w:b/>
          <w:bCs/>
          <w:sz w:val="24"/>
          <w:szCs w:val="24"/>
        </w:rPr>
      </w:pPr>
      <w:r>
        <w:rPr>
          <w:rFonts w:asciiTheme="majorBidi" w:hAnsiTheme="majorBidi" w:cstheme="majorBidi"/>
          <w:i/>
          <w:iCs/>
          <w:sz w:val="24"/>
          <w:szCs w:val="24"/>
          <w:vertAlign w:val="superscript"/>
        </w:rPr>
        <w:t>a</w:t>
      </w:r>
      <w:r w:rsidRPr="00014913">
        <w:rPr>
          <w:rFonts w:asciiTheme="majorBidi" w:hAnsiTheme="majorBidi" w:cstheme="majorBidi"/>
          <w:i/>
          <w:iCs/>
          <w:sz w:val="24"/>
          <w:szCs w:val="24"/>
        </w:rPr>
        <w:t xml:space="preserve"> </w:t>
      </w:r>
      <w:r>
        <w:rPr>
          <w:rFonts w:asciiTheme="majorBidi" w:hAnsiTheme="majorBidi" w:cstheme="majorBidi"/>
          <w:i/>
          <w:iCs/>
          <w:sz w:val="24"/>
          <w:szCs w:val="24"/>
        </w:rPr>
        <w:t>Cleveland Diagnostics, Cleveland, OH 44114, USA.</w:t>
      </w:r>
    </w:p>
    <w:p w:rsidR="004A37DA" w:rsidRPr="00014913" w:rsidRDefault="004A37DA" w:rsidP="004A37DA">
      <w:pPr>
        <w:spacing w:after="0" w:line="360" w:lineRule="auto"/>
        <w:jc w:val="both"/>
        <w:rPr>
          <w:rFonts w:asciiTheme="majorBidi" w:hAnsiTheme="majorBidi" w:cstheme="majorBidi"/>
          <w:sz w:val="24"/>
          <w:szCs w:val="24"/>
        </w:rPr>
      </w:pPr>
      <w:r>
        <w:rPr>
          <w:rFonts w:asciiTheme="majorBidi" w:hAnsiTheme="majorBidi" w:cstheme="majorBidi"/>
          <w:i/>
          <w:iCs/>
          <w:sz w:val="24"/>
          <w:szCs w:val="24"/>
          <w:vertAlign w:val="superscript"/>
        </w:rPr>
        <w:t>b</w:t>
      </w:r>
      <w:r>
        <w:rPr>
          <w:rFonts w:asciiTheme="majorBidi" w:hAnsiTheme="majorBidi" w:cstheme="majorBidi"/>
          <w:i/>
          <w:iCs/>
          <w:sz w:val="24"/>
          <w:szCs w:val="24"/>
        </w:rPr>
        <w:t xml:space="preserve"> </w:t>
      </w:r>
      <w:r w:rsidRPr="00014913">
        <w:rPr>
          <w:rFonts w:asciiTheme="majorBidi" w:hAnsiTheme="majorBidi" w:cstheme="majorBidi"/>
          <w:i/>
          <w:iCs/>
          <w:sz w:val="24"/>
          <w:szCs w:val="24"/>
        </w:rPr>
        <w:t>Department of Molecular Medicine and USF Health Byrd Alzheimer's Research Institute, Morsani College of Medicine, University of South Flo</w:t>
      </w:r>
      <w:r>
        <w:rPr>
          <w:rFonts w:asciiTheme="majorBidi" w:hAnsiTheme="majorBidi" w:cstheme="majorBidi"/>
          <w:i/>
          <w:iCs/>
          <w:sz w:val="24"/>
          <w:szCs w:val="24"/>
        </w:rPr>
        <w:t>rida, Tampa, Florida 33612, USA.</w:t>
      </w:r>
    </w:p>
    <w:p w:rsidR="004A37DA" w:rsidRDefault="004A37DA" w:rsidP="005129AF">
      <w:pPr>
        <w:spacing w:line="480" w:lineRule="auto"/>
        <w:jc w:val="both"/>
        <w:rPr>
          <w:rFonts w:ascii="Times New Roman" w:hAnsi="Times New Roman" w:cs="Times New Roman"/>
          <w:sz w:val="20"/>
          <w:szCs w:val="20"/>
        </w:rPr>
      </w:pPr>
    </w:p>
    <w:p w:rsidR="00297BAB" w:rsidRPr="005129AF" w:rsidRDefault="00297BAB" w:rsidP="005129AF">
      <w:pPr>
        <w:spacing w:line="480" w:lineRule="auto"/>
        <w:jc w:val="both"/>
        <w:rPr>
          <w:rFonts w:ascii="Times New Roman" w:hAnsi="Times New Roman" w:cs="Times New Roman"/>
          <w:sz w:val="20"/>
          <w:szCs w:val="20"/>
        </w:rPr>
      </w:pPr>
      <w:r w:rsidRPr="005129AF">
        <w:rPr>
          <w:rFonts w:ascii="Times New Roman" w:hAnsi="Times New Roman" w:cs="Times New Roman"/>
          <w:sz w:val="20"/>
          <w:szCs w:val="20"/>
        </w:rPr>
        <w:t xml:space="preserve">*corresponding author (Email: </w:t>
      </w:r>
      <w:hyperlink r:id="rId8" w:history="1">
        <w:r w:rsidRPr="005129AF">
          <w:rPr>
            <w:rStyle w:val="Hyperlink"/>
            <w:rFonts w:ascii="Times New Roman" w:hAnsi="Times New Roman" w:cs="Times New Roman"/>
            <w:sz w:val="20"/>
            <w:szCs w:val="20"/>
          </w:rPr>
          <w:t>Boris.Zaslavsky@Cleveland-Diagnostics.com</w:t>
        </w:r>
      </w:hyperlink>
      <w:r w:rsidRPr="005129AF">
        <w:rPr>
          <w:rFonts w:ascii="Times New Roman" w:hAnsi="Times New Roman" w:cs="Times New Roman"/>
          <w:sz w:val="20"/>
          <w:szCs w:val="20"/>
        </w:rPr>
        <w:t>).</w:t>
      </w:r>
    </w:p>
    <w:p w:rsidR="008E00A1" w:rsidRPr="006B5171" w:rsidRDefault="008E00A1" w:rsidP="005129AF">
      <w:pPr>
        <w:autoSpaceDE w:val="0"/>
        <w:autoSpaceDN w:val="0"/>
        <w:adjustRightInd w:val="0"/>
        <w:spacing w:line="480" w:lineRule="auto"/>
        <w:jc w:val="both"/>
        <w:rPr>
          <w:rFonts w:ascii="Times New Roman" w:hAnsi="Times New Roman"/>
          <w:b/>
          <w:i/>
          <w:sz w:val="28"/>
          <w:szCs w:val="28"/>
        </w:rPr>
      </w:pPr>
    </w:p>
    <w:p w:rsidR="00AF188F" w:rsidRPr="005129AF" w:rsidRDefault="00AF188F" w:rsidP="004A37DA">
      <w:pPr>
        <w:pStyle w:val="RSCB04AHeadingSection"/>
        <w:spacing w:before="0" w:after="200" w:line="480" w:lineRule="auto"/>
        <w:rPr>
          <w:rFonts w:ascii="Times New Roman" w:hAnsi="Times New Roman"/>
          <w:bCs/>
          <w:szCs w:val="24"/>
        </w:rPr>
      </w:pPr>
      <w:r w:rsidRPr="005129AF">
        <w:rPr>
          <w:rFonts w:ascii="Times New Roman" w:hAnsi="Times New Roman"/>
          <w:bCs/>
          <w:szCs w:val="24"/>
        </w:rPr>
        <w:t>Contents:</w:t>
      </w:r>
    </w:p>
    <w:p w:rsidR="00AF188F" w:rsidRPr="005129AF" w:rsidRDefault="00F264AC" w:rsidP="004A37DA">
      <w:pPr>
        <w:autoSpaceDE w:val="0"/>
        <w:autoSpaceDN w:val="0"/>
        <w:adjustRightInd w:val="0"/>
        <w:spacing w:line="480" w:lineRule="auto"/>
        <w:jc w:val="both"/>
        <w:rPr>
          <w:rFonts w:ascii="Times New Roman" w:hAnsi="Times New Roman" w:cs="Times New Roman"/>
          <w:b/>
          <w:sz w:val="24"/>
          <w:szCs w:val="24"/>
        </w:rPr>
      </w:pPr>
      <w:r>
        <w:rPr>
          <w:rFonts w:ascii="Times New Roman" w:hAnsi="Times New Roman" w:cs="Times New Roman"/>
          <w:b/>
          <w:sz w:val="24"/>
          <w:szCs w:val="24"/>
        </w:rPr>
        <w:t>S1. Partitioning experiments</w:t>
      </w:r>
    </w:p>
    <w:p w:rsidR="00AF188F" w:rsidRPr="005129AF" w:rsidRDefault="00AF188F" w:rsidP="004A37DA">
      <w:pPr>
        <w:autoSpaceDE w:val="0"/>
        <w:autoSpaceDN w:val="0"/>
        <w:adjustRightInd w:val="0"/>
        <w:spacing w:line="480" w:lineRule="auto"/>
        <w:jc w:val="both"/>
        <w:rPr>
          <w:rFonts w:ascii="Times New Roman" w:hAnsi="Times New Roman" w:cs="Times New Roman"/>
          <w:b/>
          <w:color w:val="000000"/>
          <w:sz w:val="24"/>
          <w:szCs w:val="24"/>
        </w:rPr>
      </w:pPr>
      <w:r w:rsidRPr="005129AF">
        <w:rPr>
          <w:rFonts w:ascii="Times New Roman" w:hAnsi="Times New Roman" w:cs="Times New Roman"/>
          <w:b/>
          <w:sz w:val="24"/>
          <w:szCs w:val="24"/>
        </w:rPr>
        <w:t xml:space="preserve">S2. </w:t>
      </w:r>
      <w:r w:rsidRPr="005129AF">
        <w:rPr>
          <w:rFonts w:ascii="Times New Roman" w:hAnsi="Times New Roman" w:cs="Times New Roman"/>
          <w:b/>
          <w:color w:val="000000"/>
          <w:sz w:val="24"/>
          <w:szCs w:val="24"/>
        </w:rPr>
        <w:t>Solvatochromic studies</w:t>
      </w:r>
    </w:p>
    <w:p w:rsidR="00AF188F" w:rsidRDefault="00AF188F" w:rsidP="004A37DA">
      <w:pPr>
        <w:autoSpaceDE w:val="0"/>
        <w:autoSpaceDN w:val="0"/>
        <w:adjustRightInd w:val="0"/>
        <w:spacing w:line="480" w:lineRule="auto"/>
        <w:jc w:val="both"/>
        <w:rPr>
          <w:rFonts w:ascii="Times New Roman" w:hAnsi="Times New Roman" w:cs="Times New Roman"/>
          <w:b/>
          <w:i/>
          <w:sz w:val="24"/>
          <w:szCs w:val="24"/>
        </w:rPr>
      </w:pPr>
    </w:p>
    <w:p w:rsidR="004A37DA" w:rsidRDefault="004A37DA" w:rsidP="004A37DA">
      <w:pPr>
        <w:autoSpaceDE w:val="0"/>
        <w:autoSpaceDN w:val="0"/>
        <w:adjustRightInd w:val="0"/>
        <w:spacing w:line="480" w:lineRule="auto"/>
        <w:jc w:val="both"/>
        <w:rPr>
          <w:rFonts w:ascii="Times New Roman" w:hAnsi="Times New Roman" w:cs="Times New Roman"/>
          <w:b/>
          <w:i/>
          <w:sz w:val="24"/>
          <w:szCs w:val="24"/>
        </w:rPr>
      </w:pPr>
    </w:p>
    <w:p w:rsidR="004A37DA" w:rsidRDefault="004A37DA" w:rsidP="004A37DA">
      <w:pPr>
        <w:autoSpaceDE w:val="0"/>
        <w:autoSpaceDN w:val="0"/>
        <w:adjustRightInd w:val="0"/>
        <w:spacing w:line="480" w:lineRule="auto"/>
        <w:jc w:val="both"/>
        <w:rPr>
          <w:rFonts w:ascii="Times New Roman" w:hAnsi="Times New Roman" w:cs="Times New Roman"/>
          <w:b/>
          <w:i/>
          <w:sz w:val="24"/>
          <w:szCs w:val="24"/>
        </w:rPr>
      </w:pPr>
    </w:p>
    <w:p w:rsidR="004A37DA" w:rsidRDefault="004A37DA" w:rsidP="004A37DA">
      <w:pPr>
        <w:autoSpaceDE w:val="0"/>
        <w:autoSpaceDN w:val="0"/>
        <w:adjustRightInd w:val="0"/>
        <w:spacing w:line="480" w:lineRule="auto"/>
        <w:jc w:val="both"/>
        <w:rPr>
          <w:rFonts w:ascii="Times New Roman" w:hAnsi="Times New Roman" w:cs="Times New Roman"/>
          <w:b/>
          <w:i/>
          <w:sz w:val="24"/>
          <w:szCs w:val="24"/>
        </w:rPr>
      </w:pPr>
    </w:p>
    <w:p w:rsidR="000F46C7" w:rsidRPr="005129AF" w:rsidRDefault="000F46C7" w:rsidP="004A37DA">
      <w:pPr>
        <w:autoSpaceDE w:val="0"/>
        <w:autoSpaceDN w:val="0"/>
        <w:adjustRightInd w:val="0"/>
        <w:spacing w:line="480" w:lineRule="auto"/>
        <w:jc w:val="both"/>
        <w:rPr>
          <w:rFonts w:ascii="Times New Roman" w:hAnsi="Times New Roman" w:cs="Times New Roman"/>
          <w:b/>
          <w:i/>
          <w:sz w:val="24"/>
          <w:szCs w:val="24"/>
        </w:rPr>
      </w:pPr>
    </w:p>
    <w:p w:rsidR="00237927" w:rsidRPr="005129AF" w:rsidRDefault="008A2FDE" w:rsidP="000F46C7">
      <w:pPr>
        <w:autoSpaceDE w:val="0"/>
        <w:autoSpaceDN w:val="0"/>
        <w:adjustRightInd w:val="0"/>
        <w:spacing w:line="360" w:lineRule="auto"/>
        <w:jc w:val="both"/>
        <w:rPr>
          <w:rFonts w:ascii="Times New Roman" w:hAnsi="Times New Roman" w:cs="Times New Roman"/>
          <w:b/>
          <w:sz w:val="24"/>
          <w:szCs w:val="24"/>
        </w:rPr>
      </w:pPr>
      <w:r w:rsidRPr="005129AF">
        <w:rPr>
          <w:rFonts w:ascii="Times New Roman" w:hAnsi="Times New Roman" w:cs="Times New Roman"/>
          <w:b/>
          <w:sz w:val="24"/>
          <w:szCs w:val="24"/>
        </w:rPr>
        <w:lastRenderedPageBreak/>
        <w:t>S</w:t>
      </w:r>
      <w:r w:rsidR="00DA1A43" w:rsidRPr="005129AF">
        <w:rPr>
          <w:rFonts w:ascii="Times New Roman" w:hAnsi="Times New Roman" w:cs="Times New Roman"/>
          <w:b/>
          <w:sz w:val="24"/>
          <w:szCs w:val="24"/>
        </w:rPr>
        <w:t>1.</w:t>
      </w:r>
      <w:r w:rsidR="00237927" w:rsidRPr="005129AF">
        <w:rPr>
          <w:rFonts w:ascii="Times New Roman" w:hAnsi="Times New Roman" w:cs="Times New Roman"/>
          <w:b/>
          <w:sz w:val="24"/>
          <w:szCs w:val="24"/>
        </w:rPr>
        <w:t xml:space="preserve"> Partitioning</w:t>
      </w:r>
      <w:r w:rsidR="00E65E56" w:rsidRPr="005129AF">
        <w:rPr>
          <w:rFonts w:ascii="Times New Roman" w:hAnsi="Times New Roman" w:cs="Times New Roman"/>
          <w:b/>
          <w:sz w:val="24"/>
          <w:szCs w:val="24"/>
        </w:rPr>
        <w:t xml:space="preserve"> experiments</w:t>
      </w:r>
    </w:p>
    <w:p w:rsidR="00693805" w:rsidRPr="005129AF" w:rsidRDefault="00693805" w:rsidP="000F46C7">
      <w:pPr>
        <w:autoSpaceDE w:val="0"/>
        <w:autoSpaceDN w:val="0"/>
        <w:adjustRightInd w:val="0"/>
        <w:spacing w:after="120" w:line="360" w:lineRule="auto"/>
        <w:jc w:val="both"/>
        <w:rPr>
          <w:rFonts w:ascii="Times New Roman" w:hAnsi="Times New Roman" w:cs="Times New Roman"/>
          <w:sz w:val="24"/>
          <w:szCs w:val="24"/>
        </w:rPr>
      </w:pPr>
      <w:r w:rsidRPr="005129AF">
        <w:rPr>
          <w:rFonts w:ascii="Times New Roman" w:hAnsi="Times New Roman" w:cs="Times New Roman"/>
          <w:sz w:val="24"/>
          <w:szCs w:val="24"/>
        </w:rPr>
        <w:t xml:space="preserve">Stock solutions of all the components of the aqueous two-phase systems were prepared in deionized (DI) water. A mixture of polymers was prepared by dispensing appropriate amounts of the aqueous stock solutions into a 1.2 mL microtube using a Hamilton Company (Reno, NV, USA) ML-4000 four-probe liquid-handling workstation. Appropriate amounts of stock solution of </w:t>
      </w:r>
      <w:r w:rsidR="004A37DA">
        <w:rPr>
          <w:rFonts w:ascii="Times New Roman" w:hAnsi="Times New Roman" w:cs="Times New Roman"/>
          <w:sz w:val="24"/>
          <w:szCs w:val="24"/>
        </w:rPr>
        <w:t xml:space="preserve">polymer, </w:t>
      </w:r>
      <w:r w:rsidRPr="005129AF">
        <w:rPr>
          <w:rFonts w:ascii="Times New Roman" w:hAnsi="Times New Roman" w:cs="Times New Roman"/>
          <w:sz w:val="24"/>
          <w:szCs w:val="24"/>
        </w:rPr>
        <w:t>trimethylamine N-oxide (TMAO)</w:t>
      </w:r>
      <w:r w:rsidR="004A37DA">
        <w:rPr>
          <w:rFonts w:ascii="Times New Roman" w:hAnsi="Times New Roman" w:cs="Times New Roman"/>
          <w:sz w:val="24"/>
          <w:szCs w:val="24"/>
        </w:rPr>
        <w:t xml:space="preserve"> or choline chloride and sodium phosphate buffer (NaPB), pH 7.4</w:t>
      </w:r>
      <w:r w:rsidRPr="005129AF">
        <w:rPr>
          <w:rFonts w:ascii="Times New Roman" w:hAnsi="Times New Roman" w:cs="Times New Roman"/>
          <w:sz w:val="24"/>
          <w:szCs w:val="24"/>
        </w:rPr>
        <w:t xml:space="preserve">, and water were added to give the </w:t>
      </w:r>
      <w:r w:rsidR="004A37DA">
        <w:rPr>
          <w:rFonts w:ascii="Times New Roman" w:hAnsi="Times New Roman" w:cs="Times New Roman"/>
          <w:sz w:val="24"/>
          <w:szCs w:val="24"/>
        </w:rPr>
        <w:t>required composition</w:t>
      </w:r>
      <w:r w:rsidRPr="005129AF">
        <w:rPr>
          <w:rFonts w:ascii="Times New Roman" w:hAnsi="Times New Roman" w:cs="Times New Roman"/>
          <w:sz w:val="24"/>
          <w:szCs w:val="24"/>
        </w:rPr>
        <w:t xml:space="preserve"> for the final system (after the sample addition – see below) with total wei</w:t>
      </w:r>
      <w:r w:rsidR="004A37DA">
        <w:rPr>
          <w:rFonts w:ascii="Times New Roman" w:hAnsi="Times New Roman" w:cs="Times New Roman"/>
          <w:sz w:val="24"/>
          <w:szCs w:val="24"/>
        </w:rPr>
        <w:t>ght of 0.5g</w:t>
      </w:r>
      <w:r w:rsidRPr="005129AF">
        <w:rPr>
          <w:rFonts w:ascii="Times New Roman" w:hAnsi="Times New Roman" w:cs="Times New Roman"/>
          <w:sz w:val="24"/>
          <w:szCs w:val="24"/>
        </w:rPr>
        <w:t>.</w:t>
      </w:r>
    </w:p>
    <w:p w:rsidR="00237927" w:rsidRPr="005129AF" w:rsidRDefault="00237927" w:rsidP="000F46C7">
      <w:pPr>
        <w:autoSpaceDE w:val="0"/>
        <w:autoSpaceDN w:val="0"/>
        <w:adjustRightInd w:val="0"/>
        <w:spacing w:after="120" w:line="360" w:lineRule="auto"/>
        <w:ind w:firstLine="360"/>
        <w:jc w:val="both"/>
        <w:rPr>
          <w:rFonts w:ascii="Times New Roman" w:hAnsi="Times New Roman" w:cs="Times New Roman"/>
          <w:sz w:val="24"/>
          <w:szCs w:val="24"/>
        </w:rPr>
      </w:pPr>
      <w:r w:rsidRPr="005129AF">
        <w:rPr>
          <w:rFonts w:ascii="Times New Roman" w:hAnsi="Times New Roman" w:cs="Times New Roman"/>
          <w:sz w:val="24"/>
          <w:szCs w:val="24"/>
        </w:rPr>
        <w:t xml:space="preserve">An automated instrument for performing aqueous two-phase partitioning, the Automated Signature Workstation, ASW (Analiza, Inc., Cleveland, OH, USA), was used for the partitioning experiments. The ASW system is based on the ML-4000 liquid-handling workstation (Hamilton Company, Reno, NV, USA) integrated with a FL600 fluorescence microplate reader (Bio-Tek Instruments, Winooski, VT, USA) and a UV-VIS microplate spectrophotometer (SpectraMax Plus 384, Molecular Devices, Sunnyvale, CA). </w:t>
      </w:r>
      <w:r w:rsidR="00E65E56" w:rsidRPr="005129AF">
        <w:rPr>
          <w:rFonts w:ascii="Times New Roman" w:hAnsi="Times New Roman" w:cs="Times New Roman"/>
          <w:sz w:val="24"/>
          <w:szCs w:val="24"/>
        </w:rPr>
        <w:t xml:space="preserve">Solutions of all compounds including proteins were prepared in water at concentrations of 0.5–5 mg/mL depending on the compound solubility. Varied amounts (e.g. 0, </w:t>
      </w:r>
      <w:r w:rsidR="004A37DA">
        <w:rPr>
          <w:rFonts w:ascii="Times New Roman" w:hAnsi="Times New Roman" w:cs="Times New Roman"/>
          <w:sz w:val="24"/>
          <w:szCs w:val="24"/>
        </w:rPr>
        <w:t>5, 10</w:t>
      </w:r>
      <w:r w:rsidR="00E65E56" w:rsidRPr="005129AF">
        <w:rPr>
          <w:rFonts w:ascii="Times New Roman" w:hAnsi="Times New Roman" w:cs="Times New Roman"/>
          <w:sz w:val="24"/>
          <w:szCs w:val="24"/>
        </w:rPr>
        <w:t xml:space="preserve">, </w:t>
      </w:r>
      <w:r w:rsidR="004A37DA">
        <w:rPr>
          <w:rFonts w:ascii="Times New Roman" w:hAnsi="Times New Roman" w:cs="Times New Roman"/>
          <w:sz w:val="24"/>
          <w:szCs w:val="24"/>
        </w:rPr>
        <w:t>15</w:t>
      </w:r>
      <w:r w:rsidR="00E65E56" w:rsidRPr="005129AF">
        <w:rPr>
          <w:rFonts w:ascii="Times New Roman" w:hAnsi="Times New Roman" w:cs="Times New Roman"/>
          <w:sz w:val="24"/>
          <w:szCs w:val="24"/>
        </w:rPr>
        <w:t xml:space="preserve">, </w:t>
      </w:r>
      <w:r w:rsidR="004A37DA">
        <w:rPr>
          <w:rFonts w:ascii="Times New Roman" w:hAnsi="Times New Roman" w:cs="Times New Roman"/>
          <w:sz w:val="24"/>
          <w:szCs w:val="24"/>
        </w:rPr>
        <w:t>20</w:t>
      </w:r>
      <w:r w:rsidR="00E65E56" w:rsidRPr="005129AF">
        <w:rPr>
          <w:rFonts w:ascii="Times New Roman" w:hAnsi="Times New Roman" w:cs="Times New Roman"/>
          <w:sz w:val="24"/>
          <w:szCs w:val="24"/>
        </w:rPr>
        <w:t xml:space="preserve"> and </w:t>
      </w:r>
      <w:r w:rsidR="004A37DA">
        <w:rPr>
          <w:rFonts w:ascii="Times New Roman" w:hAnsi="Times New Roman" w:cs="Times New Roman"/>
          <w:sz w:val="24"/>
          <w:szCs w:val="24"/>
        </w:rPr>
        <w:t>2</w:t>
      </w:r>
      <w:r w:rsidR="00E65E56" w:rsidRPr="005129AF">
        <w:rPr>
          <w:rFonts w:ascii="Times New Roman" w:hAnsi="Times New Roman" w:cs="Times New Roman"/>
          <w:sz w:val="24"/>
          <w:szCs w:val="24"/>
        </w:rPr>
        <w:t xml:space="preserve">5 μL) of compound solution and the corresponding amounts (e.g. </w:t>
      </w:r>
      <w:r w:rsidR="004A37DA">
        <w:rPr>
          <w:rFonts w:ascii="Times New Roman" w:hAnsi="Times New Roman" w:cs="Times New Roman"/>
          <w:sz w:val="24"/>
          <w:szCs w:val="24"/>
        </w:rPr>
        <w:t>25</w:t>
      </w:r>
      <w:r w:rsidR="00E65E56" w:rsidRPr="005129AF">
        <w:rPr>
          <w:rFonts w:ascii="Times New Roman" w:hAnsi="Times New Roman" w:cs="Times New Roman"/>
          <w:sz w:val="24"/>
          <w:szCs w:val="24"/>
        </w:rPr>
        <w:t xml:space="preserve">, </w:t>
      </w:r>
      <w:r w:rsidR="004A37DA">
        <w:rPr>
          <w:rFonts w:ascii="Times New Roman" w:hAnsi="Times New Roman" w:cs="Times New Roman"/>
          <w:sz w:val="24"/>
          <w:szCs w:val="24"/>
        </w:rPr>
        <w:t xml:space="preserve">20, 15, 10, </w:t>
      </w:r>
      <w:r w:rsidR="00E65E56" w:rsidRPr="005129AF">
        <w:rPr>
          <w:rFonts w:ascii="Times New Roman" w:hAnsi="Times New Roman" w:cs="Times New Roman"/>
          <w:sz w:val="24"/>
          <w:szCs w:val="24"/>
        </w:rPr>
        <w:t>5 and 0 μL) of water were a</w:t>
      </w:r>
      <w:r w:rsidR="00E1293C">
        <w:rPr>
          <w:rFonts w:ascii="Times New Roman" w:hAnsi="Times New Roman" w:cs="Times New Roman"/>
          <w:sz w:val="24"/>
          <w:szCs w:val="24"/>
        </w:rPr>
        <w:t>dded to</w:t>
      </w:r>
      <w:r w:rsidR="00E1293C" w:rsidRPr="005129AF">
        <w:rPr>
          <w:rFonts w:ascii="Times New Roman" w:hAnsi="Times New Roman" w:cs="Times New Roman"/>
          <w:sz w:val="24"/>
          <w:szCs w:val="24"/>
        </w:rPr>
        <w:t xml:space="preserve"> a set of the same</w:t>
      </w:r>
      <w:r w:rsidR="004A37DA">
        <w:rPr>
          <w:rFonts w:ascii="Times New Roman" w:hAnsi="Times New Roman" w:cs="Times New Roman"/>
          <w:sz w:val="24"/>
          <w:szCs w:val="24"/>
        </w:rPr>
        <w:t xml:space="preserve"> </w:t>
      </w:r>
      <w:r w:rsidR="00E1293C">
        <w:rPr>
          <w:rFonts w:ascii="Times New Roman" w:hAnsi="Times New Roman" w:cs="Times New Roman"/>
          <w:sz w:val="24"/>
          <w:szCs w:val="24"/>
        </w:rPr>
        <w:t>po</w:t>
      </w:r>
      <w:r w:rsidR="004A37DA">
        <w:rPr>
          <w:rFonts w:ascii="Times New Roman" w:hAnsi="Times New Roman" w:cs="Times New Roman"/>
          <w:sz w:val="24"/>
          <w:szCs w:val="24"/>
        </w:rPr>
        <w:t>lymer/TMAO or choline chloride</w:t>
      </w:r>
      <w:r w:rsidR="00E1293C">
        <w:rPr>
          <w:rFonts w:ascii="Times New Roman" w:hAnsi="Times New Roman" w:cs="Times New Roman"/>
          <w:sz w:val="24"/>
          <w:szCs w:val="24"/>
        </w:rPr>
        <w:t>/NaPB, pH7.4, mixture</w:t>
      </w:r>
      <w:r w:rsidR="00E65E56" w:rsidRPr="005129AF">
        <w:rPr>
          <w:rFonts w:ascii="Times New Roman" w:hAnsi="Times New Roman" w:cs="Times New Roman"/>
          <w:sz w:val="24"/>
          <w:szCs w:val="24"/>
        </w:rPr>
        <w:t>.</w:t>
      </w:r>
      <w:r w:rsidRPr="005129AF">
        <w:rPr>
          <w:rFonts w:ascii="Times New Roman" w:hAnsi="Times New Roman" w:cs="Times New Roman"/>
          <w:sz w:val="24"/>
          <w:szCs w:val="24"/>
        </w:rPr>
        <w:t xml:space="preserve"> The systems were then vortexed in a Multipulse vortexer and centrifuged (Jouan, BR4i, Thermo Fisher Scientific, Waltham, MA, USA) for 60 min at 3500</w:t>
      </w:r>
      <w:r w:rsidRPr="005129AF">
        <w:rPr>
          <w:rFonts w:ascii="Times New Roman" w:hAnsi="Times New Roman" w:cs="Times New Roman"/>
          <w:sz w:val="24"/>
          <w:szCs w:val="24"/>
        </w:rPr>
        <w:sym w:font="Symbol" w:char="F0B4"/>
      </w:r>
      <w:r w:rsidRPr="005129AF">
        <w:rPr>
          <w:rFonts w:ascii="Times New Roman" w:hAnsi="Times New Roman" w:cs="Times New Roman"/>
          <w:sz w:val="24"/>
          <w:szCs w:val="24"/>
        </w:rPr>
        <w:t>g at 23</w:t>
      </w:r>
      <w:r w:rsidRPr="005129AF">
        <w:rPr>
          <w:rFonts w:ascii="Times New Roman" w:hAnsi="Times New Roman" w:cs="Times New Roman"/>
          <w:sz w:val="24"/>
          <w:szCs w:val="24"/>
          <w:vertAlign w:val="superscript"/>
        </w:rPr>
        <w:t>o</w:t>
      </w:r>
      <w:r w:rsidRPr="005129AF">
        <w:rPr>
          <w:rFonts w:ascii="Times New Roman" w:hAnsi="Times New Roman" w:cs="Times New Roman"/>
          <w:sz w:val="24"/>
          <w:szCs w:val="24"/>
        </w:rPr>
        <w:t xml:space="preserve">C to accelerate phase settling. The top phase in each system was removed, the interface discarded, and aliquots from the top and bottom phases were withdrawn in duplicate for analysis. </w:t>
      </w:r>
    </w:p>
    <w:p w:rsidR="00237927" w:rsidRPr="005129AF" w:rsidRDefault="00237927" w:rsidP="000F46C7">
      <w:pPr>
        <w:autoSpaceDE w:val="0"/>
        <w:autoSpaceDN w:val="0"/>
        <w:adjustRightInd w:val="0"/>
        <w:spacing w:after="120" w:line="360" w:lineRule="auto"/>
        <w:ind w:firstLine="450"/>
        <w:jc w:val="both"/>
        <w:rPr>
          <w:rFonts w:ascii="Times New Roman" w:hAnsi="Times New Roman" w:cs="Times New Roman"/>
          <w:sz w:val="24"/>
          <w:szCs w:val="24"/>
        </w:rPr>
      </w:pPr>
      <w:r w:rsidRPr="005129AF">
        <w:rPr>
          <w:rFonts w:ascii="Times New Roman" w:hAnsi="Times New Roman" w:cs="Times New Roman"/>
          <w:sz w:val="24"/>
          <w:szCs w:val="24"/>
        </w:rPr>
        <w:t>For the analysis of proteins partitioning, aliquots of 30 µL from both phases were transferred and diluted with water up to 70 µL into microplate wells. Then, t</w:t>
      </w:r>
      <w:r w:rsidRPr="005129AF">
        <w:rPr>
          <w:rFonts w:ascii="Times New Roman" w:hAnsi="Times New Roman" w:cs="Times New Roman"/>
          <w:sz w:val="24"/>
          <w:szCs w:val="24"/>
          <w:lang w:eastAsia="pt-PT"/>
        </w:rPr>
        <w:t xml:space="preserve">he microplate was sealed, </w:t>
      </w:r>
      <w:r w:rsidRPr="005129AF">
        <w:rPr>
          <w:rFonts w:ascii="Times New Roman" w:hAnsi="Times New Roman" w:cs="Times New Roman"/>
          <w:sz w:val="24"/>
          <w:szCs w:val="24"/>
        </w:rPr>
        <w:t xml:space="preserve">shortly centrifuged (2 min at 1500 rpm) </w:t>
      </w:r>
      <w:r w:rsidRPr="005129AF">
        <w:rPr>
          <w:rFonts w:ascii="Times New Roman" w:hAnsi="Times New Roman" w:cs="Times New Roman"/>
          <w:sz w:val="24"/>
          <w:szCs w:val="24"/>
          <w:lang w:eastAsia="pt-PT"/>
        </w:rPr>
        <w:t>and following</w:t>
      </w:r>
      <w:r w:rsidRPr="005129AF">
        <w:rPr>
          <w:rFonts w:ascii="Times New Roman" w:hAnsi="Times New Roman" w:cs="Times New Roman"/>
          <w:sz w:val="24"/>
          <w:szCs w:val="24"/>
        </w:rPr>
        <w:t xml:space="preserve"> moderate shaking for 45 min in an incubator at 37ºC, 250 µL of o-phthaldialdehyde reagent was combined. After moderate shaking for 4 min at room temperature, fluorescence was determined using a fluorescence plate reader with a 360 nm excitation filter and a 460 nm emission filter, with a sensitivity setting of 100-125. </w:t>
      </w:r>
    </w:p>
    <w:p w:rsidR="000F46C7" w:rsidRPr="005129AF" w:rsidRDefault="00372969" w:rsidP="000F46C7">
      <w:pPr>
        <w:autoSpaceDE w:val="0"/>
        <w:autoSpaceDN w:val="0"/>
        <w:adjustRightInd w:val="0"/>
        <w:spacing w:line="360" w:lineRule="auto"/>
        <w:ind w:firstLine="360"/>
        <w:jc w:val="both"/>
        <w:rPr>
          <w:rFonts w:ascii="Times New Roman" w:hAnsi="Times New Roman" w:cs="Times New Roman"/>
          <w:sz w:val="24"/>
          <w:szCs w:val="24"/>
        </w:rPr>
      </w:pPr>
      <w:r w:rsidRPr="005129AF">
        <w:rPr>
          <w:rFonts w:ascii="Times New Roman" w:hAnsi="Times New Roman" w:cs="Times New Roman"/>
          <w:sz w:val="24"/>
          <w:szCs w:val="24"/>
        </w:rPr>
        <w:t xml:space="preserve">For the analysis of the </w:t>
      </w:r>
      <w:r w:rsidR="00E1293C">
        <w:rPr>
          <w:rFonts w:ascii="Times New Roman" w:hAnsi="Times New Roman"/>
          <w:sz w:val="24"/>
          <w:szCs w:val="24"/>
        </w:rPr>
        <w:t>dinitrophenylated amino acids</w:t>
      </w:r>
      <w:r w:rsidR="00E1293C" w:rsidRPr="005129AF">
        <w:rPr>
          <w:rFonts w:ascii="Times New Roman" w:hAnsi="Times New Roman" w:cs="Times New Roman"/>
          <w:sz w:val="24"/>
          <w:szCs w:val="24"/>
        </w:rPr>
        <w:t xml:space="preserve"> </w:t>
      </w:r>
      <w:r w:rsidRPr="005129AF">
        <w:rPr>
          <w:rFonts w:ascii="Times New Roman" w:hAnsi="Times New Roman" w:cs="Times New Roman"/>
          <w:sz w:val="24"/>
          <w:szCs w:val="24"/>
        </w:rPr>
        <w:t xml:space="preserve">partitioning, aliquots of </w:t>
      </w:r>
      <w:r w:rsidR="00F331CE">
        <w:rPr>
          <w:rFonts w:ascii="Times New Roman" w:hAnsi="Times New Roman" w:cs="Times New Roman"/>
          <w:sz w:val="24"/>
          <w:szCs w:val="24"/>
        </w:rPr>
        <w:t>6</w:t>
      </w:r>
      <w:r w:rsidRPr="005129AF">
        <w:rPr>
          <w:rFonts w:ascii="Times New Roman" w:hAnsi="Times New Roman" w:cs="Times New Roman"/>
          <w:sz w:val="24"/>
          <w:szCs w:val="24"/>
        </w:rPr>
        <w:t>0 - 120 µL from both phases were diluted up to 600 µL in 1.2 mL microtubes</w:t>
      </w:r>
      <w:r w:rsidR="00E1293C">
        <w:rPr>
          <w:rFonts w:ascii="Times New Roman" w:hAnsi="Times New Roman" w:cs="Times New Roman"/>
          <w:sz w:val="24"/>
          <w:szCs w:val="24"/>
        </w:rPr>
        <w:t>, w</w:t>
      </w:r>
      <w:r w:rsidRPr="005129AF">
        <w:rPr>
          <w:rFonts w:ascii="Times New Roman" w:hAnsi="Times New Roman" w:cs="Times New Roman"/>
          <w:sz w:val="24"/>
          <w:szCs w:val="24"/>
        </w:rPr>
        <w:t>ater was used as diluent</w:t>
      </w:r>
      <w:r w:rsidR="00E1293C">
        <w:rPr>
          <w:rFonts w:ascii="Times New Roman" w:hAnsi="Times New Roman" w:cs="Times New Roman"/>
          <w:sz w:val="24"/>
          <w:szCs w:val="24"/>
        </w:rPr>
        <w:t>.</w:t>
      </w:r>
      <w:r w:rsidRPr="005129AF">
        <w:rPr>
          <w:rFonts w:ascii="Times New Roman" w:hAnsi="Times New Roman" w:cs="Times New Roman"/>
          <w:sz w:val="24"/>
          <w:szCs w:val="24"/>
        </w:rPr>
        <w:t xml:space="preserve"> </w:t>
      </w:r>
      <w:r w:rsidRPr="005129AF">
        <w:rPr>
          <w:rFonts w:ascii="Times New Roman" w:hAnsi="Times New Roman" w:cs="Times New Roman"/>
          <w:sz w:val="24"/>
          <w:szCs w:val="24"/>
        </w:rPr>
        <w:lastRenderedPageBreak/>
        <w:t xml:space="preserve">Following vortexing and a short centrifugation </w:t>
      </w:r>
      <w:r w:rsidR="00E1293C">
        <w:rPr>
          <w:rFonts w:ascii="Times New Roman" w:hAnsi="Times New Roman" w:cs="Times New Roman"/>
          <w:sz w:val="24"/>
          <w:szCs w:val="24"/>
        </w:rPr>
        <w:t xml:space="preserve">(12 min), aliquots of 250 </w:t>
      </w:r>
      <w:r w:rsidRPr="005129AF">
        <w:rPr>
          <w:rFonts w:ascii="Times New Roman" w:hAnsi="Times New Roman" w:cs="Times New Roman"/>
          <w:sz w:val="24"/>
          <w:szCs w:val="24"/>
        </w:rPr>
        <w:t>µL were transferred into microplate wells, and the UV-</w:t>
      </w:r>
      <w:smartTag w:uri="urn:schemas-microsoft-com:office:smarttags" w:element="stockticker">
        <w:r w:rsidRPr="005129AF">
          <w:rPr>
            <w:rFonts w:ascii="Times New Roman" w:hAnsi="Times New Roman" w:cs="Times New Roman"/>
            <w:sz w:val="24"/>
            <w:szCs w:val="24"/>
          </w:rPr>
          <w:t>VIS</w:t>
        </w:r>
      </w:smartTag>
      <w:r w:rsidRPr="005129AF">
        <w:rPr>
          <w:rFonts w:ascii="Times New Roman" w:hAnsi="Times New Roman" w:cs="Times New Roman"/>
          <w:sz w:val="24"/>
          <w:szCs w:val="24"/>
        </w:rPr>
        <w:t xml:space="preserve"> plate reader was used to measure optical absorbance at wavelengths previously determined to correspond to maximum absorption</w:t>
      </w:r>
      <w:r w:rsidR="00F331CE">
        <w:rPr>
          <w:rFonts w:ascii="Times New Roman" w:hAnsi="Times New Roman" w:cs="Times New Roman"/>
          <w:sz w:val="24"/>
          <w:szCs w:val="24"/>
        </w:rPr>
        <w:t>, 362 nm</w:t>
      </w:r>
      <w:r w:rsidRPr="005129AF">
        <w:rPr>
          <w:rFonts w:ascii="Times New Roman" w:hAnsi="Times New Roman" w:cs="Times New Roman"/>
          <w:sz w:val="24"/>
          <w:szCs w:val="24"/>
        </w:rPr>
        <w:t xml:space="preserve">. The maximum absorption wavelength for each compound was determined in separate experiments by analysis of the absorption spectrum over the 240–500 nm range. In all measurements the same dilution factor was used for the upper and lower phases and correspondingly diluted pure phases were used as blank solutions. </w:t>
      </w:r>
    </w:p>
    <w:p w:rsidR="00237927" w:rsidRDefault="004C3BF8" w:rsidP="000F46C7">
      <w:pPr>
        <w:autoSpaceDE w:val="0"/>
        <w:autoSpaceDN w:val="0"/>
        <w:adjustRightInd w:val="0"/>
        <w:spacing w:line="360" w:lineRule="auto"/>
        <w:jc w:val="both"/>
        <w:rPr>
          <w:rFonts w:ascii="Times New Roman" w:hAnsi="Times New Roman" w:cs="Times New Roman"/>
          <w:b/>
          <w:color w:val="000000"/>
          <w:sz w:val="24"/>
          <w:szCs w:val="24"/>
        </w:rPr>
      </w:pPr>
      <w:r w:rsidRPr="005129AF">
        <w:rPr>
          <w:rFonts w:ascii="Times New Roman" w:hAnsi="Times New Roman" w:cs="Times New Roman"/>
          <w:b/>
          <w:i/>
          <w:sz w:val="24"/>
          <w:szCs w:val="24"/>
        </w:rPr>
        <w:t>S</w:t>
      </w:r>
      <w:r w:rsidR="00237927" w:rsidRPr="005129AF">
        <w:rPr>
          <w:rFonts w:ascii="Times New Roman" w:hAnsi="Times New Roman" w:cs="Times New Roman"/>
          <w:b/>
          <w:i/>
          <w:sz w:val="24"/>
          <w:szCs w:val="24"/>
        </w:rPr>
        <w:t>2</w:t>
      </w:r>
      <w:r w:rsidR="00237927" w:rsidRPr="005129AF">
        <w:rPr>
          <w:rFonts w:ascii="Times New Roman" w:hAnsi="Times New Roman" w:cs="Times New Roman"/>
          <w:b/>
          <w:sz w:val="24"/>
          <w:szCs w:val="24"/>
        </w:rPr>
        <w:t xml:space="preserve">. </w:t>
      </w:r>
      <w:r w:rsidR="00237927" w:rsidRPr="005129AF">
        <w:rPr>
          <w:rFonts w:ascii="Times New Roman" w:hAnsi="Times New Roman" w:cs="Times New Roman"/>
          <w:b/>
          <w:color w:val="000000"/>
          <w:sz w:val="24"/>
          <w:szCs w:val="24"/>
        </w:rPr>
        <w:t>Solvatochromic studies</w:t>
      </w:r>
    </w:p>
    <w:p w:rsidR="00237927" w:rsidRPr="005129AF" w:rsidRDefault="00237927" w:rsidP="000F46C7">
      <w:pPr>
        <w:pStyle w:val="08ArticleText"/>
        <w:spacing w:after="120" w:line="360" w:lineRule="auto"/>
        <w:rPr>
          <w:sz w:val="24"/>
          <w:szCs w:val="24"/>
          <w:lang w:val="en-US"/>
        </w:rPr>
      </w:pPr>
      <w:r w:rsidRPr="005129AF">
        <w:rPr>
          <w:color w:val="000000"/>
          <w:sz w:val="24"/>
          <w:szCs w:val="24"/>
        </w:rPr>
        <w:t>The solvatochromic probes 4-nitroanisole, 4-nitrophenol and Reichardt’s carboxylated betaine dye were used to measure the dipolarity/polarizability</w:t>
      </w:r>
      <w:r w:rsidR="00377184" w:rsidRPr="005129AF">
        <w:rPr>
          <w:color w:val="000000"/>
          <w:sz w:val="24"/>
          <w:szCs w:val="24"/>
        </w:rPr>
        <w:t>,</w:t>
      </w:r>
      <w:r w:rsidRPr="005129AF">
        <w:rPr>
          <w:color w:val="000000"/>
          <w:sz w:val="24"/>
          <w:szCs w:val="24"/>
        </w:rPr>
        <w:t xml:space="preserve"> </w:t>
      </w:r>
      <w:r w:rsidR="00E02E19" w:rsidRPr="005129AF">
        <w:rPr>
          <w:color w:val="000000"/>
          <w:sz w:val="24"/>
          <w:szCs w:val="24"/>
        </w:rPr>
        <w:sym w:font="Symbol" w:char="F070"/>
      </w:r>
      <w:r w:rsidRPr="005129AF">
        <w:rPr>
          <w:color w:val="000000"/>
          <w:sz w:val="24"/>
          <w:szCs w:val="24"/>
        </w:rPr>
        <w:t>*, HBA basicity</w:t>
      </w:r>
      <w:r w:rsidR="00377184" w:rsidRPr="005129AF">
        <w:rPr>
          <w:color w:val="000000"/>
          <w:sz w:val="24"/>
          <w:szCs w:val="24"/>
        </w:rPr>
        <w:t>,</w:t>
      </w:r>
      <w:r w:rsidRPr="005129AF">
        <w:rPr>
          <w:color w:val="000000"/>
          <w:sz w:val="24"/>
          <w:szCs w:val="24"/>
        </w:rPr>
        <w:t xml:space="preserve"> </w:t>
      </w:r>
      <w:r w:rsidR="00E02E19" w:rsidRPr="005129AF">
        <w:rPr>
          <w:color w:val="000000"/>
          <w:sz w:val="24"/>
          <w:szCs w:val="24"/>
        </w:rPr>
        <w:sym w:font="Symbol" w:char="F062"/>
      </w:r>
      <w:r w:rsidRPr="005129AF">
        <w:rPr>
          <w:color w:val="000000"/>
          <w:sz w:val="24"/>
          <w:szCs w:val="24"/>
        </w:rPr>
        <w:t>, and HBD acidity</w:t>
      </w:r>
      <w:r w:rsidR="00377184" w:rsidRPr="005129AF">
        <w:rPr>
          <w:color w:val="000000"/>
          <w:sz w:val="24"/>
          <w:szCs w:val="24"/>
        </w:rPr>
        <w:t>,</w:t>
      </w:r>
      <w:r w:rsidRPr="005129AF">
        <w:rPr>
          <w:color w:val="000000"/>
          <w:sz w:val="24"/>
          <w:szCs w:val="24"/>
        </w:rPr>
        <w:t xml:space="preserve"> </w:t>
      </w:r>
      <w:r w:rsidR="00E02E19" w:rsidRPr="005129AF">
        <w:rPr>
          <w:color w:val="000000"/>
          <w:sz w:val="24"/>
          <w:szCs w:val="24"/>
        </w:rPr>
        <w:sym w:font="Symbol" w:char="F061"/>
      </w:r>
      <w:r w:rsidR="00E02E19" w:rsidRPr="005129AF">
        <w:rPr>
          <w:color w:val="000000"/>
          <w:sz w:val="24"/>
          <w:szCs w:val="24"/>
        </w:rPr>
        <w:t xml:space="preserve">, </w:t>
      </w:r>
      <w:r w:rsidRPr="005129AF">
        <w:rPr>
          <w:color w:val="000000"/>
          <w:sz w:val="24"/>
          <w:szCs w:val="24"/>
        </w:rPr>
        <w:t>of the media in the separated phases of ATPS</w:t>
      </w:r>
      <w:r w:rsidR="00797A37">
        <w:rPr>
          <w:color w:val="000000"/>
          <w:sz w:val="24"/>
          <w:szCs w:val="24"/>
        </w:rPr>
        <w:t xml:space="preserve"> </w:t>
      </w:r>
      <w:r w:rsidR="00797A37" w:rsidRPr="00797A37">
        <w:rPr>
          <w:sz w:val="24"/>
          <w:szCs w:val="24"/>
        </w:rPr>
        <w:t>and individual solutions of choline chloride, polyethylene glycol dimethyl ether, and polypropylene glycol prepared in deionized water</w:t>
      </w:r>
      <w:r w:rsidRPr="00797A37">
        <w:rPr>
          <w:color w:val="000000"/>
          <w:sz w:val="24"/>
          <w:szCs w:val="24"/>
        </w:rPr>
        <w:t>.</w:t>
      </w:r>
      <w:r w:rsidRPr="005129AF">
        <w:rPr>
          <w:color w:val="000000"/>
          <w:sz w:val="24"/>
          <w:szCs w:val="24"/>
        </w:rPr>
        <w:t xml:space="preserve"> </w:t>
      </w:r>
      <w:r w:rsidRPr="005129AF">
        <w:rPr>
          <w:sz w:val="24"/>
          <w:szCs w:val="24"/>
          <w:lang w:val="en-US"/>
        </w:rPr>
        <w:t xml:space="preserve">Aqueous solutions (ca. 10 mM) of each solvatochromic dye were prepared and 5-15 </w:t>
      </w:r>
      <w:r w:rsidRPr="005129AF">
        <w:rPr>
          <w:sz w:val="24"/>
          <w:szCs w:val="24"/>
          <w:lang w:val="en-US"/>
        </w:rPr>
        <w:sym w:font="Symbol" w:char="F06D"/>
      </w:r>
      <w:r w:rsidRPr="005129AF">
        <w:rPr>
          <w:sz w:val="24"/>
          <w:szCs w:val="24"/>
          <w:lang w:val="en-US"/>
        </w:rPr>
        <w:t xml:space="preserve">L of each was added separately to a total volume of 500 </w:t>
      </w:r>
      <w:r w:rsidRPr="005129AF">
        <w:rPr>
          <w:sz w:val="24"/>
          <w:szCs w:val="24"/>
          <w:lang w:val="en-US"/>
        </w:rPr>
        <w:sym w:font="Symbol" w:char="F06D"/>
      </w:r>
      <w:r w:rsidRPr="005129AF">
        <w:rPr>
          <w:sz w:val="24"/>
          <w:szCs w:val="24"/>
          <w:lang w:val="en-US"/>
        </w:rPr>
        <w:t>L of a given phase of ATPS</w:t>
      </w:r>
      <w:r w:rsidR="00797A37">
        <w:rPr>
          <w:sz w:val="24"/>
          <w:szCs w:val="24"/>
          <w:lang w:val="en-US"/>
        </w:rPr>
        <w:t xml:space="preserve"> or individual stock solution</w:t>
      </w:r>
      <w:r w:rsidRPr="005129AF">
        <w:rPr>
          <w:sz w:val="24"/>
          <w:szCs w:val="24"/>
          <w:lang w:val="en-US"/>
        </w:rPr>
        <w:t xml:space="preserve">. A strong base was added to the samples (~5 </w:t>
      </w:r>
      <w:r w:rsidRPr="005129AF">
        <w:rPr>
          <w:sz w:val="24"/>
          <w:szCs w:val="24"/>
          <w:lang w:val="en-US"/>
        </w:rPr>
        <w:sym w:font="Symbol" w:char="F06D"/>
      </w:r>
      <w:r w:rsidRPr="005129AF">
        <w:rPr>
          <w:sz w:val="24"/>
          <w:szCs w:val="24"/>
          <w:lang w:val="en-US"/>
        </w:rPr>
        <w:t xml:space="preserve">L of 1 M NaOH to 500 </w:t>
      </w:r>
      <w:r w:rsidRPr="005129AF">
        <w:rPr>
          <w:sz w:val="24"/>
          <w:szCs w:val="24"/>
          <w:lang w:val="en-US"/>
        </w:rPr>
        <w:sym w:font="Symbol" w:char="F06D"/>
      </w:r>
      <w:r w:rsidRPr="005129AF">
        <w:rPr>
          <w:sz w:val="24"/>
          <w:szCs w:val="24"/>
          <w:lang w:val="en-US"/>
        </w:rPr>
        <w:t xml:space="preserve">L of a given phase) containing Reichardt’s carboxylated betaine dye to ensure a basic pH. A strong acid (~10 </w:t>
      </w:r>
      <w:r w:rsidRPr="005129AF">
        <w:rPr>
          <w:sz w:val="24"/>
          <w:szCs w:val="24"/>
          <w:lang w:val="en-US"/>
        </w:rPr>
        <w:sym w:font="Symbol" w:char="F06D"/>
      </w:r>
      <w:r w:rsidRPr="005129AF">
        <w:rPr>
          <w:sz w:val="24"/>
          <w:szCs w:val="24"/>
          <w:lang w:val="en-US"/>
        </w:rPr>
        <w:t xml:space="preserve">L of 1 M HCl to 500 </w:t>
      </w:r>
      <w:r w:rsidRPr="005129AF">
        <w:rPr>
          <w:sz w:val="24"/>
          <w:szCs w:val="24"/>
          <w:lang w:val="en-US"/>
        </w:rPr>
        <w:sym w:font="Symbol" w:char="F06D"/>
      </w:r>
      <w:r w:rsidRPr="005129AF">
        <w:rPr>
          <w:sz w:val="24"/>
          <w:szCs w:val="24"/>
          <w:lang w:val="en-US"/>
        </w:rPr>
        <w:t xml:space="preserve">L of the </w:t>
      </w:r>
      <w:r w:rsidR="00AF60F3" w:rsidRPr="005129AF">
        <w:rPr>
          <w:sz w:val="24"/>
          <w:szCs w:val="24"/>
          <w:lang w:val="en-US"/>
        </w:rPr>
        <w:t>phase</w:t>
      </w:r>
      <w:r w:rsidRPr="005129AF">
        <w:rPr>
          <w:sz w:val="24"/>
          <w:szCs w:val="24"/>
          <w:lang w:val="en-US"/>
        </w:rPr>
        <w:t xml:space="preserve">) was added to the samples containing 4-nitrophenol in order to eliminate charge-transfer bands of the phenolate anion that were observed in some </w:t>
      </w:r>
      <w:r w:rsidR="00797A37">
        <w:rPr>
          <w:sz w:val="24"/>
          <w:szCs w:val="24"/>
          <w:lang w:val="en-US"/>
        </w:rPr>
        <w:t>solutions. The respective blank</w:t>
      </w:r>
      <w:r w:rsidR="000F46C7">
        <w:rPr>
          <w:sz w:val="24"/>
          <w:szCs w:val="24"/>
          <w:lang w:val="en-US"/>
        </w:rPr>
        <w:t>s</w:t>
      </w:r>
      <w:r w:rsidRPr="005129AF">
        <w:rPr>
          <w:sz w:val="24"/>
          <w:szCs w:val="24"/>
          <w:lang w:val="en-US"/>
        </w:rPr>
        <w:t xml:space="preserve"> without dye w</w:t>
      </w:r>
      <w:r w:rsidR="000F46C7">
        <w:rPr>
          <w:sz w:val="24"/>
          <w:szCs w:val="24"/>
          <w:lang w:val="en-US"/>
        </w:rPr>
        <w:t>ere</w:t>
      </w:r>
      <w:r w:rsidRPr="005129AF">
        <w:rPr>
          <w:sz w:val="24"/>
          <w:szCs w:val="24"/>
          <w:lang w:val="en-US"/>
        </w:rPr>
        <w:t xml:space="preserve"> prepared separately. The samples were mixed thoroughly in a vortex mixer and the absorpti</w:t>
      </w:r>
      <w:r w:rsidR="00F1759F">
        <w:rPr>
          <w:sz w:val="24"/>
          <w:szCs w:val="24"/>
          <w:lang w:val="en-US"/>
        </w:rPr>
        <w:t>on spectra of each solution</w:t>
      </w:r>
      <w:r w:rsidRPr="005129AF">
        <w:rPr>
          <w:sz w:val="24"/>
          <w:szCs w:val="24"/>
          <w:lang w:val="en-US"/>
        </w:rPr>
        <w:t xml:space="preserve"> acquired. To check the reproducibility, possible aggregation and specific interactions effects, the position of the band maximum in each sample was measured in five separate aliquots. A UV-VIS microplate reader spectrophotometer SpectraMax Plus384 (Molecular Devices, Sunnyvale, CA, USA) with a bandwidth of 2.0 nm, data interval of 1</w:t>
      </w:r>
      <w:r w:rsidR="00F1759F">
        <w:rPr>
          <w:sz w:val="24"/>
          <w:szCs w:val="24"/>
          <w:lang w:val="en-US"/>
        </w:rPr>
        <w:t>.0</w:t>
      </w:r>
      <w:r w:rsidRPr="005129AF">
        <w:rPr>
          <w:sz w:val="24"/>
          <w:szCs w:val="24"/>
          <w:lang w:val="en-US"/>
        </w:rPr>
        <w:t xml:space="preserve"> nm, and high resolution scan (~0.5 nm/s) was used for acquisition of the UV–Vis molecular absorbance data. The absorption spectra of </w:t>
      </w:r>
      <w:r w:rsidRPr="005129AF">
        <w:rPr>
          <w:bCs/>
          <w:sz w:val="24"/>
          <w:szCs w:val="24"/>
          <w:lang w:val="en-US"/>
        </w:rPr>
        <w:t>the probes</w:t>
      </w:r>
      <w:r w:rsidRPr="005129AF">
        <w:rPr>
          <w:sz w:val="24"/>
          <w:szCs w:val="24"/>
          <w:lang w:val="en-US"/>
        </w:rPr>
        <w:t xml:space="preserve"> were determined over the spectral range from 240</w:t>
      </w:r>
      <w:r w:rsidRPr="005129AF">
        <w:rPr>
          <w:b/>
          <w:bCs/>
          <w:sz w:val="24"/>
          <w:szCs w:val="24"/>
          <w:lang w:val="en-US"/>
        </w:rPr>
        <w:t xml:space="preserve"> </w:t>
      </w:r>
      <w:r w:rsidRPr="005129AF">
        <w:rPr>
          <w:sz w:val="24"/>
          <w:szCs w:val="24"/>
          <w:lang w:val="en-US"/>
        </w:rPr>
        <w:t xml:space="preserve">to 600 nm in each </w:t>
      </w:r>
      <w:r w:rsidR="00377184" w:rsidRPr="005129AF">
        <w:rPr>
          <w:sz w:val="24"/>
          <w:szCs w:val="24"/>
          <w:lang w:val="en-US"/>
        </w:rPr>
        <w:t>phase</w:t>
      </w:r>
      <w:r w:rsidRPr="005129AF">
        <w:rPr>
          <w:sz w:val="24"/>
          <w:szCs w:val="24"/>
          <w:lang w:val="en-US"/>
        </w:rPr>
        <w:t xml:space="preserve">. </w:t>
      </w:r>
      <w:r w:rsidR="00F1759F">
        <w:rPr>
          <w:color w:val="000000"/>
          <w:sz w:val="24"/>
          <w:szCs w:val="24"/>
        </w:rPr>
        <w:t>B</w:t>
      </w:r>
      <w:r w:rsidRPr="005129AF">
        <w:rPr>
          <w:color w:val="000000"/>
          <w:sz w:val="24"/>
          <w:szCs w:val="24"/>
        </w:rPr>
        <w:t>lank</w:t>
      </w:r>
      <w:r w:rsidR="00F1759F">
        <w:rPr>
          <w:color w:val="000000"/>
          <w:sz w:val="24"/>
          <w:szCs w:val="24"/>
        </w:rPr>
        <w:t>s</w:t>
      </w:r>
      <w:r w:rsidRPr="005129AF">
        <w:rPr>
          <w:color w:val="000000"/>
          <w:sz w:val="24"/>
          <w:szCs w:val="24"/>
        </w:rPr>
        <w:t xml:space="preserve"> were scanned first to establish a baseline. </w:t>
      </w:r>
      <w:r w:rsidRPr="005129AF">
        <w:rPr>
          <w:sz w:val="24"/>
          <w:szCs w:val="24"/>
          <w:lang w:val="en-US"/>
        </w:rPr>
        <w:t xml:space="preserve">The wavelength of maximum absorbance in each </w:t>
      </w:r>
      <w:r w:rsidR="00AF60F3" w:rsidRPr="005129AF">
        <w:rPr>
          <w:sz w:val="24"/>
          <w:szCs w:val="24"/>
          <w:lang w:val="en-US"/>
        </w:rPr>
        <w:t>phase</w:t>
      </w:r>
      <w:r w:rsidRPr="005129AF">
        <w:rPr>
          <w:sz w:val="24"/>
          <w:szCs w:val="24"/>
          <w:lang w:val="en-US"/>
        </w:rPr>
        <w:t xml:space="preserve"> was determined </w:t>
      </w:r>
      <w:r w:rsidRPr="005129AF">
        <w:rPr>
          <w:color w:val="000000"/>
          <w:sz w:val="24"/>
          <w:szCs w:val="24"/>
        </w:rPr>
        <w:t>as described by Huddleston et al.</w:t>
      </w:r>
      <w:r w:rsidR="00886FDF">
        <w:rPr>
          <w:color w:val="000000"/>
          <w:sz w:val="24"/>
          <w:szCs w:val="24"/>
        </w:rPr>
        <w:t xml:space="preserve"> [1]</w:t>
      </w:r>
      <w:r w:rsidRPr="005129AF">
        <w:rPr>
          <w:sz w:val="24"/>
          <w:szCs w:val="24"/>
        </w:rPr>
        <w:t xml:space="preserve"> </w:t>
      </w:r>
      <w:r w:rsidRPr="005129AF">
        <w:rPr>
          <w:color w:val="000000"/>
          <w:sz w:val="24"/>
          <w:szCs w:val="24"/>
        </w:rPr>
        <w:t xml:space="preserve">using PeakFit software package (Systat Software Inc., San Jose, CA, USA) </w:t>
      </w:r>
      <w:r w:rsidRPr="005129AF">
        <w:rPr>
          <w:sz w:val="24"/>
          <w:szCs w:val="24"/>
          <w:lang w:val="en-US"/>
        </w:rPr>
        <w:t>and averaged. Standard deviation for the measured maximum absorption wavelength was ≤0.4 nm for all dyes in all solutions examined.</w:t>
      </w:r>
    </w:p>
    <w:p w:rsidR="00237927" w:rsidRPr="005129AF" w:rsidRDefault="00237927" w:rsidP="000F46C7">
      <w:pPr>
        <w:autoSpaceDE w:val="0"/>
        <w:autoSpaceDN w:val="0"/>
        <w:adjustRightInd w:val="0"/>
        <w:spacing w:after="120" w:line="360" w:lineRule="auto"/>
        <w:ind w:firstLine="360"/>
        <w:jc w:val="both"/>
        <w:rPr>
          <w:rFonts w:ascii="Times New Roman" w:hAnsi="Times New Roman" w:cs="Times New Roman"/>
          <w:color w:val="000000"/>
          <w:sz w:val="24"/>
          <w:szCs w:val="24"/>
        </w:rPr>
      </w:pPr>
      <w:r w:rsidRPr="005129AF">
        <w:rPr>
          <w:rFonts w:ascii="Times New Roman" w:hAnsi="Times New Roman" w:cs="Times New Roman"/>
          <w:color w:val="000000"/>
          <w:sz w:val="24"/>
          <w:szCs w:val="24"/>
        </w:rPr>
        <w:t>The behavior of the probes (4-nitrophenol, and Reichardt’s carboxylated betaine dye) in several solvents (water, n-hexane, methanol) was tested in the presence and absence of HCl (for 4-nitrophenol) and NaOH (for the betaine dye) at different concentrations of the probes, acid or base, and the maximum shifts of the probes were compared to reference values found in the literature and were within the experimental errors in all cases (data not shown).</w:t>
      </w:r>
    </w:p>
    <w:p w:rsidR="00237927" w:rsidRPr="005129AF" w:rsidRDefault="00237927" w:rsidP="000F46C7">
      <w:pPr>
        <w:autoSpaceDE w:val="0"/>
        <w:autoSpaceDN w:val="0"/>
        <w:adjustRightInd w:val="0"/>
        <w:spacing w:after="120" w:line="360" w:lineRule="auto"/>
        <w:ind w:firstLine="360"/>
        <w:jc w:val="both"/>
        <w:rPr>
          <w:rFonts w:ascii="Times New Roman" w:hAnsi="Times New Roman" w:cs="Times New Roman"/>
          <w:color w:val="000000"/>
          <w:sz w:val="24"/>
          <w:szCs w:val="24"/>
        </w:rPr>
      </w:pPr>
      <w:r w:rsidRPr="005129AF">
        <w:rPr>
          <w:rFonts w:ascii="Times New Roman" w:hAnsi="Times New Roman" w:cs="Times New Roman"/>
          <w:color w:val="000000"/>
          <w:sz w:val="24"/>
          <w:szCs w:val="24"/>
        </w:rPr>
        <w:t xml:space="preserve">The results of the solvatochromic studies were used to calculate </w:t>
      </w:r>
      <w:r w:rsidR="00E02E19" w:rsidRPr="005129AF">
        <w:rPr>
          <w:rFonts w:ascii="Times New Roman" w:hAnsi="Times New Roman" w:cs="Times New Roman"/>
          <w:color w:val="000000"/>
          <w:sz w:val="24"/>
          <w:szCs w:val="24"/>
        </w:rPr>
        <w:sym w:font="Symbol" w:char="F070"/>
      </w:r>
      <w:r w:rsidRPr="005129AF">
        <w:rPr>
          <w:rFonts w:ascii="Times New Roman" w:hAnsi="Times New Roman" w:cs="Times New Roman"/>
          <w:color w:val="000000"/>
          <w:sz w:val="24"/>
          <w:szCs w:val="24"/>
        </w:rPr>
        <w:t xml:space="preserve">*, </w:t>
      </w:r>
      <w:r w:rsidR="00E02E19" w:rsidRPr="005129AF">
        <w:rPr>
          <w:rFonts w:ascii="Times New Roman" w:hAnsi="Times New Roman" w:cs="Times New Roman"/>
          <w:color w:val="000000"/>
          <w:sz w:val="24"/>
          <w:szCs w:val="24"/>
        </w:rPr>
        <w:sym w:font="Symbol" w:char="F062"/>
      </w:r>
      <w:r w:rsidR="00E02E19" w:rsidRPr="005129AF">
        <w:rPr>
          <w:rFonts w:ascii="Times New Roman" w:hAnsi="Times New Roman" w:cs="Times New Roman"/>
          <w:color w:val="000000"/>
          <w:sz w:val="24"/>
          <w:szCs w:val="24"/>
        </w:rPr>
        <w:t xml:space="preserve"> </w:t>
      </w:r>
      <w:r w:rsidRPr="005129AF">
        <w:rPr>
          <w:rFonts w:ascii="Times New Roman" w:hAnsi="Times New Roman" w:cs="Times New Roman"/>
          <w:color w:val="000000"/>
          <w:sz w:val="24"/>
          <w:szCs w:val="24"/>
        </w:rPr>
        <w:t xml:space="preserve">and </w:t>
      </w:r>
      <w:r w:rsidR="00E02E19" w:rsidRPr="005129AF">
        <w:rPr>
          <w:rFonts w:ascii="Times New Roman" w:hAnsi="Times New Roman" w:cs="Times New Roman"/>
          <w:color w:val="000000"/>
          <w:sz w:val="24"/>
          <w:szCs w:val="24"/>
        </w:rPr>
        <w:sym w:font="Symbol" w:char="F061"/>
      </w:r>
      <w:r w:rsidRPr="005129AF">
        <w:rPr>
          <w:rFonts w:ascii="Times New Roman" w:hAnsi="Times New Roman" w:cs="Times New Roman"/>
          <w:color w:val="000000"/>
          <w:sz w:val="24"/>
          <w:szCs w:val="24"/>
        </w:rPr>
        <w:t xml:space="preserve"> as described by </w:t>
      </w:r>
      <w:r w:rsidRPr="005129AF">
        <w:rPr>
          <w:rFonts w:ascii="Times New Roman" w:hAnsi="Times New Roman" w:cs="Times New Roman"/>
          <w:sz w:val="24"/>
          <w:szCs w:val="24"/>
        </w:rPr>
        <w:t>Marcus</w:t>
      </w:r>
      <w:r w:rsidR="00886FDF">
        <w:rPr>
          <w:rFonts w:ascii="Times New Roman" w:hAnsi="Times New Roman" w:cs="Times New Roman"/>
          <w:sz w:val="24"/>
          <w:szCs w:val="24"/>
        </w:rPr>
        <w:t xml:space="preserve"> [2].</w:t>
      </w:r>
    </w:p>
    <w:p w:rsidR="00237927" w:rsidRPr="005129AF" w:rsidRDefault="00237927" w:rsidP="000F46C7">
      <w:pPr>
        <w:autoSpaceDE w:val="0"/>
        <w:autoSpaceDN w:val="0"/>
        <w:adjustRightInd w:val="0"/>
        <w:spacing w:after="120" w:line="360" w:lineRule="auto"/>
        <w:jc w:val="both"/>
        <w:rPr>
          <w:rFonts w:ascii="Times New Roman" w:hAnsi="Times New Roman" w:cs="Times New Roman"/>
          <w:color w:val="000000"/>
          <w:sz w:val="24"/>
          <w:szCs w:val="24"/>
        </w:rPr>
      </w:pPr>
      <w:r w:rsidRPr="005129AF">
        <w:rPr>
          <w:rFonts w:ascii="Times New Roman" w:hAnsi="Times New Roman" w:cs="Times New Roman"/>
          <w:i/>
          <w:color w:val="000000"/>
          <w:sz w:val="24"/>
          <w:szCs w:val="24"/>
        </w:rPr>
        <w:t xml:space="preserve">Determination of the solvent dipolarity/polarizability </w:t>
      </w:r>
      <w:r w:rsidR="00E02E19" w:rsidRPr="005129AF">
        <w:rPr>
          <w:rFonts w:ascii="Times New Roman" w:hAnsi="Times New Roman" w:cs="Times New Roman"/>
          <w:i/>
          <w:color w:val="000000"/>
          <w:sz w:val="24"/>
          <w:szCs w:val="24"/>
        </w:rPr>
        <w:sym w:font="Symbol" w:char="F070"/>
      </w:r>
      <w:r w:rsidRPr="005129AF">
        <w:rPr>
          <w:rFonts w:ascii="Times New Roman" w:hAnsi="Times New Roman" w:cs="Times New Roman"/>
          <w:i/>
          <w:color w:val="000000"/>
          <w:sz w:val="24"/>
          <w:szCs w:val="24"/>
        </w:rPr>
        <w:t>*</w:t>
      </w:r>
      <w:r w:rsidRPr="005129AF">
        <w:rPr>
          <w:rFonts w:ascii="Times New Roman" w:hAnsi="Times New Roman" w:cs="Times New Roman"/>
          <w:color w:val="000000"/>
          <w:sz w:val="24"/>
          <w:szCs w:val="24"/>
        </w:rPr>
        <w:t xml:space="preserve">. </w:t>
      </w:r>
    </w:p>
    <w:p w:rsidR="00237927" w:rsidRPr="005129AF" w:rsidRDefault="00E02E19" w:rsidP="000F46C7">
      <w:pPr>
        <w:autoSpaceDE w:val="0"/>
        <w:autoSpaceDN w:val="0"/>
        <w:adjustRightInd w:val="0"/>
        <w:spacing w:after="120" w:line="360" w:lineRule="auto"/>
        <w:jc w:val="both"/>
        <w:rPr>
          <w:rFonts w:ascii="Times New Roman" w:hAnsi="Times New Roman" w:cs="Times New Roman"/>
          <w:color w:val="000000"/>
          <w:sz w:val="24"/>
          <w:szCs w:val="24"/>
        </w:rPr>
      </w:pPr>
      <w:r w:rsidRPr="005129AF">
        <w:rPr>
          <w:rFonts w:ascii="Times New Roman" w:hAnsi="Times New Roman" w:cs="Times New Roman"/>
          <w:color w:val="000000"/>
          <w:sz w:val="24"/>
          <w:szCs w:val="24"/>
        </w:rPr>
        <w:sym w:font="Symbol" w:char="F070"/>
      </w:r>
      <w:r w:rsidR="00237927" w:rsidRPr="005129AF">
        <w:rPr>
          <w:rFonts w:ascii="Times New Roman" w:hAnsi="Times New Roman" w:cs="Times New Roman"/>
          <w:color w:val="000000"/>
          <w:sz w:val="24"/>
          <w:szCs w:val="24"/>
        </w:rPr>
        <w:t>* value was determined from the wave number (</w:t>
      </w:r>
      <w:r w:rsidR="00237927" w:rsidRPr="005129AF">
        <w:rPr>
          <w:rFonts w:ascii="Times New Roman" w:hAnsi="Times New Roman" w:cs="Times New Roman"/>
          <w:i/>
          <w:iCs/>
          <w:color w:val="000000"/>
          <w:sz w:val="24"/>
          <w:szCs w:val="24"/>
        </w:rPr>
        <w:t>v</w:t>
      </w:r>
      <w:r w:rsidR="00237927" w:rsidRPr="005129AF">
        <w:rPr>
          <w:rFonts w:ascii="Times New Roman" w:hAnsi="Times New Roman" w:cs="Times New Roman"/>
          <w:color w:val="000000"/>
          <w:sz w:val="24"/>
          <w:szCs w:val="24"/>
          <w:vertAlign w:val="subscript"/>
        </w:rPr>
        <w:t>1</w:t>
      </w:r>
      <w:r w:rsidR="00237927" w:rsidRPr="005129AF">
        <w:rPr>
          <w:rFonts w:ascii="Times New Roman" w:hAnsi="Times New Roman" w:cs="Times New Roman"/>
          <w:color w:val="000000"/>
          <w:sz w:val="24"/>
          <w:szCs w:val="24"/>
        </w:rPr>
        <w:t>) of the longest wavelength absorption band of the 4-nitroanisole dye using the relationship:</w:t>
      </w:r>
    </w:p>
    <w:p w:rsidR="00237927" w:rsidRPr="005129AF" w:rsidRDefault="00E02E19" w:rsidP="000F46C7">
      <w:pPr>
        <w:autoSpaceDE w:val="0"/>
        <w:autoSpaceDN w:val="0"/>
        <w:adjustRightInd w:val="0"/>
        <w:spacing w:after="120" w:line="360" w:lineRule="auto"/>
        <w:jc w:val="both"/>
        <w:rPr>
          <w:rFonts w:ascii="Times New Roman" w:hAnsi="Times New Roman" w:cs="Times New Roman"/>
          <w:color w:val="000000"/>
          <w:sz w:val="24"/>
          <w:szCs w:val="24"/>
        </w:rPr>
      </w:pPr>
      <w:r w:rsidRPr="005129AF">
        <w:rPr>
          <w:rFonts w:ascii="Times New Roman" w:hAnsi="Times New Roman" w:cs="Times New Roman"/>
          <w:color w:val="000000"/>
          <w:sz w:val="24"/>
          <w:szCs w:val="24"/>
        </w:rPr>
        <w:sym w:font="Symbol" w:char="F070"/>
      </w:r>
      <w:r w:rsidR="00237927" w:rsidRPr="005129AF">
        <w:rPr>
          <w:rFonts w:ascii="Times New Roman" w:hAnsi="Times New Roman" w:cs="Times New Roman"/>
          <w:color w:val="000000"/>
          <w:sz w:val="24"/>
          <w:szCs w:val="24"/>
        </w:rPr>
        <w:t>*</w:t>
      </w:r>
      <w:r w:rsidR="00237927" w:rsidRPr="005129AF">
        <w:rPr>
          <w:rFonts w:ascii="Times New Roman" w:eastAsia="MTSY" w:hAnsi="Times New Roman" w:cs="Times New Roman"/>
          <w:color w:val="000000"/>
          <w:sz w:val="24"/>
          <w:szCs w:val="24"/>
        </w:rPr>
        <w:t xml:space="preserve"> = </w:t>
      </w:r>
      <w:r w:rsidR="00237927" w:rsidRPr="005129AF">
        <w:rPr>
          <w:rFonts w:ascii="Times New Roman" w:hAnsi="Times New Roman" w:cs="Times New Roman"/>
          <w:color w:val="000000"/>
          <w:sz w:val="24"/>
          <w:szCs w:val="24"/>
        </w:rPr>
        <w:t xml:space="preserve">0.427(34.12 </w:t>
      </w:r>
      <w:r w:rsidR="00237927" w:rsidRPr="005129AF">
        <w:rPr>
          <w:rFonts w:ascii="Times New Roman" w:eastAsia="MTSY" w:hAnsi="Times New Roman" w:cs="Times New Roman"/>
          <w:color w:val="000000"/>
          <w:sz w:val="24"/>
          <w:szCs w:val="24"/>
        </w:rPr>
        <w:t xml:space="preserve">− </w:t>
      </w:r>
      <w:r w:rsidR="00237927" w:rsidRPr="005129AF">
        <w:rPr>
          <w:rFonts w:ascii="Times New Roman" w:hAnsi="Times New Roman" w:cs="Times New Roman"/>
          <w:i/>
          <w:iCs/>
          <w:color w:val="000000"/>
          <w:sz w:val="24"/>
          <w:szCs w:val="24"/>
        </w:rPr>
        <w:t>v</w:t>
      </w:r>
      <w:r w:rsidR="00237927" w:rsidRPr="005129AF">
        <w:rPr>
          <w:rFonts w:ascii="Times New Roman" w:hAnsi="Times New Roman" w:cs="Times New Roman"/>
          <w:color w:val="000000"/>
          <w:sz w:val="24"/>
          <w:szCs w:val="24"/>
          <w:vertAlign w:val="subscript"/>
        </w:rPr>
        <w:t>1</w:t>
      </w:r>
      <w:r w:rsidR="00237927" w:rsidRPr="005129AF">
        <w:rPr>
          <w:rFonts w:ascii="Times New Roman" w:hAnsi="Times New Roman" w:cs="Times New Roman"/>
          <w:color w:val="000000"/>
          <w:sz w:val="24"/>
          <w:szCs w:val="24"/>
        </w:rPr>
        <w:t xml:space="preserve">) </w:t>
      </w:r>
      <w:r w:rsidR="00237927" w:rsidRPr="005129AF">
        <w:rPr>
          <w:rFonts w:ascii="Times New Roman" w:hAnsi="Times New Roman" w:cs="Times New Roman"/>
          <w:color w:val="000000"/>
          <w:sz w:val="24"/>
          <w:szCs w:val="24"/>
        </w:rPr>
        <w:tab/>
      </w:r>
      <w:r w:rsidR="00237927" w:rsidRPr="005129AF">
        <w:rPr>
          <w:rFonts w:ascii="Times New Roman" w:hAnsi="Times New Roman" w:cs="Times New Roman"/>
          <w:color w:val="000000"/>
          <w:sz w:val="24"/>
          <w:szCs w:val="24"/>
        </w:rPr>
        <w:tab/>
      </w:r>
      <w:r w:rsidR="00237927" w:rsidRPr="005129AF">
        <w:rPr>
          <w:rFonts w:ascii="Times New Roman" w:hAnsi="Times New Roman" w:cs="Times New Roman"/>
          <w:color w:val="000000"/>
          <w:sz w:val="24"/>
          <w:szCs w:val="24"/>
        </w:rPr>
        <w:tab/>
      </w:r>
      <w:r w:rsidR="00237927" w:rsidRPr="005129AF">
        <w:rPr>
          <w:rFonts w:ascii="Times New Roman" w:hAnsi="Times New Roman" w:cs="Times New Roman"/>
          <w:color w:val="000000"/>
          <w:sz w:val="24"/>
          <w:szCs w:val="24"/>
        </w:rPr>
        <w:tab/>
      </w:r>
      <w:r w:rsidR="00237927" w:rsidRPr="005129AF">
        <w:rPr>
          <w:rFonts w:ascii="Times New Roman" w:hAnsi="Times New Roman" w:cs="Times New Roman"/>
          <w:color w:val="000000"/>
          <w:sz w:val="24"/>
          <w:szCs w:val="24"/>
        </w:rPr>
        <w:tab/>
      </w:r>
      <w:r w:rsidR="002D0282" w:rsidRPr="005129AF">
        <w:rPr>
          <w:rFonts w:ascii="Times New Roman" w:hAnsi="Times New Roman" w:cs="Times New Roman"/>
          <w:color w:val="000000"/>
          <w:sz w:val="24"/>
          <w:szCs w:val="24"/>
        </w:rPr>
        <w:tab/>
      </w:r>
      <w:r w:rsidR="00237927" w:rsidRPr="005129AF">
        <w:rPr>
          <w:rFonts w:ascii="Times New Roman" w:hAnsi="Times New Roman" w:cs="Times New Roman"/>
          <w:color w:val="000000"/>
          <w:sz w:val="24"/>
          <w:szCs w:val="24"/>
        </w:rPr>
        <w:tab/>
      </w:r>
      <w:r w:rsidR="00237927" w:rsidRPr="005129AF">
        <w:rPr>
          <w:rFonts w:ascii="Times New Roman" w:hAnsi="Times New Roman" w:cs="Times New Roman"/>
          <w:color w:val="000000"/>
          <w:sz w:val="24"/>
          <w:szCs w:val="24"/>
        </w:rPr>
        <w:tab/>
      </w:r>
      <w:r w:rsidR="00237927" w:rsidRPr="005129AF">
        <w:rPr>
          <w:rFonts w:ascii="Times New Roman" w:hAnsi="Times New Roman" w:cs="Times New Roman"/>
          <w:color w:val="000000"/>
          <w:sz w:val="24"/>
          <w:szCs w:val="24"/>
        </w:rPr>
        <w:tab/>
        <w:t>(</w:t>
      </w:r>
      <w:r w:rsidRPr="005129AF">
        <w:rPr>
          <w:rFonts w:ascii="Times New Roman" w:hAnsi="Times New Roman" w:cs="Times New Roman"/>
          <w:color w:val="000000"/>
          <w:sz w:val="24"/>
          <w:szCs w:val="24"/>
        </w:rPr>
        <w:t>1</w:t>
      </w:r>
      <w:r w:rsidR="00237927" w:rsidRPr="005129AF">
        <w:rPr>
          <w:rFonts w:ascii="Times New Roman" w:hAnsi="Times New Roman" w:cs="Times New Roman"/>
          <w:color w:val="000000"/>
          <w:sz w:val="24"/>
          <w:szCs w:val="24"/>
        </w:rPr>
        <w:t>)</w:t>
      </w:r>
    </w:p>
    <w:p w:rsidR="00237927" w:rsidRPr="005129AF" w:rsidRDefault="00237927" w:rsidP="000F46C7">
      <w:pPr>
        <w:autoSpaceDE w:val="0"/>
        <w:autoSpaceDN w:val="0"/>
        <w:adjustRightInd w:val="0"/>
        <w:spacing w:after="120" w:line="360" w:lineRule="auto"/>
        <w:jc w:val="both"/>
        <w:rPr>
          <w:rFonts w:ascii="Times New Roman" w:hAnsi="Times New Roman" w:cs="Times New Roman"/>
          <w:color w:val="000000"/>
          <w:sz w:val="24"/>
          <w:szCs w:val="24"/>
        </w:rPr>
      </w:pPr>
      <w:r w:rsidRPr="005129AF">
        <w:rPr>
          <w:rFonts w:ascii="Times New Roman" w:hAnsi="Times New Roman" w:cs="Times New Roman"/>
          <w:i/>
          <w:color w:val="000000"/>
          <w:sz w:val="24"/>
          <w:szCs w:val="24"/>
        </w:rPr>
        <w:t xml:space="preserve">Determination of the solvent hydrogen-bond acceptor basicity </w:t>
      </w:r>
      <w:r w:rsidR="00E02E19" w:rsidRPr="005129AF">
        <w:rPr>
          <w:rFonts w:ascii="Times New Roman" w:hAnsi="Times New Roman" w:cs="Times New Roman"/>
          <w:i/>
          <w:color w:val="000000"/>
          <w:sz w:val="24"/>
          <w:szCs w:val="24"/>
        </w:rPr>
        <w:sym w:font="Symbol" w:char="F062"/>
      </w:r>
      <w:r w:rsidR="00E02E19" w:rsidRPr="005129AF">
        <w:rPr>
          <w:rFonts w:ascii="Times New Roman" w:hAnsi="Times New Roman" w:cs="Times New Roman"/>
          <w:i/>
          <w:color w:val="000000"/>
          <w:sz w:val="24"/>
          <w:szCs w:val="24"/>
        </w:rPr>
        <w:t>.</w:t>
      </w:r>
    </w:p>
    <w:p w:rsidR="00237927" w:rsidRPr="005129AF" w:rsidRDefault="00E02E19" w:rsidP="000F46C7">
      <w:pPr>
        <w:autoSpaceDE w:val="0"/>
        <w:autoSpaceDN w:val="0"/>
        <w:adjustRightInd w:val="0"/>
        <w:spacing w:after="120" w:line="360" w:lineRule="auto"/>
        <w:jc w:val="both"/>
        <w:rPr>
          <w:rFonts w:ascii="Times New Roman" w:hAnsi="Times New Roman" w:cs="Times New Roman"/>
          <w:color w:val="000000"/>
          <w:sz w:val="24"/>
          <w:szCs w:val="24"/>
        </w:rPr>
      </w:pPr>
      <w:r w:rsidRPr="005129AF">
        <w:rPr>
          <w:rFonts w:ascii="Times New Roman" w:hAnsi="Times New Roman" w:cs="Times New Roman"/>
          <w:color w:val="000000"/>
          <w:sz w:val="24"/>
          <w:szCs w:val="24"/>
        </w:rPr>
        <w:sym w:font="Symbol" w:char="F062"/>
      </w:r>
      <w:r w:rsidRPr="005129AF">
        <w:rPr>
          <w:rFonts w:ascii="Times New Roman" w:hAnsi="Times New Roman" w:cs="Times New Roman"/>
          <w:color w:val="000000"/>
          <w:sz w:val="24"/>
          <w:szCs w:val="24"/>
        </w:rPr>
        <w:t xml:space="preserve"> </w:t>
      </w:r>
      <w:r w:rsidR="00237927" w:rsidRPr="005129AF">
        <w:rPr>
          <w:rFonts w:ascii="Times New Roman" w:hAnsi="Times New Roman" w:cs="Times New Roman"/>
          <w:color w:val="000000"/>
          <w:sz w:val="24"/>
          <w:szCs w:val="24"/>
        </w:rPr>
        <w:t>values were determined from the wave number (</w:t>
      </w:r>
      <w:r w:rsidR="00237927" w:rsidRPr="005129AF">
        <w:rPr>
          <w:rFonts w:ascii="Times New Roman" w:hAnsi="Times New Roman" w:cs="Times New Roman"/>
          <w:i/>
          <w:iCs/>
          <w:color w:val="000000"/>
          <w:sz w:val="24"/>
          <w:szCs w:val="24"/>
        </w:rPr>
        <w:t>v</w:t>
      </w:r>
      <w:r w:rsidR="00237927" w:rsidRPr="005129AF">
        <w:rPr>
          <w:rFonts w:ascii="Times New Roman" w:hAnsi="Times New Roman" w:cs="Times New Roman"/>
          <w:color w:val="000000"/>
          <w:sz w:val="24"/>
          <w:szCs w:val="24"/>
          <w:vertAlign w:val="subscript"/>
        </w:rPr>
        <w:t>2</w:t>
      </w:r>
      <w:r w:rsidR="00237927" w:rsidRPr="005129AF">
        <w:rPr>
          <w:rFonts w:ascii="Times New Roman" w:hAnsi="Times New Roman" w:cs="Times New Roman"/>
          <w:color w:val="000000"/>
          <w:sz w:val="24"/>
          <w:szCs w:val="24"/>
        </w:rPr>
        <w:t>) of the longest wavelength absorption band of the 4-nitrophenol dye using the relationship:</w:t>
      </w:r>
    </w:p>
    <w:p w:rsidR="00237927" w:rsidRPr="005129AF" w:rsidRDefault="00E02E19" w:rsidP="000F46C7">
      <w:pPr>
        <w:autoSpaceDE w:val="0"/>
        <w:autoSpaceDN w:val="0"/>
        <w:adjustRightInd w:val="0"/>
        <w:spacing w:after="120" w:line="360" w:lineRule="auto"/>
        <w:jc w:val="both"/>
        <w:rPr>
          <w:rFonts w:ascii="Times New Roman" w:hAnsi="Times New Roman" w:cs="Times New Roman"/>
          <w:color w:val="000000"/>
          <w:sz w:val="24"/>
          <w:szCs w:val="24"/>
        </w:rPr>
      </w:pPr>
      <w:r w:rsidRPr="005129AF">
        <w:rPr>
          <w:rFonts w:ascii="Times New Roman" w:hAnsi="Times New Roman" w:cs="Times New Roman"/>
          <w:color w:val="000000"/>
          <w:sz w:val="24"/>
          <w:szCs w:val="24"/>
        </w:rPr>
        <w:sym w:font="Symbol" w:char="F062"/>
      </w:r>
      <w:r w:rsidR="00237927" w:rsidRPr="005129AF">
        <w:rPr>
          <w:rFonts w:ascii="Times New Roman" w:eastAsia="MTSY" w:hAnsi="Times New Roman" w:cs="Times New Roman"/>
          <w:color w:val="000000"/>
          <w:sz w:val="24"/>
          <w:szCs w:val="24"/>
        </w:rPr>
        <w:t xml:space="preserve"> = </w:t>
      </w:r>
      <w:r w:rsidR="00237927" w:rsidRPr="005129AF">
        <w:rPr>
          <w:rFonts w:ascii="Times New Roman" w:hAnsi="Times New Roman" w:cs="Times New Roman"/>
          <w:color w:val="000000"/>
          <w:sz w:val="24"/>
          <w:szCs w:val="24"/>
        </w:rPr>
        <w:t xml:space="preserve">0.346(35.045 </w:t>
      </w:r>
      <w:r w:rsidR="00237927" w:rsidRPr="005129AF">
        <w:rPr>
          <w:rFonts w:ascii="Times New Roman" w:eastAsia="MTSY" w:hAnsi="Times New Roman" w:cs="Times New Roman"/>
          <w:color w:val="000000"/>
          <w:sz w:val="24"/>
          <w:szCs w:val="24"/>
        </w:rPr>
        <w:t xml:space="preserve">− </w:t>
      </w:r>
      <w:r w:rsidR="00237927" w:rsidRPr="005129AF">
        <w:rPr>
          <w:rFonts w:ascii="Times New Roman" w:hAnsi="Times New Roman" w:cs="Times New Roman"/>
          <w:i/>
          <w:iCs/>
          <w:color w:val="000000"/>
          <w:sz w:val="24"/>
          <w:szCs w:val="24"/>
        </w:rPr>
        <w:t>v</w:t>
      </w:r>
      <w:r w:rsidR="00237927" w:rsidRPr="005129AF">
        <w:rPr>
          <w:rFonts w:ascii="Times New Roman" w:hAnsi="Times New Roman" w:cs="Times New Roman"/>
          <w:color w:val="000000"/>
          <w:sz w:val="24"/>
          <w:szCs w:val="24"/>
          <w:vertAlign w:val="subscript"/>
        </w:rPr>
        <w:t>2</w:t>
      </w:r>
      <w:r w:rsidR="00237927" w:rsidRPr="005129AF">
        <w:rPr>
          <w:rFonts w:ascii="Times New Roman" w:hAnsi="Times New Roman" w:cs="Times New Roman"/>
          <w:color w:val="000000"/>
          <w:sz w:val="24"/>
          <w:szCs w:val="24"/>
        </w:rPr>
        <w:t xml:space="preserve">) </w:t>
      </w:r>
      <w:r w:rsidR="00237927" w:rsidRPr="005129AF">
        <w:rPr>
          <w:rFonts w:ascii="Times New Roman" w:eastAsia="MTSY" w:hAnsi="Times New Roman" w:cs="Times New Roman"/>
          <w:color w:val="000000"/>
          <w:sz w:val="24"/>
          <w:szCs w:val="24"/>
        </w:rPr>
        <w:t xml:space="preserve">− </w:t>
      </w:r>
      <w:r w:rsidR="00237927" w:rsidRPr="005129AF">
        <w:rPr>
          <w:rFonts w:ascii="Times New Roman" w:hAnsi="Times New Roman" w:cs="Times New Roman"/>
          <w:color w:val="000000"/>
          <w:sz w:val="24"/>
          <w:szCs w:val="24"/>
        </w:rPr>
        <w:t>0.57</w:t>
      </w:r>
      <w:r w:rsidRPr="005129AF">
        <w:rPr>
          <w:rFonts w:ascii="Times New Roman" w:hAnsi="Times New Roman" w:cs="Times New Roman"/>
          <w:color w:val="000000"/>
          <w:sz w:val="24"/>
          <w:szCs w:val="24"/>
        </w:rPr>
        <w:sym w:font="Symbol" w:char="F070"/>
      </w:r>
      <w:r w:rsidR="00237927" w:rsidRPr="005129AF">
        <w:rPr>
          <w:rFonts w:ascii="Times New Roman" w:hAnsi="Times New Roman" w:cs="Times New Roman"/>
          <w:color w:val="000000"/>
          <w:sz w:val="24"/>
          <w:szCs w:val="24"/>
        </w:rPr>
        <w:t>*</w:t>
      </w:r>
      <w:r w:rsidR="00237927" w:rsidRPr="005129AF">
        <w:rPr>
          <w:rFonts w:ascii="Times New Roman" w:eastAsia="MTSY" w:hAnsi="Times New Roman" w:cs="Times New Roman"/>
          <w:color w:val="000000"/>
          <w:sz w:val="24"/>
          <w:szCs w:val="24"/>
        </w:rPr>
        <w:t xml:space="preserve"> </w:t>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hAnsi="Times New Roman" w:cs="Times New Roman"/>
          <w:color w:val="000000"/>
          <w:sz w:val="24"/>
          <w:szCs w:val="24"/>
        </w:rPr>
        <w:t>(</w:t>
      </w:r>
      <w:r w:rsidRPr="005129AF">
        <w:rPr>
          <w:rFonts w:ascii="Times New Roman" w:hAnsi="Times New Roman" w:cs="Times New Roman"/>
          <w:color w:val="000000"/>
          <w:sz w:val="24"/>
          <w:szCs w:val="24"/>
        </w:rPr>
        <w:t>2</w:t>
      </w:r>
      <w:r w:rsidR="00237927" w:rsidRPr="005129AF">
        <w:rPr>
          <w:rFonts w:ascii="Times New Roman" w:hAnsi="Times New Roman" w:cs="Times New Roman"/>
          <w:color w:val="000000"/>
          <w:sz w:val="24"/>
          <w:szCs w:val="24"/>
        </w:rPr>
        <w:t>)</w:t>
      </w:r>
    </w:p>
    <w:p w:rsidR="00237927" w:rsidRPr="005129AF" w:rsidRDefault="00237927" w:rsidP="000F46C7">
      <w:pPr>
        <w:autoSpaceDE w:val="0"/>
        <w:autoSpaceDN w:val="0"/>
        <w:adjustRightInd w:val="0"/>
        <w:spacing w:after="120" w:line="360" w:lineRule="auto"/>
        <w:jc w:val="both"/>
        <w:rPr>
          <w:rFonts w:ascii="Times New Roman" w:hAnsi="Times New Roman" w:cs="Times New Roman"/>
          <w:i/>
          <w:color w:val="000000"/>
          <w:sz w:val="24"/>
          <w:szCs w:val="24"/>
        </w:rPr>
      </w:pPr>
      <w:r w:rsidRPr="005129AF">
        <w:rPr>
          <w:rFonts w:ascii="Times New Roman" w:hAnsi="Times New Roman" w:cs="Times New Roman"/>
          <w:i/>
          <w:color w:val="000000"/>
          <w:sz w:val="24"/>
          <w:szCs w:val="24"/>
        </w:rPr>
        <w:t xml:space="preserve">Determination of the solvent hydrogen-bond donor acidity </w:t>
      </w:r>
      <w:r w:rsidR="00E02E19" w:rsidRPr="005129AF">
        <w:rPr>
          <w:rFonts w:ascii="Times New Roman" w:hAnsi="Times New Roman" w:cs="Times New Roman"/>
          <w:i/>
          <w:color w:val="000000"/>
          <w:sz w:val="24"/>
          <w:szCs w:val="24"/>
        </w:rPr>
        <w:sym w:font="Symbol" w:char="F061"/>
      </w:r>
    </w:p>
    <w:p w:rsidR="00237927" w:rsidRPr="005129AF" w:rsidRDefault="00E02E19" w:rsidP="000F46C7">
      <w:pPr>
        <w:autoSpaceDE w:val="0"/>
        <w:autoSpaceDN w:val="0"/>
        <w:adjustRightInd w:val="0"/>
        <w:spacing w:after="120" w:line="360" w:lineRule="auto"/>
        <w:jc w:val="both"/>
        <w:rPr>
          <w:rFonts w:ascii="Times New Roman" w:hAnsi="Times New Roman" w:cs="Times New Roman"/>
          <w:color w:val="000000"/>
          <w:sz w:val="24"/>
          <w:szCs w:val="24"/>
        </w:rPr>
      </w:pPr>
      <w:r w:rsidRPr="005129AF">
        <w:rPr>
          <w:rFonts w:ascii="Times New Roman" w:hAnsi="Times New Roman" w:cs="Times New Roman"/>
          <w:color w:val="000000"/>
          <w:sz w:val="24"/>
          <w:szCs w:val="24"/>
        </w:rPr>
        <w:sym w:font="Symbol" w:char="F061"/>
      </w:r>
      <w:r w:rsidRPr="005129AF">
        <w:rPr>
          <w:rFonts w:ascii="Times New Roman" w:hAnsi="Times New Roman" w:cs="Times New Roman"/>
          <w:color w:val="000000"/>
          <w:sz w:val="24"/>
          <w:szCs w:val="24"/>
        </w:rPr>
        <w:t xml:space="preserve"> </w:t>
      </w:r>
      <w:r w:rsidR="00237927" w:rsidRPr="005129AF">
        <w:rPr>
          <w:rFonts w:ascii="Times New Roman" w:hAnsi="Times New Roman" w:cs="Times New Roman"/>
          <w:color w:val="000000"/>
          <w:sz w:val="24"/>
          <w:szCs w:val="24"/>
        </w:rPr>
        <w:t xml:space="preserve">values were determined from the longest wavelength absorption band of Reichardt’s betaine dye using the relationship: </w:t>
      </w:r>
    </w:p>
    <w:p w:rsidR="00237927" w:rsidRPr="005129AF" w:rsidRDefault="00E02E19" w:rsidP="000F46C7">
      <w:pPr>
        <w:autoSpaceDE w:val="0"/>
        <w:autoSpaceDN w:val="0"/>
        <w:adjustRightInd w:val="0"/>
        <w:spacing w:after="120" w:line="360" w:lineRule="auto"/>
        <w:jc w:val="both"/>
        <w:rPr>
          <w:rFonts w:ascii="Times New Roman" w:hAnsi="Times New Roman" w:cs="Times New Roman"/>
          <w:color w:val="000000"/>
          <w:sz w:val="24"/>
          <w:szCs w:val="24"/>
        </w:rPr>
      </w:pPr>
      <w:r w:rsidRPr="005129AF">
        <w:rPr>
          <w:rFonts w:ascii="Times New Roman" w:hAnsi="Times New Roman" w:cs="Times New Roman"/>
          <w:color w:val="000000"/>
          <w:sz w:val="24"/>
          <w:szCs w:val="24"/>
        </w:rPr>
        <w:sym w:font="Symbol" w:char="F061"/>
      </w:r>
      <w:r w:rsidR="00237927" w:rsidRPr="005129AF">
        <w:rPr>
          <w:rFonts w:ascii="Times New Roman" w:hAnsi="Times New Roman" w:cs="Times New Roman"/>
          <w:color w:val="000000"/>
          <w:sz w:val="24"/>
          <w:szCs w:val="24"/>
        </w:rPr>
        <w:t xml:space="preserve"> </w:t>
      </w:r>
      <w:r w:rsidR="00237927" w:rsidRPr="005129AF">
        <w:rPr>
          <w:rFonts w:ascii="Times New Roman" w:eastAsia="MTSY" w:hAnsi="Times New Roman" w:cs="Times New Roman"/>
          <w:color w:val="000000"/>
          <w:sz w:val="24"/>
          <w:szCs w:val="24"/>
        </w:rPr>
        <w:t xml:space="preserve">= </w:t>
      </w:r>
      <w:r w:rsidR="00237927" w:rsidRPr="005129AF">
        <w:rPr>
          <w:rFonts w:ascii="Times New Roman" w:hAnsi="Times New Roman" w:cs="Times New Roman"/>
          <w:color w:val="000000"/>
          <w:sz w:val="24"/>
          <w:szCs w:val="24"/>
        </w:rPr>
        <w:t>0.0649E</w:t>
      </w:r>
      <w:r w:rsidR="00237927" w:rsidRPr="005129AF">
        <w:rPr>
          <w:rFonts w:ascii="Times New Roman" w:hAnsi="Times New Roman" w:cs="Times New Roman"/>
          <w:i/>
          <w:color w:val="000000"/>
          <w:sz w:val="24"/>
          <w:szCs w:val="24"/>
          <w:vertAlign w:val="subscript"/>
        </w:rPr>
        <w:t>T</w:t>
      </w:r>
      <w:r w:rsidR="00237927" w:rsidRPr="005129AF">
        <w:rPr>
          <w:rFonts w:ascii="Times New Roman" w:hAnsi="Times New Roman" w:cs="Times New Roman"/>
          <w:color w:val="000000"/>
          <w:sz w:val="24"/>
          <w:szCs w:val="24"/>
        </w:rPr>
        <w:t xml:space="preserve">(30) </w:t>
      </w:r>
      <w:r w:rsidR="00237927" w:rsidRPr="005129AF">
        <w:rPr>
          <w:rFonts w:ascii="Times New Roman" w:eastAsia="MTSY" w:hAnsi="Times New Roman" w:cs="Times New Roman"/>
          <w:color w:val="000000"/>
          <w:sz w:val="24"/>
          <w:szCs w:val="24"/>
        </w:rPr>
        <w:t xml:space="preserve">− </w:t>
      </w:r>
      <w:r w:rsidR="00237927" w:rsidRPr="005129AF">
        <w:rPr>
          <w:rFonts w:ascii="Times New Roman" w:hAnsi="Times New Roman" w:cs="Times New Roman"/>
          <w:color w:val="000000"/>
          <w:sz w:val="24"/>
          <w:szCs w:val="24"/>
        </w:rPr>
        <w:t xml:space="preserve">2.03 </w:t>
      </w:r>
      <w:r w:rsidR="00237927" w:rsidRPr="005129AF">
        <w:rPr>
          <w:rFonts w:ascii="Times New Roman" w:eastAsia="MTSY" w:hAnsi="Times New Roman" w:cs="Times New Roman"/>
          <w:color w:val="000000"/>
          <w:sz w:val="24"/>
          <w:szCs w:val="24"/>
        </w:rPr>
        <w:t xml:space="preserve">− </w:t>
      </w:r>
      <w:r w:rsidR="00237927" w:rsidRPr="005129AF">
        <w:rPr>
          <w:rFonts w:ascii="Times New Roman" w:hAnsi="Times New Roman" w:cs="Times New Roman"/>
          <w:color w:val="000000"/>
          <w:sz w:val="24"/>
          <w:szCs w:val="24"/>
        </w:rPr>
        <w:t>0.72</w:t>
      </w:r>
      <w:r w:rsidRPr="005129AF">
        <w:rPr>
          <w:rFonts w:ascii="Times New Roman" w:hAnsi="Times New Roman" w:cs="Times New Roman"/>
          <w:color w:val="000000"/>
          <w:sz w:val="24"/>
          <w:szCs w:val="24"/>
        </w:rPr>
        <w:sym w:font="Symbol" w:char="F070"/>
      </w:r>
      <w:r w:rsidR="00237927" w:rsidRPr="005129AF">
        <w:rPr>
          <w:rFonts w:ascii="Times New Roman" w:hAnsi="Times New Roman" w:cs="Times New Roman"/>
          <w:color w:val="000000"/>
          <w:sz w:val="24"/>
          <w:szCs w:val="24"/>
        </w:rPr>
        <w:t>*</w:t>
      </w:r>
      <w:r w:rsidR="00237927" w:rsidRPr="005129AF">
        <w:rPr>
          <w:rFonts w:ascii="Times New Roman" w:eastAsia="MTSY" w:hAnsi="Times New Roman" w:cs="Times New Roman"/>
          <w:color w:val="000000"/>
          <w:sz w:val="24"/>
          <w:szCs w:val="24"/>
        </w:rPr>
        <w:t xml:space="preserve"> </w:t>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eastAsia="MTSY" w:hAnsi="Times New Roman" w:cs="Times New Roman"/>
          <w:color w:val="000000"/>
          <w:sz w:val="24"/>
          <w:szCs w:val="24"/>
        </w:rPr>
        <w:tab/>
      </w:r>
      <w:r w:rsidR="00237927" w:rsidRPr="005129AF">
        <w:rPr>
          <w:rFonts w:ascii="Times New Roman" w:hAnsi="Times New Roman" w:cs="Times New Roman"/>
          <w:color w:val="000000"/>
          <w:sz w:val="24"/>
          <w:szCs w:val="24"/>
        </w:rPr>
        <w:t>(</w:t>
      </w:r>
      <w:r w:rsidRPr="005129AF">
        <w:rPr>
          <w:rFonts w:ascii="Times New Roman" w:hAnsi="Times New Roman" w:cs="Times New Roman"/>
          <w:color w:val="000000"/>
          <w:sz w:val="24"/>
          <w:szCs w:val="24"/>
        </w:rPr>
        <w:t>3</w:t>
      </w:r>
      <w:r w:rsidR="00237927" w:rsidRPr="005129AF">
        <w:rPr>
          <w:rFonts w:ascii="Times New Roman" w:hAnsi="Times New Roman" w:cs="Times New Roman"/>
          <w:color w:val="000000"/>
          <w:sz w:val="24"/>
          <w:szCs w:val="24"/>
        </w:rPr>
        <w:t>)</w:t>
      </w:r>
    </w:p>
    <w:p w:rsidR="00237927" w:rsidRPr="005129AF" w:rsidRDefault="00237927" w:rsidP="000F46C7">
      <w:pPr>
        <w:autoSpaceDE w:val="0"/>
        <w:autoSpaceDN w:val="0"/>
        <w:adjustRightInd w:val="0"/>
        <w:spacing w:after="120" w:line="360" w:lineRule="auto"/>
        <w:jc w:val="both"/>
        <w:rPr>
          <w:rFonts w:ascii="Times New Roman" w:hAnsi="Times New Roman" w:cs="Times New Roman"/>
          <w:sz w:val="24"/>
          <w:szCs w:val="24"/>
        </w:rPr>
      </w:pPr>
      <w:r w:rsidRPr="005129AF">
        <w:rPr>
          <w:rFonts w:ascii="Times New Roman" w:hAnsi="Times New Roman" w:cs="Times New Roman"/>
          <w:color w:val="000000"/>
          <w:sz w:val="24"/>
          <w:szCs w:val="24"/>
        </w:rPr>
        <w:t>The E</w:t>
      </w:r>
      <w:r w:rsidRPr="005129AF">
        <w:rPr>
          <w:rFonts w:ascii="Times New Roman" w:hAnsi="Times New Roman" w:cs="Times New Roman"/>
          <w:i/>
          <w:color w:val="000000"/>
          <w:sz w:val="24"/>
          <w:szCs w:val="24"/>
          <w:vertAlign w:val="subscript"/>
        </w:rPr>
        <w:t>T</w:t>
      </w:r>
      <w:r w:rsidRPr="005129AF">
        <w:rPr>
          <w:rFonts w:ascii="Times New Roman" w:hAnsi="Times New Roman" w:cs="Times New Roman"/>
          <w:color w:val="000000"/>
          <w:sz w:val="24"/>
          <w:szCs w:val="24"/>
        </w:rPr>
        <w:t xml:space="preserve">(30) values are based on the solvatochromic pyridinium N-phenolate betaine dye (Reichardt’s dye) as probe, and are </w:t>
      </w:r>
      <w:r w:rsidRPr="005129AF">
        <w:rPr>
          <w:rFonts w:ascii="Times New Roman" w:hAnsi="Times New Roman" w:cs="Times New Roman"/>
          <w:sz w:val="24"/>
          <w:szCs w:val="24"/>
        </w:rPr>
        <w:t>obtained directly from the wavelength (</w:t>
      </w:r>
      <w:r w:rsidR="00E02E19" w:rsidRPr="005129AF">
        <w:rPr>
          <w:rFonts w:ascii="Times New Roman" w:hAnsi="Times New Roman" w:cs="Times New Roman"/>
          <w:sz w:val="24"/>
          <w:szCs w:val="24"/>
        </w:rPr>
        <w:t>λ</w:t>
      </w:r>
      <w:r w:rsidRPr="005129AF">
        <w:rPr>
          <w:rFonts w:ascii="Times New Roman" w:hAnsi="Times New Roman" w:cs="Times New Roman"/>
          <w:sz w:val="24"/>
          <w:szCs w:val="24"/>
        </w:rPr>
        <w:t>, nm) of the absorption band of the carboxylated form, as .</w:t>
      </w:r>
    </w:p>
    <w:p w:rsidR="001A3D27" w:rsidRPr="005129AF" w:rsidRDefault="00237927" w:rsidP="000F46C7">
      <w:pPr>
        <w:autoSpaceDE w:val="0"/>
        <w:autoSpaceDN w:val="0"/>
        <w:adjustRightInd w:val="0"/>
        <w:spacing w:after="120" w:line="360" w:lineRule="auto"/>
        <w:jc w:val="both"/>
        <w:rPr>
          <w:rFonts w:ascii="Times New Roman" w:hAnsi="Times New Roman" w:cs="Times New Roman"/>
          <w:sz w:val="24"/>
          <w:szCs w:val="24"/>
        </w:rPr>
      </w:pPr>
      <w:r w:rsidRPr="005129AF">
        <w:rPr>
          <w:rFonts w:ascii="Times New Roman" w:hAnsi="Times New Roman" w:cs="Times New Roman"/>
          <w:sz w:val="24"/>
          <w:szCs w:val="24"/>
        </w:rPr>
        <w:t>E</w:t>
      </w:r>
      <w:r w:rsidRPr="005129AF">
        <w:rPr>
          <w:rFonts w:ascii="Times New Roman" w:hAnsi="Times New Roman" w:cs="Times New Roman"/>
          <w:i/>
          <w:color w:val="000000"/>
          <w:sz w:val="24"/>
          <w:szCs w:val="24"/>
          <w:vertAlign w:val="subscript"/>
        </w:rPr>
        <w:t>T</w:t>
      </w:r>
      <w:r w:rsidRPr="005129AF">
        <w:rPr>
          <w:rFonts w:ascii="Times New Roman" w:hAnsi="Times New Roman" w:cs="Times New Roman"/>
          <w:sz w:val="24"/>
          <w:szCs w:val="24"/>
        </w:rPr>
        <w:t xml:space="preserve">(30) </w:t>
      </w:r>
      <w:r w:rsidRPr="005129AF">
        <w:rPr>
          <w:rFonts w:ascii="Times New Roman" w:eastAsia="MTSY" w:hAnsi="Times New Roman" w:cs="Times New Roman"/>
          <w:sz w:val="24"/>
          <w:szCs w:val="24"/>
        </w:rPr>
        <w:t>= (</w:t>
      </w:r>
      <w:r w:rsidRPr="005129AF">
        <w:rPr>
          <w:rFonts w:ascii="Times New Roman" w:hAnsi="Times New Roman" w:cs="Times New Roman"/>
          <w:sz w:val="24"/>
          <w:szCs w:val="24"/>
        </w:rPr>
        <w:t>1/0.932)</w:t>
      </w:r>
      <w:r w:rsidRPr="005129AF">
        <w:rPr>
          <w:rFonts w:ascii="Times New Roman" w:eastAsia="MTSY" w:hAnsi="Times New Roman" w:cs="Times New Roman"/>
          <w:sz w:val="24"/>
          <w:szCs w:val="24"/>
        </w:rPr>
        <w:t>×[(</w:t>
      </w:r>
      <w:r w:rsidRPr="005129AF">
        <w:rPr>
          <w:rFonts w:ascii="Times New Roman" w:hAnsi="Times New Roman" w:cs="Times New Roman"/>
          <w:sz w:val="24"/>
          <w:szCs w:val="24"/>
        </w:rPr>
        <w:t>28591/</w:t>
      </w:r>
      <w:r w:rsidR="00E02E19" w:rsidRPr="005129AF">
        <w:rPr>
          <w:rFonts w:ascii="Times New Roman" w:hAnsi="Times New Roman" w:cs="Times New Roman"/>
          <w:sz w:val="24"/>
          <w:szCs w:val="24"/>
        </w:rPr>
        <w:t>λ</w:t>
      </w:r>
      <w:r w:rsidRPr="005129AF">
        <w:rPr>
          <w:rFonts w:ascii="Times New Roman" w:eastAsia="MTSY" w:hAnsi="Times New Roman" w:cs="Times New Roman"/>
          <w:sz w:val="24"/>
          <w:szCs w:val="24"/>
        </w:rPr>
        <w:t>−</w:t>
      </w:r>
      <w:r w:rsidRPr="005129AF">
        <w:rPr>
          <w:rFonts w:ascii="Times New Roman" w:hAnsi="Times New Roman" w:cs="Times New Roman"/>
          <w:sz w:val="24"/>
          <w:szCs w:val="24"/>
        </w:rPr>
        <w:t>3.335]</w:t>
      </w:r>
      <w:r w:rsidRPr="005129AF">
        <w:rPr>
          <w:rFonts w:ascii="Times New Roman" w:hAnsi="Times New Roman" w:cs="Times New Roman"/>
          <w:sz w:val="24"/>
          <w:szCs w:val="24"/>
        </w:rPr>
        <w:tab/>
      </w:r>
      <w:r w:rsidR="001A3D27" w:rsidRPr="005129AF">
        <w:rPr>
          <w:rFonts w:ascii="Times New Roman" w:hAnsi="Times New Roman" w:cs="Times New Roman"/>
          <w:sz w:val="24"/>
          <w:szCs w:val="24"/>
        </w:rPr>
        <w:tab/>
      </w:r>
      <w:r w:rsidR="00E02E19" w:rsidRPr="005129AF">
        <w:rPr>
          <w:rFonts w:ascii="Times New Roman" w:hAnsi="Times New Roman" w:cs="Times New Roman"/>
          <w:sz w:val="24"/>
          <w:szCs w:val="24"/>
        </w:rPr>
        <w:tab/>
      </w:r>
      <w:r w:rsidR="001A3D27" w:rsidRPr="005129AF">
        <w:rPr>
          <w:rFonts w:ascii="Times New Roman" w:hAnsi="Times New Roman" w:cs="Times New Roman"/>
          <w:sz w:val="24"/>
          <w:szCs w:val="24"/>
        </w:rPr>
        <w:tab/>
      </w:r>
      <w:r w:rsidR="001A3D27" w:rsidRPr="005129AF">
        <w:rPr>
          <w:rFonts w:ascii="Times New Roman" w:hAnsi="Times New Roman" w:cs="Times New Roman"/>
          <w:sz w:val="24"/>
          <w:szCs w:val="24"/>
        </w:rPr>
        <w:tab/>
      </w:r>
      <w:r w:rsidR="001A3D27" w:rsidRPr="005129AF">
        <w:rPr>
          <w:rFonts w:ascii="Times New Roman" w:hAnsi="Times New Roman" w:cs="Times New Roman"/>
          <w:sz w:val="24"/>
          <w:szCs w:val="24"/>
        </w:rPr>
        <w:tab/>
      </w:r>
      <w:r w:rsidR="001A3D27" w:rsidRPr="005129AF">
        <w:rPr>
          <w:rFonts w:ascii="Times New Roman" w:hAnsi="Times New Roman" w:cs="Times New Roman"/>
          <w:sz w:val="24"/>
          <w:szCs w:val="24"/>
        </w:rPr>
        <w:tab/>
        <w:t>(</w:t>
      </w:r>
      <w:r w:rsidR="00E02E19" w:rsidRPr="005129AF">
        <w:rPr>
          <w:rFonts w:ascii="Times New Roman" w:hAnsi="Times New Roman" w:cs="Times New Roman"/>
          <w:sz w:val="24"/>
          <w:szCs w:val="24"/>
        </w:rPr>
        <w:t>4</w:t>
      </w:r>
      <w:r w:rsidR="001A3D27" w:rsidRPr="005129AF">
        <w:rPr>
          <w:rFonts w:ascii="Times New Roman" w:hAnsi="Times New Roman" w:cs="Times New Roman"/>
          <w:sz w:val="24"/>
          <w:szCs w:val="24"/>
        </w:rPr>
        <w:t>)</w:t>
      </w:r>
    </w:p>
    <w:p w:rsidR="000F46C7" w:rsidRDefault="000F46C7" w:rsidP="000F46C7">
      <w:pPr>
        <w:pStyle w:val="TDAckTitle"/>
        <w:spacing w:before="0" w:after="120" w:line="360" w:lineRule="auto"/>
        <w:rPr>
          <w:rFonts w:ascii="Times New Roman" w:hAnsi="Times New Roman"/>
          <w:sz w:val="24"/>
          <w:szCs w:val="24"/>
        </w:rPr>
      </w:pPr>
    </w:p>
    <w:p w:rsidR="00DA1A43" w:rsidRPr="005129AF" w:rsidRDefault="00DA1A43" w:rsidP="000F46C7">
      <w:pPr>
        <w:pStyle w:val="TDAckTitle"/>
        <w:spacing w:before="0" w:after="120" w:line="360" w:lineRule="auto"/>
        <w:rPr>
          <w:rFonts w:ascii="Times New Roman" w:hAnsi="Times New Roman"/>
          <w:sz w:val="24"/>
          <w:szCs w:val="24"/>
        </w:rPr>
      </w:pPr>
      <w:r w:rsidRPr="005129AF">
        <w:rPr>
          <w:rFonts w:ascii="Times New Roman" w:hAnsi="Times New Roman"/>
          <w:sz w:val="24"/>
          <w:szCs w:val="24"/>
        </w:rPr>
        <w:t>REFERENCES</w:t>
      </w:r>
    </w:p>
    <w:p w:rsidR="005129AF" w:rsidRPr="005129AF" w:rsidRDefault="005129AF" w:rsidP="000F46C7">
      <w:pPr>
        <w:pStyle w:val="TFReferencesSection"/>
        <w:numPr>
          <w:ilvl w:val="0"/>
          <w:numId w:val="0"/>
        </w:numPr>
        <w:spacing w:after="120" w:line="360" w:lineRule="auto"/>
        <w:ind w:left="360" w:hanging="360"/>
        <w:jc w:val="both"/>
        <w:rPr>
          <w:rFonts w:ascii="Times New Roman" w:hAnsi="Times New Roman" w:cs="Times New Roman"/>
          <w:sz w:val="24"/>
          <w:szCs w:val="24"/>
        </w:rPr>
      </w:pPr>
      <w:r w:rsidRPr="005129AF">
        <w:rPr>
          <w:rFonts w:ascii="Times New Roman" w:hAnsi="Times New Roman" w:cs="Times New Roman"/>
          <w:sz w:val="24"/>
          <w:szCs w:val="24"/>
        </w:rPr>
        <w:t xml:space="preserve">[1] J.G. Huddleston, H.D. Willauer, R.D. Rogers, The solvatochromic properties, </w:t>
      </w:r>
      <w:r>
        <w:rPr>
          <w:rFonts w:ascii="Times New Roman" w:hAnsi="Times New Roman" w:cs="Times New Roman"/>
          <w:sz w:val="24"/>
          <w:szCs w:val="24"/>
        </w:rPr>
        <w:sym w:font="Symbol" w:char="F061"/>
      </w:r>
      <w:r w:rsidRPr="005129AF">
        <w:rPr>
          <w:rFonts w:ascii="Times New Roman" w:hAnsi="Times New Roman" w:cs="Times New Roman"/>
          <w:sz w:val="24"/>
          <w:szCs w:val="24"/>
        </w:rPr>
        <w:t xml:space="preserve">, </w:t>
      </w:r>
      <w:r>
        <w:rPr>
          <w:rFonts w:ascii="Times New Roman" w:hAnsi="Times New Roman" w:cs="Times New Roman"/>
          <w:sz w:val="24"/>
          <w:szCs w:val="24"/>
        </w:rPr>
        <w:sym w:font="Symbol" w:char="F062"/>
      </w:r>
      <w:r w:rsidRPr="005129AF">
        <w:rPr>
          <w:rFonts w:ascii="Times New Roman" w:hAnsi="Times New Roman" w:cs="Times New Roman"/>
          <w:sz w:val="24"/>
          <w:szCs w:val="24"/>
        </w:rPr>
        <w:t xml:space="preserve">, </w:t>
      </w:r>
      <w:r>
        <w:rPr>
          <w:rFonts w:ascii="Times New Roman" w:hAnsi="Times New Roman" w:cs="Times New Roman"/>
          <w:sz w:val="24"/>
          <w:szCs w:val="24"/>
        </w:rPr>
        <w:sym w:font="Symbol" w:char="F070"/>
      </w:r>
      <w:r w:rsidRPr="005129AF">
        <w:rPr>
          <w:rFonts w:ascii="Times New Roman" w:hAnsi="Times New Roman" w:cs="Times New Roman"/>
          <w:sz w:val="24"/>
          <w:szCs w:val="24"/>
        </w:rPr>
        <w:t>*, of PEG-salt aqueous biphasic systems, Physical Chemistry Chemical Physics, 4 (2002) 4065-4070.</w:t>
      </w:r>
    </w:p>
    <w:p w:rsidR="00237927" w:rsidRPr="005129AF" w:rsidRDefault="005129AF" w:rsidP="000F46C7">
      <w:pPr>
        <w:pStyle w:val="TFReferencesSection"/>
        <w:numPr>
          <w:ilvl w:val="0"/>
          <w:numId w:val="0"/>
        </w:numPr>
        <w:spacing w:after="120" w:line="360" w:lineRule="auto"/>
        <w:ind w:left="360" w:hanging="360"/>
        <w:jc w:val="both"/>
        <w:rPr>
          <w:rFonts w:ascii="Times New Roman" w:hAnsi="Times New Roman"/>
          <w:sz w:val="24"/>
          <w:szCs w:val="24"/>
        </w:rPr>
      </w:pPr>
      <w:r>
        <w:rPr>
          <w:rFonts w:ascii="Times New Roman" w:hAnsi="Times New Roman" w:cs="Times New Roman"/>
          <w:sz w:val="24"/>
          <w:szCs w:val="24"/>
        </w:rPr>
        <w:t>[2</w:t>
      </w:r>
      <w:r w:rsidRPr="005129AF">
        <w:rPr>
          <w:rFonts w:ascii="Times New Roman" w:hAnsi="Times New Roman" w:cs="Times New Roman"/>
          <w:sz w:val="24"/>
          <w:szCs w:val="24"/>
        </w:rPr>
        <w:t>] Y. Marcus, The properties of organic liquids that are relevant to their use as solvating solvents, Chemical Society Reviews, 22 (1993) 409-416.</w:t>
      </w:r>
      <w:r w:rsidRPr="005129AF">
        <w:rPr>
          <w:rFonts w:ascii="Times New Roman" w:hAnsi="Times New Roman"/>
          <w:sz w:val="24"/>
          <w:szCs w:val="24"/>
        </w:rPr>
        <w:t xml:space="preserve"> </w:t>
      </w:r>
    </w:p>
    <w:sectPr w:rsidR="00237927" w:rsidRPr="005129AF" w:rsidSect="00DA1A43">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41E" w:rsidRDefault="002C441E" w:rsidP="00E02E19">
      <w:pPr>
        <w:spacing w:after="0" w:line="240" w:lineRule="auto"/>
      </w:pPr>
      <w:r>
        <w:separator/>
      </w:r>
    </w:p>
  </w:endnote>
  <w:endnote w:type="continuationSeparator" w:id="0">
    <w:p w:rsidR="002C441E" w:rsidRDefault="002C441E" w:rsidP="00E02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no Pro">
    <w:panose1 w:val="00000000000000000000"/>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MTSY">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996234"/>
      <w:docPartObj>
        <w:docPartGallery w:val="Page Numbers (Bottom of Page)"/>
        <w:docPartUnique/>
      </w:docPartObj>
    </w:sdtPr>
    <w:sdtEndPr>
      <w:rPr>
        <w:noProof/>
      </w:rPr>
    </w:sdtEndPr>
    <w:sdtContent>
      <w:p w:rsidR="00E02E19" w:rsidRDefault="00E02E19">
        <w:pPr>
          <w:pStyle w:val="Footer"/>
          <w:jc w:val="right"/>
        </w:pPr>
        <w:r>
          <w:fldChar w:fldCharType="begin"/>
        </w:r>
        <w:r>
          <w:instrText xml:space="preserve"> PAGE   \* MERGEFORMAT </w:instrText>
        </w:r>
        <w:r>
          <w:fldChar w:fldCharType="separate"/>
        </w:r>
        <w:r w:rsidR="00EC06CC">
          <w:rPr>
            <w:noProof/>
          </w:rPr>
          <w:t>1</w:t>
        </w:r>
        <w:r>
          <w:rPr>
            <w:noProof/>
          </w:rPr>
          <w:fldChar w:fldCharType="end"/>
        </w:r>
      </w:p>
    </w:sdtContent>
  </w:sdt>
  <w:p w:rsidR="00E02E19" w:rsidRDefault="00E02E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41E" w:rsidRDefault="002C441E" w:rsidP="00E02E19">
      <w:pPr>
        <w:spacing w:after="0" w:line="240" w:lineRule="auto"/>
      </w:pPr>
      <w:r>
        <w:separator/>
      </w:r>
    </w:p>
  </w:footnote>
  <w:footnote w:type="continuationSeparator" w:id="0">
    <w:p w:rsidR="002C441E" w:rsidRDefault="002C441E" w:rsidP="00E02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C6E13"/>
    <w:multiLevelType w:val="hybridMultilevel"/>
    <w:tmpl w:val="E9F628D2"/>
    <w:lvl w:ilvl="0" w:tplc="0409000F">
      <w:start w:val="1"/>
      <w:numFmt w:val="decimal"/>
      <w:lvlText w:val="%1."/>
      <w:lvlJc w:val="left"/>
      <w:pPr>
        <w:ind w:left="36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nsid w:val="4292181A"/>
    <w:multiLevelType w:val="hybridMultilevel"/>
    <w:tmpl w:val="961892C8"/>
    <w:lvl w:ilvl="0" w:tplc="59F6A092">
      <w:start w:val="1"/>
      <w:numFmt w:val="decimal"/>
      <w:pStyle w:val="TFReferencesSection"/>
      <w:lvlText w:val="(%1)"/>
      <w:lvlJc w:val="center"/>
      <w:pPr>
        <w:ind w:left="360" w:hanging="360"/>
      </w:pPr>
      <w:rPr>
        <w:rFonts w:ascii="Arno Pro" w:eastAsia="Times New Roman" w:hAnsi="Arno Pro" w:cs="Times New Roman" w:hint="default"/>
        <w:b w:val="0"/>
        <w:i w:val="0"/>
        <w:color w:val="auto"/>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luid Phase Equilibr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a9xvw02ez9sqez0eo5t00rdd0vsttxtaza&quot;&gt;My EndNote Library_1&lt;record-ids&gt;&lt;item&gt;68&lt;/item&gt;&lt;/record-ids&gt;&lt;/item&gt;&lt;/Libraries&gt;"/>
  </w:docVars>
  <w:rsids>
    <w:rsidRoot w:val="00237927"/>
    <w:rsid w:val="000749F6"/>
    <w:rsid w:val="000F46C7"/>
    <w:rsid w:val="001A3D27"/>
    <w:rsid w:val="001A4F3A"/>
    <w:rsid w:val="002122B9"/>
    <w:rsid w:val="00237927"/>
    <w:rsid w:val="00282CED"/>
    <w:rsid w:val="00297BAB"/>
    <w:rsid w:val="002C0143"/>
    <w:rsid w:val="002C441E"/>
    <w:rsid w:val="002D0282"/>
    <w:rsid w:val="003076BD"/>
    <w:rsid w:val="00372969"/>
    <w:rsid w:val="00377184"/>
    <w:rsid w:val="003E76E3"/>
    <w:rsid w:val="004A37DA"/>
    <w:rsid w:val="004C3BF8"/>
    <w:rsid w:val="004F4381"/>
    <w:rsid w:val="004F5501"/>
    <w:rsid w:val="005129AF"/>
    <w:rsid w:val="005E5B70"/>
    <w:rsid w:val="00693805"/>
    <w:rsid w:val="006B5171"/>
    <w:rsid w:val="00707203"/>
    <w:rsid w:val="00757E79"/>
    <w:rsid w:val="007742D9"/>
    <w:rsid w:val="00797A37"/>
    <w:rsid w:val="00886FDF"/>
    <w:rsid w:val="008A2FDE"/>
    <w:rsid w:val="008E00A1"/>
    <w:rsid w:val="00983A33"/>
    <w:rsid w:val="009A64C8"/>
    <w:rsid w:val="009B4D81"/>
    <w:rsid w:val="00A45FA7"/>
    <w:rsid w:val="00AB38A8"/>
    <w:rsid w:val="00AF188F"/>
    <w:rsid w:val="00AF60F3"/>
    <w:rsid w:val="00B45856"/>
    <w:rsid w:val="00B52B46"/>
    <w:rsid w:val="00B547C4"/>
    <w:rsid w:val="00B917E5"/>
    <w:rsid w:val="00BB6C88"/>
    <w:rsid w:val="00D36AEC"/>
    <w:rsid w:val="00D83AAA"/>
    <w:rsid w:val="00DA1A43"/>
    <w:rsid w:val="00DF20D1"/>
    <w:rsid w:val="00E02E19"/>
    <w:rsid w:val="00E1293C"/>
    <w:rsid w:val="00E65E56"/>
    <w:rsid w:val="00E6600D"/>
    <w:rsid w:val="00EC06CC"/>
    <w:rsid w:val="00F1759F"/>
    <w:rsid w:val="00F264AC"/>
    <w:rsid w:val="00F3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FD23ED12-25C5-4409-AD07-34ED49AB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92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rticleText">
    <w:name w:val="08 Article Text"/>
    <w:basedOn w:val="Normal"/>
    <w:link w:val="08ArticleTextChar"/>
    <w:qFormat/>
    <w:rsid w:val="00237927"/>
    <w:pPr>
      <w:tabs>
        <w:tab w:val="left" w:pos="284"/>
      </w:tabs>
      <w:spacing w:after="0" w:line="240" w:lineRule="exact"/>
      <w:jc w:val="both"/>
    </w:pPr>
    <w:rPr>
      <w:rFonts w:ascii="Times New Roman" w:eastAsia="Calibri" w:hAnsi="Times New Roman" w:cs="Times New Roman"/>
      <w:w w:val="108"/>
      <w:sz w:val="18"/>
      <w:szCs w:val="18"/>
      <w:lang w:val="en-GB"/>
    </w:rPr>
  </w:style>
  <w:style w:type="character" w:customStyle="1" w:styleId="08ArticleTextChar">
    <w:name w:val="08 Article Text Char"/>
    <w:link w:val="08ArticleText"/>
    <w:rsid w:val="00237927"/>
    <w:rPr>
      <w:rFonts w:ascii="Times New Roman" w:eastAsia="Calibri" w:hAnsi="Times New Roman" w:cs="Times New Roman"/>
      <w:w w:val="108"/>
      <w:sz w:val="18"/>
      <w:szCs w:val="18"/>
      <w:lang w:val="en-GB"/>
    </w:rPr>
  </w:style>
  <w:style w:type="paragraph" w:styleId="BalloonText">
    <w:name w:val="Balloon Text"/>
    <w:basedOn w:val="Normal"/>
    <w:link w:val="BalloonTextChar"/>
    <w:uiPriority w:val="99"/>
    <w:semiHidden/>
    <w:unhideWhenUsed/>
    <w:rsid w:val="0023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27"/>
    <w:rPr>
      <w:rFonts w:ascii="Tahoma" w:eastAsiaTheme="minorEastAsia" w:hAnsi="Tahoma" w:cs="Tahoma"/>
      <w:sz w:val="16"/>
      <w:szCs w:val="16"/>
    </w:rPr>
  </w:style>
  <w:style w:type="paragraph" w:customStyle="1" w:styleId="TFReferencesSection">
    <w:name w:val="TF_References_Section"/>
    <w:basedOn w:val="Normal"/>
    <w:rsid w:val="00DA1A43"/>
    <w:pPr>
      <w:numPr>
        <w:numId w:val="2"/>
      </w:numPr>
    </w:pPr>
  </w:style>
  <w:style w:type="paragraph" w:customStyle="1" w:styleId="TDAckTitle">
    <w:name w:val="TD_Ack_Title"/>
    <w:basedOn w:val="Normal"/>
    <w:link w:val="TDAckTitleChar"/>
    <w:rsid w:val="00DA1A43"/>
    <w:pPr>
      <w:spacing w:before="180" w:after="60" w:line="240" w:lineRule="auto"/>
      <w:jc w:val="both"/>
    </w:pPr>
    <w:rPr>
      <w:rFonts w:ascii="Myriad Pro Light" w:eastAsia="Times New Roman" w:hAnsi="Myriad Pro Light" w:cs="Times New Roman"/>
      <w:b/>
      <w:kern w:val="23"/>
      <w:sz w:val="21"/>
      <w:szCs w:val="20"/>
    </w:rPr>
  </w:style>
  <w:style w:type="character" w:customStyle="1" w:styleId="TDAckTitleChar">
    <w:name w:val="TD_Ack_Title Char"/>
    <w:link w:val="TDAckTitle"/>
    <w:rsid w:val="00DA1A43"/>
    <w:rPr>
      <w:rFonts w:ascii="Myriad Pro Light" w:eastAsia="Times New Roman" w:hAnsi="Myriad Pro Light" w:cs="Times New Roman"/>
      <w:b/>
      <w:kern w:val="23"/>
      <w:sz w:val="21"/>
      <w:szCs w:val="20"/>
    </w:rPr>
  </w:style>
  <w:style w:type="paragraph" w:customStyle="1" w:styleId="BATitle">
    <w:name w:val="BA_Title"/>
    <w:basedOn w:val="Normal"/>
    <w:next w:val="BBAuthorName"/>
    <w:autoRedefine/>
    <w:rsid w:val="004A37DA"/>
    <w:pPr>
      <w:spacing w:after="0" w:line="480" w:lineRule="auto"/>
      <w:jc w:val="both"/>
    </w:pPr>
    <w:rPr>
      <w:rFonts w:ascii="Times New Roman" w:eastAsia="Times New Roman" w:hAnsi="Times New Roman" w:cs="Times New Roman"/>
      <w:b/>
      <w:kern w:val="36"/>
      <w:sz w:val="32"/>
      <w:szCs w:val="32"/>
    </w:rPr>
  </w:style>
  <w:style w:type="paragraph" w:customStyle="1" w:styleId="BBAuthorName">
    <w:name w:val="BB_Author_Name"/>
    <w:basedOn w:val="Normal"/>
    <w:next w:val="BCAuthorAddress"/>
    <w:autoRedefine/>
    <w:uiPriority w:val="99"/>
    <w:rsid w:val="00DA1A43"/>
    <w:pPr>
      <w:spacing w:after="180" w:line="240" w:lineRule="auto"/>
    </w:pPr>
    <w:rPr>
      <w:rFonts w:ascii="Arno Pro" w:eastAsia="Times New Roman" w:hAnsi="Arno Pro" w:cs="Times New Roman"/>
      <w:kern w:val="26"/>
      <w:sz w:val="24"/>
      <w:szCs w:val="20"/>
    </w:rPr>
  </w:style>
  <w:style w:type="paragraph" w:customStyle="1" w:styleId="BCAuthorAddress">
    <w:name w:val="BC_Author_Address"/>
    <w:basedOn w:val="Normal"/>
    <w:next w:val="Normal"/>
    <w:autoRedefine/>
    <w:rsid w:val="00DA1A43"/>
    <w:pPr>
      <w:spacing w:after="60" w:line="240" w:lineRule="auto"/>
    </w:pPr>
    <w:rPr>
      <w:rFonts w:ascii="Arno Pro" w:eastAsia="Times New Roman" w:hAnsi="Arno Pro" w:cs="Times New Roman"/>
      <w:kern w:val="22"/>
      <w:sz w:val="20"/>
      <w:szCs w:val="20"/>
    </w:rPr>
  </w:style>
  <w:style w:type="paragraph" w:styleId="Header">
    <w:name w:val="header"/>
    <w:basedOn w:val="Normal"/>
    <w:link w:val="HeaderChar"/>
    <w:uiPriority w:val="99"/>
    <w:unhideWhenUsed/>
    <w:rsid w:val="00E02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19"/>
    <w:rPr>
      <w:rFonts w:eastAsiaTheme="minorEastAsia"/>
    </w:rPr>
  </w:style>
  <w:style w:type="paragraph" w:styleId="Footer">
    <w:name w:val="footer"/>
    <w:basedOn w:val="Normal"/>
    <w:link w:val="FooterChar"/>
    <w:uiPriority w:val="99"/>
    <w:unhideWhenUsed/>
    <w:rsid w:val="00E02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19"/>
    <w:rPr>
      <w:rFonts w:eastAsiaTheme="minorEastAsia"/>
    </w:rPr>
  </w:style>
  <w:style w:type="character" w:styleId="Hyperlink">
    <w:name w:val="Hyperlink"/>
    <w:uiPriority w:val="99"/>
    <w:rsid w:val="00297BAB"/>
    <w:rPr>
      <w:color w:val="0000FF"/>
      <w:u w:val="single"/>
    </w:rPr>
  </w:style>
  <w:style w:type="paragraph" w:customStyle="1" w:styleId="RSCB04AHeadingSection">
    <w:name w:val="RSC B04 A Heading (Section)"/>
    <w:basedOn w:val="Normal"/>
    <w:link w:val="RSCB04AHeadingSectionChar"/>
    <w:qFormat/>
    <w:rsid w:val="00AF188F"/>
    <w:pPr>
      <w:spacing w:before="400" w:after="80" w:line="240" w:lineRule="auto"/>
    </w:pPr>
    <w:rPr>
      <w:rFonts w:ascii="Calibri" w:eastAsia="Calibri" w:hAnsi="Calibri" w:cs="Times New Roman"/>
      <w:b/>
      <w:sz w:val="24"/>
      <w:lang w:val="en-GB"/>
    </w:rPr>
  </w:style>
  <w:style w:type="character" w:customStyle="1" w:styleId="RSCB04AHeadingSectionChar">
    <w:name w:val="RSC B04 A Heading (Section) Char"/>
    <w:link w:val="RSCB04AHeadingSection"/>
    <w:rsid w:val="00AF188F"/>
    <w:rPr>
      <w:rFonts w:ascii="Calibri" w:eastAsia="Calibri" w:hAnsi="Calibri" w:cs="Times New Roman"/>
      <w:b/>
      <w:sz w:val="24"/>
      <w:lang w:val="en-GB"/>
    </w:rPr>
  </w:style>
  <w:style w:type="paragraph" w:customStyle="1" w:styleId="EndNoteBibliographyTitle">
    <w:name w:val="EndNote Bibliography Title"/>
    <w:basedOn w:val="Normal"/>
    <w:link w:val="EndNoteBibliographyTitleChar"/>
    <w:rsid w:val="005129A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129AF"/>
    <w:rPr>
      <w:rFonts w:ascii="Calibri" w:eastAsiaTheme="minorEastAsia" w:hAnsi="Calibri" w:cs="Calibri"/>
      <w:noProof/>
    </w:rPr>
  </w:style>
  <w:style w:type="paragraph" w:customStyle="1" w:styleId="EndNoteBibliography">
    <w:name w:val="EndNote Bibliography"/>
    <w:basedOn w:val="Normal"/>
    <w:link w:val="EndNoteBibliographyChar"/>
    <w:rsid w:val="005129AF"/>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5129AF"/>
    <w:rPr>
      <w:rFonts w:ascii="Calibri" w:eastAsiaTheme="minorEastAsia"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ris.Zaslavsky@Cleveland-Diagnostic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84711-DB94-496E-9836-B1E5C3C9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Zaslavsky</dc:creator>
  <cp:lastModifiedBy>all</cp:lastModifiedBy>
  <cp:revision>7</cp:revision>
  <cp:lastPrinted>2017-03-27T16:00:00Z</cp:lastPrinted>
  <dcterms:created xsi:type="dcterms:W3CDTF">2017-11-28T14:20:00Z</dcterms:created>
  <dcterms:modified xsi:type="dcterms:W3CDTF">2018-01-03T09:08:00Z</dcterms:modified>
</cp:coreProperties>
</file>