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10" w:sz="4" w:val="single"/>
          <w:bottom w:color="4472c4" w:space="10" w:sz="4" w:val="single"/>
        </w:pBdr>
        <w:spacing w:after="360" w:before="360" w:line="259" w:lineRule="auto"/>
        <w:ind w:left="864" w:right="864" w:firstLine="0"/>
        <w:jc w:val="center"/>
        <w:rPr>
          <w:rFonts w:ascii="Calibri" w:cs="Calibri" w:eastAsia="Calibri" w:hAnsi="Calibri"/>
          <w:i w:val="1"/>
          <w:color w:val="4472c4"/>
          <w:sz w:val="44"/>
          <w:szCs w:val="44"/>
        </w:rPr>
      </w:pPr>
      <w:r w:rsidDel="00000000" w:rsidR="00000000" w:rsidRPr="00000000">
        <w:rPr>
          <w:rFonts w:ascii="Calibri" w:cs="Calibri" w:eastAsia="Calibri" w:hAnsi="Calibri"/>
          <w:i w:val="1"/>
          <w:color w:val="4472c4"/>
          <w:sz w:val="44"/>
          <w:szCs w:val="44"/>
          <w:rtl w:val="0"/>
        </w:rPr>
        <w:t xml:space="preserve">SNIFFER</w:t>
      </w:r>
    </w:p>
    <w:p w:rsidR="00000000" w:rsidDel="00000000" w:rsidP="00000000" w:rsidRDefault="00000000" w:rsidRPr="00000000" w14:paraId="00000002">
      <w:pPr>
        <w:pStyle w:val="Heading1"/>
        <w:keepNext w:val="0"/>
        <w:keepLines w:val="0"/>
        <w:pBdr>
          <w:top w:color="4472c4" w:space="0" w:sz="24" w:val="single"/>
          <w:left w:color="4472c4" w:space="0" w:sz="24" w:val="single"/>
          <w:bottom w:color="4472c4" w:space="0" w:sz="24" w:val="single"/>
          <w:right w:color="4472c4" w:space="0" w:sz="24" w:val="single"/>
        </w:pBdr>
        <w:shd w:fill="4472c4" w:val="clear"/>
        <w:spacing w:after="0" w:before="200" w:line="276" w:lineRule="auto"/>
        <w:ind w:left="0" w:firstLine="0"/>
        <w:rPr>
          <w:b w:val="1"/>
          <w:smallCaps w:val="1"/>
          <w:color w:val="ffffff"/>
          <w:sz w:val="24"/>
          <w:szCs w:val="24"/>
        </w:rPr>
      </w:pPr>
      <w:bookmarkStart w:colFirst="0" w:colLast="0" w:name="_reawd6wma0we" w:id="0"/>
      <w:bookmarkEnd w:id="0"/>
      <w:r w:rsidDel="00000000" w:rsidR="00000000" w:rsidRPr="00000000">
        <w:rPr>
          <w:b w:val="1"/>
          <w:smallCaps w:val="1"/>
          <w:color w:val="ffffff"/>
          <w:sz w:val="24"/>
          <w:szCs w:val="24"/>
          <w:rtl w:val="0"/>
        </w:rPr>
        <w:t xml:space="preserve">Objetivo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Utilizar el lenguaje Python para capturar paquetes de los protocolos más usados en redes de computadores: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Cabecera IP</w:t>
      </w:r>
    </w:p>
    <w:p w:rsidR="00000000" w:rsidDel="00000000" w:rsidP="00000000" w:rsidRDefault="00000000" w:rsidRPr="00000000" w14:paraId="00000008">
      <w:pPr>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Cabecera ICMP.</w:t>
      </w:r>
    </w:p>
    <w:p w:rsidR="00000000" w:rsidDel="00000000" w:rsidP="00000000" w:rsidRDefault="00000000" w:rsidRPr="00000000" w14:paraId="00000009">
      <w:pPr>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Cabecera UDP</w:t>
      </w:r>
    </w:p>
    <w:p w:rsidR="00000000" w:rsidDel="00000000" w:rsidP="00000000" w:rsidRDefault="00000000" w:rsidRPr="00000000" w14:paraId="0000000A">
      <w:pPr>
        <w:numPr>
          <w:ilvl w:val="2"/>
          <w:numId w:val="1"/>
        </w:numPr>
        <w:spacing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Cabecera DNS</w:t>
      </w:r>
    </w:p>
    <w:p w:rsidR="00000000" w:rsidDel="00000000" w:rsidP="00000000" w:rsidRDefault="00000000" w:rsidRPr="00000000" w14:paraId="0000000B">
      <w:pPr>
        <w:numPr>
          <w:ilvl w:val="1"/>
          <w:numId w:val="1"/>
        </w:numPr>
        <w:spacing w:after="20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Cabecera TCP</w:t>
      </w:r>
    </w:p>
    <w:p w:rsidR="00000000" w:rsidDel="00000000" w:rsidP="00000000" w:rsidRDefault="00000000" w:rsidRPr="00000000" w14:paraId="0000000C">
      <w:pPr>
        <w:spacing w:after="200" w:line="240" w:lineRule="auto"/>
        <w:rPr/>
      </w:pPr>
      <w:r w:rsidDel="00000000" w:rsidR="00000000" w:rsidRPr="00000000">
        <w:rPr>
          <w:rtl w:val="0"/>
        </w:rPr>
        <w:t xml:space="preserve">Como</w:t>
      </w:r>
      <w:r w:rsidDel="00000000" w:rsidR="00000000" w:rsidRPr="00000000">
        <w:rPr>
          <w:sz w:val="24"/>
          <w:szCs w:val="24"/>
          <w:rtl w:val="0"/>
        </w:rPr>
        <w:t xml:space="preserve"> </w:t>
      </w:r>
      <w:r w:rsidDel="00000000" w:rsidR="00000000" w:rsidRPr="00000000">
        <w:rPr>
          <w:rtl w:val="0"/>
        </w:rPr>
        <w:t xml:space="preserve">guión introductorio vamos a emplear el siguiente sniffer básico:</w:t>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drawing>
          <wp:inline distB="0" distT="0" distL="0" distR="0">
            <wp:extent cx="5400040" cy="3437881"/>
            <wp:effectExtent b="9525" l="9525" r="9525" t="9525"/>
            <wp:docPr id="28"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400040" cy="3437881"/>
                    </a:xfrm>
                    <a:prstGeom prst="rect"/>
                    <a:ln w="9525">
                      <a:solidFill>
                        <a:srgbClr val="4472C4"/>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spacing w:after="200" w:line="240" w:lineRule="auto"/>
        <w:rPr/>
      </w:pPr>
      <w:r w:rsidDel="00000000" w:rsidR="00000000" w:rsidRPr="00000000">
        <w:rPr>
          <w:rtl w:val="0"/>
        </w:rPr>
      </w:r>
    </w:p>
    <w:p w:rsidR="00000000" w:rsidDel="00000000" w:rsidP="00000000" w:rsidRDefault="00000000" w:rsidRPr="00000000" w14:paraId="00000014">
      <w:pPr>
        <w:pStyle w:val="Heading1"/>
        <w:keepNext w:val="0"/>
        <w:keepLines w:val="0"/>
        <w:pBdr>
          <w:top w:color="4472c4" w:space="0" w:sz="24" w:val="single"/>
          <w:left w:color="4472c4" w:space="0" w:sz="24" w:val="single"/>
          <w:bottom w:color="4472c4" w:space="0" w:sz="24" w:val="single"/>
          <w:right w:color="4472c4" w:space="0" w:sz="24" w:val="single"/>
        </w:pBdr>
        <w:shd w:fill="4472c4" w:val="clear"/>
        <w:spacing w:after="0" w:before="200" w:line="276" w:lineRule="auto"/>
        <w:ind w:left="0" w:firstLine="0"/>
        <w:rPr>
          <w:b w:val="1"/>
          <w:smallCaps w:val="1"/>
          <w:color w:val="ffffff"/>
          <w:sz w:val="24"/>
          <w:szCs w:val="24"/>
        </w:rPr>
      </w:pPr>
      <w:r w:rsidDel="00000000" w:rsidR="00000000" w:rsidRPr="00000000">
        <w:rPr>
          <w:b w:val="1"/>
          <w:smallCaps w:val="1"/>
          <w:color w:val="ffffff"/>
          <w:sz w:val="24"/>
          <w:szCs w:val="24"/>
          <w:rtl w:val="0"/>
        </w:rPr>
        <w:t xml:space="preserve">Sniffer</w:t>
      </w:r>
    </w:p>
    <w:p w:rsidR="00000000" w:rsidDel="00000000" w:rsidP="00000000" w:rsidRDefault="00000000" w:rsidRPr="00000000" w14:paraId="00000015">
      <w:pPr>
        <w:spacing w:after="200" w:line="240" w:lineRule="auto"/>
        <w:rPr/>
      </w:pPr>
      <w:r w:rsidDel="00000000" w:rsidR="00000000" w:rsidRPr="00000000">
        <w:rPr>
          <w:rtl w:val="0"/>
        </w:rPr>
      </w:r>
    </w:p>
    <w:p w:rsidR="00000000" w:rsidDel="00000000" w:rsidP="00000000" w:rsidRDefault="00000000" w:rsidRPr="00000000" w14:paraId="00000016">
      <w:pPr>
        <w:pStyle w:val="Heading2"/>
        <w:keepNext w:val="0"/>
        <w:keepLines w:val="0"/>
        <w:pBdr>
          <w:top w:color="d9e2f3" w:space="0" w:sz="24" w:val="single"/>
          <w:left w:color="d9e2f3" w:space="0" w:sz="24" w:val="single"/>
          <w:bottom w:color="d9e2f3" w:space="0" w:sz="24" w:val="single"/>
          <w:right w:color="d9e2f3" w:space="0" w:sz="24" w:val="single"/>
        </w:pBdr>
        <w:shd w:fill="d9e2f3" w:val="clear"/>
        <w:spacing w:after="0" w:before="200" w:line="276" w:lineRule="auto"/>
        <w:ind w:left="576" w:firstLine="0"/>
        <w:rPr>
          <w:smallCaps w:val="1"/>
          <w:sz w:val="22"/>
          <w:szCs w:val="22"/>
        </w:rPr>
      </w:pPr>
      <w:bookmarkStart w:colFirst="0" w:colLast="0" w:name="_tqihyrim56b2" w:id="1"/>
      <w:bookmarkEnd w:id="1"/>
      <w:r w:rsidDel="00000000" w:rsidR="00000000" w:rsidRPr="00000000">
        <w:rPr>
          <w:smallCaps w:val="1"/>
          <w:sz w:val="22"/>
          <w:szCs w:val="22"/>
          <w:rtl w:val="0"/>
        </w:rPr>
        <w:t xml:space="preserve">Obtención de la cabecera ip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Inicialmente capturamos paquetes con el sniffer básico anterior y después desglosamos la información obtenida en cada paquete, los 20 primeros paquetes son los correspondientes a la cabecera IP y el resto a los datos del datagrama.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686425" cy="1657350"/>
            <wp:effectExtent b="0" l="0" r="0" t="0"/>
            <wp:docPr id="1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6864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continuación desglosamos la información obtenida en la cabecera IP: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1460500"/>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diferenciar las distintas partes de la cabecera, contamos los tamaños en bytes. </w:t>
      </w:r>
    </w:p>
    <w:p w:rsidR="00000000" w:rsidDel="00000000" w:rsidP="00000000" w:rsidRDefault="00000000" w:rsidRPr="00000000" w14:paraId="00000022">
      <w:pPr>
        <w:rPr/>
      </w:pPr>
      <w:r w:rsidDel="00000000" w:rsidR="00000000" w:rsidRPr="00000000">
        <w:rPr>
          <w:rtl w:val="0"/>
        </w:rPr>
        <w:t xml:space="preserve">Para el campo </w:t>
      </w:r>
      <w:r w:rsidDel="00000000" w:rsidR="00000000" w:rsidRPr="00000000">
        <w:rPr>
          <w:i w:val="1"/>
          <w:rtl w:val="0"/>
        </w:rPr>
        <w:t xml:space="preserve">versión</w:t>
      </w:r>
      <w:r w:rsidDel="00000000" w:rsidR="00000000" w:rsidRPr="00000000">
        <w:rPr>
          <w:rtl w:val="0"/>
        </w:rPr>
        <w:t xml:space="preserve"> el cual ocupa los 4 primeros bits, cogemos </w:t>
      </w:r>
      <w:r w:rsidDel="00000000" w:rsidR="00000000" w:rsidRPr="00000000">
        <w:rPr>
          <w:i w:val="1"/>
          <w:rtl w:val="0"/>
        </w:rPr>
        <w:t xml:space="preserve">CabeceraIP[0]</w:t>
      </w:r>
      <w:r w:rsidDel="00000000" w:rsidR="00000000" w:rsidRPr="00000000">
        <w:rPr>
          <w:rtl w:val="0"/>
        </w:rPr>
        <w:t xml:space="preserve"> y avanzamos 4 bits con </w:t>
      </w:r>
      <w:r w:rsidDel="00000000" w:rsidR="00000000" w:rsidRPr="00000000">
        <w:rPr>
          <w:i w:val="1"/>
          <w:rtl w:val="0"/>
        </w:rPr>
        <w:t xml:space="preserve">&gt;&gt;4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Por último mostramos los campos del datagrama IP: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4050" cy="902562"/>
            <wp:effectExtent b="0" l="0" r="0" t="0"/>
            <wp:docPr id="30"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734050" cy="9025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pBdr>
          <w:top w:color="d9e2f3" w:space="0" w:sz="24" w:val="single"/>
          <w:left w:color="d9e2f3" w:space="0" w:sz="24" w:val="single"/>
          <w:bottom w:color="d9e2f3" w:space="0" w:sz="24" w:val="single"/>
          <w:right w:color="d9e2f3" w:space="0" w:sz="24" w:val="single"/>
        </w:pBdr>
        <w:shd w:fill="d9e2f3" w:val="clear"/>
        <w:spacing w:after="0" w:before="200" w:line="276" w:lineRule="auto"/>
        <w:ind w:left="0" w:firstLine="0"/>
        <w:rPr>
          <w:smallCaps w:val="1"/>
          <w:sz w:val="22"/>
          <w:szCs w:val="22"/>
        </w:rPr>
      </w:pPr>
      <w:bookmarkStart w:colFirst="0" w:colLast="0" w:name="_cn4gsymtwabk" w:id="2"/>
      <w:bookmarkEnd w:id="2"/>
      <w:r w:rsidDel="00000000" w:rsidR="00000000" w:rsidRPr="00000000">
        <w:rPr>
          <w:smallCaps w:val="1"/>
          <w:sz w:val="22"/>
          <w:szCs w:val="22"/>
          <w:rtl w:val="0"/>
        </w:rPr>
        <w:t xml:space="preserve">Obtención de la cabecera TCP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 cabecera TCP se encontrará en los datos IP, si en el campo protocolo de la cabecera IP el valor es 6.</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Como la cabecera TCP ocupa 20 bytes, cogemos los primeros 20 bytes de los datos IP:</w:t>
      </w:r>
    </w:p>
    <w:p w:rsidR="00000000" w:rsidDel="00000000" w:rsidP="00000000" w:rsidRDefault="00000000" w:rsidRPr="00000000" w14:paraId="00000030">
      <w:pPr>
        <w:rPr/>
      </w:pPr>
      <w:r w:rsidDel="00000000" w:rsidR="00000000" w:rsidRPr="00000000">
        <w:rPr/>
        <w:drawing>
          <wp:inline distB="114300" distT="114300" distL="114300" distR="114300">
            <wp:extent cx="1895475" cy="247650"/>
            <wp:effectExtent b="0" l="0" r="0" t="0"/>
            <wp:docPr id="2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8954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Para los datos TCP cogemos el resto de bytes de datos IP después de los 20 correspondientes a la cabecera TCP: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1743075" cy="1905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43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continuación desglosamos los campos de la cabecera TCP al igual que hemos hecho antes con la IP.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5043488" cy="2211762"/>
            <wp:effectExtent b="0" l="0" r="0" t="0"/>
            <wp:docPr id="24"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043488" cy="221176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Una vez obtenidos los campos de la cabecera TCP toca mostrarlos por pantalla.</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3557831" cy="286956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57831" cy="28695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keepNext w:val="0"/>
        <w:keepLines w:val="0"/>
        <w:pBdr>
          <w:top w:color="d9e2f3" w:space="0" w:sz="24" w:val="single"/>
          <w:left w:color="d9e2f3" w:space="0" w:sz="24" w:val="single"/>
          <w:bottom w:color="d9e2f3" w:space="0" w:sz="24" w:val="single"/>
          <w:right w:color="d9e2f3" w:space="0" w:sz="24" w:val="single"/>
        </w:pBdr>
        <w:shd w:fill="d9e2f3" w:val="clear"/>
        <w:spacing w:after="0" w:before="200" w:line="276" w:lineRule="auto"/>
        <w:rPr>
          <w:smallCaps w:val="1"/>
          <w:sz w:val="22"/>
          <w:szCs w:val="22"/>
        </w:rPr>
      </w:pPr>
      <w:bookmarkStart w:colFirst="0" w:colLast="0" w:name="_tnz0m9bfw0pi" w:id="3"/>
      <w:bookmarkEnd w:id="3"/>
      <w:r w:rsidDel="00000000" w:rsidR="00000000" w:rsidRPr="00000000">
        <w:rPr>
          <w:smallCaps w:val="1"/>
          <w:sz w:val="22"/>
          <w:szCs w:val="22"/>
          <w:rtl w:val="0"/>
        </w:rPr>
        <w:t xml:space="preserve">Obtención de la cabecera ICMP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mensaje ICMP aparece cuando en el campo protocolo de la cabecera IP hay como valor un 1, la cabecera ICMP ocupa 8 bytes.</w:t>
      </w:r>
    </w:p>
    <w:p w:rsidR="00000000" w:rsidDel="00000000" w:rsidP="00000000" w:rsidRDefault="00000000" w:rsidRPr="00000000" w14:paraId="0000003F">
      <w:pPr>
        <w:rPr/>
      </w:pPr>
      <w:r w:rsidDel="00000000" w:rsidR="00000000" w:rsidRPr="00000000">
        <w:rPr>
          <w:rtl w:val="0"/>
        </w:rPr>
        <w:t xml:space="preserve">Para coger la cabecera haremos igual que con TCP, pero en este caso con 8 bytes: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2114550" cy="6858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114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A continuación  desglosamos la cabecera ICMP:</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3505200" cy="685800"/>
            <wp:effectExtent b="0" l="0" r="0" t="0"/>
            <wp:docPr id="1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505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Por último mostramos por pantalla los datos de la cabecera ICMP:</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5572125" cy="1895475"/>
            <wp:effectExtent b="0" l="0" r="0" t="0"/>
            <wp:docPr id="31"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5721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Sacar los datos de la cabecera resulta sencillo, sin embargo, esa información hay que tratarla como es el caso del campo tipo dentro de la cabecera ICMP, está representa el tipo de mensaje ICMP, si es 0 indica una respuesta de eco a un comando ping, si es 3 representa un error destino inalcanzable seguramente porque se ha acabado el tiempo de vida del mensaje, si es un 8 es un mensaje de petición de eco y por último si el campo tipo es un 11 error tiempo excedido en datagrama.</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Captura de un paquete ICMP:</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drawing>
          <wp:inline distB="114300" distT="114300" distL="114300" distR="114300">
            <wp:extent cx="5731200" cy="2070100"/>
            <wp:effectExtent b="0" l="0" r="0" t="0"/>
            <wp:docPr id="26"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 En este caso hemos capturado una petición de eco a </w:t>
      </w:r>
      <w:hyperlink r:id="rId18">
        <w:r w:rsidDel="00000000" w:rsidR="00000000" w:rsidRPr="00000000">
          <w:rPr>
            <w:color w:val="1155cc"/>
            <w:u w:val="single"/>
            <w:rtl w:val="0"/>
          </w:rPr>
          <w:t xml:space="preserve">www.uv.es</w:t>
        </w:r>
      </w:hyperlink>
      <w:r w:rsidDel="00000000" w:rsidR="00000000" w:rsidRPr="00000000">
        <w:rPr>
          <w:rtl w:val="0"/>
        </w:rPr>
        <w:t xml:space="preserve"> ya que si nos fijamos el campo tipo es 8.</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drawing>
          <wp:inline distB="114300" distT="114300" distL="114300" distR="114300">
            <wp:extent cx="5731200" cy="2057400"/>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Aquí está la respuesta al comando ping que hemos enviado a </w:t>
      </w:r>
      <w:hyperlink r:id="rId20">
        <w:r w:rsidDel="00000000" w:rsidR="00000000" w:rsidRPr="00000000">
          <w:rPr>
            <w:color w:val="1155cc"/>
            <w:u w:val="single"/>
            <w:rtl w:val="0"/>
          </w:rPr>
          <w:t xml:space="preserve">www.uv.es</w:t>
        </w:r>
      </w:hyperlink>
      <w:r w:rsidDel="00000000" w:rsidR="00000000" w:rsidRPr="00000000">
        <w:rPr>
          <w:rtl w:val="0"/>
        </w:rPr>
        <w:t xml:space="preserve">, vemos que campo tipo 0.</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pStyle w:val="Heading2"/>
        <w:keepNext w:val="0"/>
        <w:keepLines w:val="0"/>
        <w:pBdr>
          <w:top w:color="d9e2f3" w:space="0" w:sz="24" w:val="single"/>
          <w:left w:color="d9e2f3" w:space="0" w:sz="24" w:val="single"/>
          <w:bottom w:color="d9e2f3" w:space="0" w:sz="24" w:val="single"/>
          <w:right w:color="d9e2f3" w:space="0" w:sz="24" w:val="single"/>
        </w:pBdr>
        <w:shd w:fill="d9e2f3" w:val="clear"/>
        <w:spacing w:after="0" w:before="200" w:line="276" w:lineRule="auto"/>
        <w:rPr>
          <w:smallCaps w:val="1"/>
          <w:sz w:val="22"/>
          <w:szCs w:val="22"/>
        </w:rPr>
      </w:pPr>
      <w:bookmarkStart w:colFirst="0" w:colLast="0" w:name="_iudzqr9ppqmr" w:id="4"/>
      <w:bookmarkEnd w:id="4"/>
      <w:r w:rsidDel="00000000" w:rsidR="00000000" w:rsidRPr="00000000">
        <w:rPr>
          <w:smallCaps w:val="1"/>
          <w:sz w:val="22"/>
          <w:szCs w:val="22"/>
          <w:rtl w:val="0"/>
        </w:rPr>
        <w:t xml:space="preserve">Obtención de la cabecera UDP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La cabecera UDP ocupa 8 bytes de datos, entonces necesitamos los 8 primeros bytes de los datos IP: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1990725" cy="561975"/>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9907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Para los datos UDP cogemos a partir de los 8 bytes que ocupa la cabecera dentro de los datos IP hasta el final.</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Después desglosamos la cabecera UDP:</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5353050" cy="990600"/>
            <wp:effectExtent b="0" l="0" r="0" t="0"/>
            <wp:docPr id="19"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353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Para mensajes UDP comprobamos si el checksum recibido es correcto, primero construimos la pseudocabecera para el cálculo del checksum:</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5600700" cy="409575"/>
            <wp:effectExtent b="0" l="0" r="0" t="0"/>
            <wp:docPr id="1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600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Luego borramos el checksum para que no forme parte del cálculo:</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4114800" cy="590550"/>
            <wp:effectExtent b="0" l="0" r="0" t="0"/>
            <wp:docPr id="32"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41148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Ahora necesitamos pasar la lista de bytes a words, para ello utilizamos la siguiente función:</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5731200" cy="1155700"/>
            <wp:effectExtent b="0" l="0" r="0" t="0"/>
            <wp:docPr id="29"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ind w:left="720" w:firstLine="720"/>
        <w:jc w:val="center"/>
        <w:rPr>
          <w:b w:val="1"/>
        </w:rPr>
      </w:pPr>
      <w:r w:rsidDel="00000000" w:rsidR="00000000" w:rsidRPr="00000000">
        <w:rPr>
          <w:b w:val="1"/>
        </w:rPr>
        <w:drawing>
          <wp:inline distB="114300" distT="114300" distL="114300" distR="114300">
            <wp:extent cx="3524250" cy="276225"/>
            <wp:effectExtent b="0" l="0" r="0" t="0"/>
            <wp:docPr id="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5242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left"/>
        <w:rPr/>
      </w:pPr>
      <w:r w:rsidDel="00000000" w:rsidR="00000000" w:rsidRPr="00000000">
        <w:rPr>
          <w:rtl w:val="0"/>
        </w:rPr>
        <w:t xml:space="preserve">Por último solo queda el cálculo del checksum, usamos la siguiente función:</w:t>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ind w:left="0" w:firstLine="0"/>
        <w:jc w:val="center"/>
        <w:rPr/>
      </w:pPr>
      <w:r w:rsidDel="00000000" w:rsidR="00000000" w:rsidRPr="00000000">
        <w:rPr/>
        <w:drawing>
          <wp:inline distB="114300" distT="114300" distL="114300" distR="114300">
            <wp:extent cx="4686300" cy="819150"/>
            <wp:effectExtent b="0" l="0" r="0" t="0"/>
            <wp:docPr id="1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6863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t xml:space="preserve">Después de desglosar la cabecera falta mostrarla por pantalla:</w:t>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0"/>
        <w:jc w:val="center"/>
        <w:rPr/>
      </w:pPr>
      <w:r w:rsidDel="00000000" w:rsidR="00000000" w:rsidRPr="00000000">
        <w:rPr/>
        <w:drawing>
          <wp:inline distB="114300" distT="114300" distL="114300" distR="114300">
            <wp:extent cx="5731200" cy="1257300"/>
            <wp:effectExtent b="0" l="0" r="0" t="0"/>
            <wp:docPr id="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 xml:space="preserve">Para que el mensaje sea UDP el campo protocolo en la cabecera IP tiene que tener el valor 17, podemos deducir que de esta manera ejecutamos la función que trata la cabecera UDP:</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drawing>
          <wp:inline distB="114300" distT="114300" distL="114300" distR="114300">
            <wp:extent cx="5731200" cy="1282700"/>
            <wp:effectExtent b="0" l="0" r="0" t="0"/>
            <wp:docPr id="21"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Paquetes UDP capturados:</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drawing>
          <wp:inline distB="114300" distT="114300" distL="114300" distR="114300">
            <wp:extent cx="5731200" cy="1485900"/>
            <wp:effectExtent b="0" l="0" r="0" t="0"/>
            <wp:docPr id="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pStyle w:val="Heading2"/>
        <w:keepNext w:val="0"/>
        <w:keepLines w:val="0"/>
        <w:pBdr>
          <w:top w:color="d9e2f3" w:space="0" w:sz="24" w:val="single"/>
          <w:left w:color="d9e2f3" w:space="0" w:sz="24" w:val="single"/>
          <w:bottom w:color="d9e2f3" w:space="0" w:sz="24" w:val="single"/>
          <w:right w:color="d9e2f3" w:space="0" w:sz="24" w:val="single"/>
        </w:pBdr>
        <w:shd w:fill="d9e2f3" w:val="clear"/>
        <w:spacing w:after="0" w:before="200" w:line="276" w:lineRule="auto"/>
        <w:rPr>
          <w:smallCaps w:val="1"/>
          <w:sz w:val="22"/>
          <w:szCs w:val="22"/>
        </w:rPr>
      </w:pPr>
      <w:bookmarkStart w:colFirst="0" w:colLast="0" w:name="_w6r80sskzlms" w:id="5"/>
      <w:bookmarkEnd w:id="5"/>
      <w:r w:rsidDel="00000000" w:rsidR="00000000" w:rsidRPr="00000000">
        <w:rPr>
          <w:smallCaps w:val="1"/>
          <w:sz w:val="22"/>
          <w:szCs w:val="22"/>
          <w:rtl w:val="0"/>
        </w:rPr>
        <w:t xml:space="preserve">Obtención de la cabecera DNS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Los mensajes DNS o mensajes de dominio tienen una cabecera de 12 bytes y aparecen junto a los mensajes UDP, es fácil detectarlos ya que utilizan como puerto el número 53. Por lo tanto añadiremos el siguiente código dentro de la función UDP para detectar si es o no un mensaje dns: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5731200" cy="850900"/>
            <wp:effectExtent b="0" l="0" r="0" t="0"/>
            <wp:docPr id="23"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t xml:space="preserve">Como hemos hecho en todos los tipos de datagramas IP, lo primero desglosamos la cabecera:</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5181600" cy="304800"/>
            <wp:effectExtent b="0" l="0" r="0" t="0"/>
            <wp:docPr id="27"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181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Diferenciamos entre la cabecera y los datos para mensajes DNS.</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Después estructuramos los campos de la cabecera:</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14300" distT="114300" distL="114300" distR="114300">
            <wp:extent cx="3724275" cy="876300"/>
            <wp:effectExtent b="0" l="0" r="0" t="0"/>
            <wp:docPr id="8"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37242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t xml:space="preserve">Mostramos los campos DNS por pantalla:</w:t>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3962400" cy="1914525"/>
            <wp:effectExtent b="0" l="0" r="0" t="0"/>
            <wp:docPr id="3"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9624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t xml:space="preserve">Para comprobar si es un mensaje de consulta o de respuesta nos fijamos en las flags que lleva dicho mensaje dns, si el campo QR está a 0 es un mensaje de consulta, en caso contrario indicamos que es un mensaje de respuesta.</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pStyle w:val="Heading1"/>
        <w:keepNext w:val="0"/>
        <w:keepLines w:val="0"/>
        <w:pBdr>
          <w:top w:color="4472c4" w:space="0" w:sz="24" w:val="single"/>
          <w:left w:color="4472c4" w:space="0" w:sz="24" w:val="single"/>
          <w:bottom w:color="4472c4" w:space="0" w:sz="24" w:val="single"/>
          <w:right w:color="4472c4" w:space="0" w:sz="24" w:val="single"/>
        </w:pBdr>
        <w:shd w:fill="4472c4" w:val="clear"/>
        <w:spacing w:after="0" w:before="200" w:line="276" w:lineRule="auto"/>
        <w:ind w:left="0" w:firstLine="0"/>
        <w:rPr/>
      </w:pPr>
      <w:bookmarkStart w:colFirst="0" w:colLast="0" w:name="_nzshrzktmhe9" w:id="6"/>
      <w:bookmarkEnd w:id="6"/>
      <w:r w:rsidDel="00000000" w:rsidR="00000000" w:rsidRPr="00000000">
        <w:rPr>
          <w:b w:val="1"/>
          <w:smallCaps w:val="1"/>
          <w:color w:val="ffffff"/>
          <w:sz w:val="24"/>
          <w:szCs w:val="24"/>
          <w:rtl w:val="0"/>
        </w:rPr>
        <w:t xml:space="preserve">Memoria de pruebas</w:t>
      </w: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5731200" cy="1473200"/>
            <wp:effectExtent b="0" l="0" r="0" t="0"/>
            <wp:docPr id="6"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Datagrama IPv4 con mensaje UDP.</w:t>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114300" distT="114300" distL="114300" distR="114300">
            <wp:extent cx="5731200" cy="1676400"/>
            <wp:effectExtent b="0" l="0" r="0" t="0"/>
            <wp:docPr id="25"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t xml:space="preserve">Segmento TCP.</w:t>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drawing>
          <wp:inline distB="114300" distT="114300" distL="114300" distR="114300">
            <wp:extent cx="5731200" cy="1181100"/>
            <wp:effectExtent b="0" l="0" r="0" t="0"/>
            <wp:docPr id="13"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t xml:space="preserve">Mensaje ICMP, petición de eco.</w:t>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5731200" cy="1257300"/>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t xml:space="preserve">Mensaje ICMP, respuesta de eco a un comando ping.</w:t>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drawing>
          <wp:inline distB="114300" distT="114300" distL="114300" distR="114300">
            <wp:extent cx="5731200" cy="2476500"/>
            <wp:effectExtent b="0" l="0" r="0" t="0"/>
            <wp:docPr id="22"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 xml:space="preserve">Mensaje DNS de consulta.</w:t>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sectPr>
      <w:headerReference r:id="rId4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t xml:space="preserve">David de Pablo Apellániz</w:t>
      <w:tab/>
      <w:tab/>
      <w:tab/>
      <w:tab/>
      <w:tab/>
      <w:tab/>
      <w:tab/>
      <w:t xml:space="preserve">02/06/2022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www.uv.es" TargetMode="External"/><Relationship Id="rId22" Type="http://schemas.openxmlformats.org/officeDocument/2006/relationships/image" Target="media/image32.png"/><Relationship Id="rId21" Type="http://schemas.openxmlformats.org/officeDocument/2006/relationships/image" Target="media/image10.png"/><Relationship Id="rId24" Type="http://schemas.openxmlformats.org/officeDocument/2006/relationships/image" Target="media/image3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4.png"/><Relationship Id="rId25" Type="http://schemas.openxmlformats.org/officeDocument/2006/relationships/image" Target="media/image24.png"/><Relationship Id="rId28" Type="http://schemas.openxmlformats.org/officeDocument/2006/relationships/image" Target="media/image1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22.png"/><Relationship Id="rId7" Type="http://schemas.openxmlformats.org/officeDocument/2006/relationships/image" Target="media/image18.png"/><Relationship Id="rId8" Type="http://schemas.openxmlformats.org/officeDocument/2006/relationships/image" Target="media/image5.png"/><Relationship Id="rId31" Type="http://schemas.openxmlformats.org/officeDocument/2006/relationships/image" Target="media/image28.png"/><Relationship Id="rId30" Type="http://schemas.openxmlformats.org/officeDocument/2006/relationships/image" Target="media/image3.png"/><Relationship Id="rId11" Type="http://schemas.openxmlformats.org/officeDocument/2006/relationships/image" Target="media/image1.png"/><Relationship Id="rId33" Type="http://schemas.openxmlformats.org/officeDocument/2006/relationships/image" Target="media/image7.png"/><Relationship Id="rId10" Type="http://schemas.openxmlformats.org/officeDocument/2006/relationships/image" Target="media/image14.png"/><Relationship Id="rId32" Type="http://schemas.openxmlformats.org/officeDocument/2006/relationships/image" Target="media/image21.png"/><Relationship Id="rId13" Type="http://schemas.openxmlformats.org/officeDocument/2006/relationships/image" Target="media/image2.png"/><Relationship Id="rId35" Type="http://schemas.openxmlformats.org/officeDocument/2006/relationships/image" Target="media/image9.png"/><Relationship Id="rId12" Type="http://schemas.openxmlformats.org/officeDocument/2006/relationships/image" Target="media/image29.png"/><Relationship Id="rId34" Type="http://schemas.openxmlformats.org/officeDocument/2006/relationships/image" Target="media/image6.png"/><Relationship Id="rId15" Type="http://schemas.openxmlformats.org/officeDocument/2006/relationships/image" Target="media/image12.png"/><Relationship Id="rId37" Type="http://schemas.openxmlformats.org/officeDocument/2006/relationships/image" Target="media/image26.png"/><Relationship Id="rId14" Type="http://schemas.openxmlformats.org/officeDocument/2006/relationships/image" Target="media/image8.png"/><Relationship Id="rId36" Type="http://schemas.openxmlformats.org/officeDocument/2006/relationships/image" Target="media/image19.png"/><Relationship Id="rId17" Type="http://schemas.openxmlformats.org/officeDocument/2006/relationships/image" Target="media/image25.png"/><Relationship Id="rId39" Type="http://schemas.openxmlformats.org/officeDocument/2006/relationships/image" Target="media/image20.png"/><Relationship Id="rId16" Type="http://schemas.openxmlformats.org/officeDocument/2006/relationships/image" Target="media/image30.png"/><Relationship Id="rId38"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hyperlink" Target="http://www.uv.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