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527" w:rsidRDefault="00B27527" w:rsidP="00B27527">
      <w:r>
        <w:t xml:space="preserve">Note: This text has been taken from: Cooper, Michael J., </w:t>
      </w:r>
      <w:proofErr w:type="spellStart"/>
      <w:r>
        <w:t>Orlin</w:t>
      </w:r>
      <w:proofErr w:type="spellEnd"/>
      <w:r>
        <w:t xml:space="preserve"> </w:t>
      </w:r>
      <w:proofErr w:type="spellStart"/>
      <w:r>
        <w:t>Dimitrov</w:t>
      </w:r>
      <w:proofErr w:type="spellEnd"/>
      <w:r>
        <w:t xml:space="preserve">, and P. </w:t>
      </w:r>
      <w:proofErr w:type="spellStart"/>
      <w:r>
        <w:t>Raghavendra</w:t>
      </w:r>
      <w:proofErr w:type="spellEnd"/>
      <w:r>
        <w:t xml:space="preserve"> Rau (2001). </w:t>
      </w:r>
      <w:proofErr w:type="gramStart"/>
      <w:r>
        <w:t>Rose.com by Any Other Name".</w:t>
      </w:r>
      <w:proofErr w:type="gramEnd"/>
      <w:r>
        <w:t xml:space="preserve"> In: The Journal of Finance 56.6, pp. 2371-2388.</w:t>
      </w:r>
    </w:p>
    <w:p w:rsidR="00B27527" w:rsidRDefault="00B27527" w:rsidP="00B27527">
      <w:r>
        <w:t xml:space="preserve">This text contains only some parts of the paper. The only purpose of this is to give a small example of what we can do with </w:t>
      </w:r>
      <w:proofErr w:type="spellStart"/>
      <w:r>
        <w:t>LaTeX</w:t>
      </w:r>
      <w:proofErr w:type="spellEnd"/>
      <w:r>
        <w:t>.</w:t>
      </w:r>
    </w:p>
    <w:p w:rsidR="00B92022" w:rsidRPr="00B92022" w:rsidRDefault="00B92022" w:rsidP="00B92022">
      <w:pPr>
        <w:rPr>
          <w:b/>
          <w:sz w:val="28"/>
        </w:rPr>
      </w:pPr>
      <w:r w:rsidRPr="00B92022">
        <w:rPr>
          <w:b/>
          <w:sz w:val="28"/>
        </w:rPr>
        <w:t>Task:</w:t>
      </w:r>
    </w:p>
    <w:p w:rsidR="00E3754A" w:rsidRDefault="00E3754A" w:rsidP="00B27527">
      <w:r w:rsidRPr="00B92022">
        <w:t>Your Task</w:t>
      </w:r>
      <w:r>
        <w:t xml:space="preserve"> is to translate the following excerpts into </w:t>
      </w:r>
      <w:proofErr w:type="spellStart"/>
      <w:r>
        <w:t>LaTeX</w:t>
      </w:r>
      <w:proofErr w:type="spellEnd"/>
      <w:r>
        <w:t xml:space="preserve"> and polish them to a level that is appropriate to hand the work in (i.e., as an assignment, bachelor-, master-thesis, or as a paper).</w:t>
      </w:r>
    </w:p>
    <w:p w:rsidR="00B92022" w:rsidRDefault="00B92022" w:rsidP="00B27527">
      <w:r>
        <w:t xml:space="preserve">The </w:t>
      </w:r>
      <w:r w:rsidR="003171D8">
        <w:t>task</w:t>
      </w:r>
      <w:r>
        <w:t xml:space="preserve"> involves using tables, figures, </w:t>
      </w:r>
      <w:r w:rsidR="003171D8">
        <w:t xml:space="preserve">math, </w:t>
      </w:r>
      <w:r>
        <w:t xml:space="preserve">and enumerate environments, </w:t>
      </w:r>
      <w:r w:rsidR="003171D8">
        <w:t>as well as inline-math, normal text (and character escaping), references, and citations</w:t>
      </w:r>
    </w:p>
    <w:p w:rsidR="003171D8" w:rsidRDefault="003171D8" w:rsidP="003171D8">
      <w:r>
        <w:t xml:space="preserve">Make sure that you use proper links (for references, and citations). </w:t>
      </w:r>
    </w:p>
    <w:p w:rsidR="00B92022" w:rsidRDefault="00B92022" w:rsidP="00B27527">
      <w:r>
        <w:t xml:space="preserve">Help: A minimum </w:t>
      </w:r>
      <w:proofErr w:type="spellStart"/>
      <w:r>
        <w:t>LaTeX</w:t>
      </w:r>
      <w:proofErr w:type="spellEnd"/>
      <w:r>
        <w:t>-file looks like this:</w:t>
      </w:r>
    </w:p>
    <w:p w:rsidR="00B92022" w:rsidRDefault="00B92022" w:rsidP="00B92022">
      <w:pPr>
        <w:spacing w:after="0"/>
        <w:ind w:left="284"/>
      </w:pPr>
      <w:r>
        <w:t>\</w:t>
      </w:r>
      <w:proofErr w:type="spellStart"/>
      <w:r>
        <w:t>documentclass</w:t>
      </w:r>
      <w:proofErr w:type="spellEnd"/>
      <w:r>
        <w:t>[12pt</w:t>
      </w:r>
      <w:proofErr w:type="gramStart"/>
      <w:r>
        <w:t>,a4paper</w:t>
      </w:r>
      <w:proofErr w:type="gramEnd"/>
      <w:r>
        <w:t>]{article}</w:t>
      </w:r>
    </w:p>
    <w:p w:rsidR="00B92022" w:rsidRDefault="00B92022" w:rsidP="00B92022">
      <w:pPr>
        <w:spacing w:after="0"/>
        <w:ind w:left="284"/>
      </w:pPr>
      <w:r>
        <w:t>\</w:t>
      </w:r>
      <w:proofErr w:type="spellStart"/>
      <w:r>
        <w:t>usepackage</w:t>
      </w:r>
      <w:proofErr w:type="spellEnd"/>
      <w:r>
        <w:t>[latin1]{</w:t>
      </w:r>
      <w:proofErr w:type="spellStart"/>
      <w:r>
        <w:t>inputenc</w:t>
      </w:r>
      <w:proofErr w:type="spellEnd"/>
      <w:r>
        <w:t>}</w:t>
      </w:r>
    </w:p>
    <w:p w:rsidR="00B92022" w:rsidRDefault="00B92022" w:rsidP="00B92022">
      <w:pPr>
        <w:spacing w:after="0"/>
        <w:ind w:left="284"/>
      </w:pPr>
      <w:r>
        <w:t>\</w:t>
      </w:r>
      <w:proofErr w:type="spellStart"/>
      <w:r>
        <w:t>usepackage</w:t>
      </w:r>
      <w:proofErr w:type="spellEnd"/>
      <w:r>
        <w:t>{</w:t>
      </w:r>
      <w:proofErr w:type="spellStart"/>
      <w:r>
        <w:t>amsmath</w:t>
      </w:r>
      <w:proofErr w:type="spellEnd"/>
      <w:r>
        <w:t>}</w:t>
      </w:r>
    </w:p>
    <w:p w:rsidR="00B92022" w:rsidRDefault="00B92022" w:rsidP="00B92022">
      <w:pPr>
        <w:spacing w:after="0"/>
        <w:ind w:left="284"/>
      </w:pPr>
      <w:r>
        <w:t>\</w:t>
      </w:r>
      <w:proofErr w:type="spellStart"/>
      <w:r>
        <w:t>usepackage</w:t>
      </w:r>
      <w:proofErr w:type="spellEnd"/>
      <w:r>
        <w:t>{</w:t>
      </w:r>
      <w:proofErr w:type="spellStart"/>
      <w:r>
        <w:t>amsfonts</w:t>
      </w:r>
      <w:proofErr w:type="spellEnd"/>
      <w:r>
        <w:t>}</w:t>
      </w:r>
    </w:p>
    <w:p w:rsidR="003171D8" w:rsidRDefault="00B92022" w:rsidP="003171D8">
      <w:pPr>
        <w:spacing w:after="0"/>
        <w:ind w:left="284"/>
      </w:pPr>
      <w:r>
        <w:t>\</w:t>
      </w:r>
      <w:proofErr w:type="spellStart"/>
      <w:r>
        <w:t>usepackage</w:t>
      </w:r>
      <w:proofErr w:type="spellEnd"/>
      <w:r>
        <w:t>{</w:t>
      </w:r>
      <w:proofErr w:type="spellStart"/>
      <w:r>
        <w:t>amssymb</w:t>
      </w:r>
      <w:proofErr w:type="spellEnd"/>
      <w:r>
        <w:t>}</w:t>
      </w:r>
    </w:p>
    <w:p w:rsidR="00D745BA" w:rsidRDefault="00D745BA" w:rsidP="003171D8">
      <w:pPr>
        <w:spacing w:after="0"/>
        <w:ind w:left="284"/>
      </w:pPr>
      <w:r>
        <w:t>\</w:t>
      </w:r>
      <w:proofErr w:type="spellStart"/>
      <w:r>
        <w:t>usepackage</w:t>
      </w:r>
      <w:proofErr w:type="spellEnd"/>
      <w:r>
        <w:t>{</w:t>
      </w:r>
      <w:proofErr w:type="spellStart"/>
      <w:r>
        <w:t>graphicx</w:t>
      </w:r>
      <w:proofErr w:type="spellEnd"/>
      <w:r>
        <w:t>}</w:t>
      </w:r>
    </w:p>
    <w:p w:rsidR="003171D8" w:rsidRDefault="003171D8" w:rsidP="003171D8">
      <w:pPr>
        <w:spacing w:after="0"/>
        <w:ind w:left="284"/>
      </w:pPr>
      <w:r>
        <w:t>\</w:t>
      </w:r>
      <w:proofErr w:type="spellStart"/>
      <w:r>
        <w:t>usepackage</w:t>
      </w:r>
      <w:proofErr w:type="spellEnd"/>
      <w:r>
        <w:t>[style=</w:t>
      </w:r>
      <w:proofErr w:type="spellStart"/>
      <w:r>
        <w:t>authoryear</w:t>
      </w:r>
      <w:proofErr w:type="spellEnd"/>
      <w:r>
        <w:t>,</w:t>
      </w:r>
      <w:r w:rsidR="008B72D9">
        <w:t xml:space="preserve"> </w:t>
      </w:r>
      <w:proofErr w:type="spellStart"/>
      <w:r w:rsidR="008B72D9" w:rsidRPr="008B72D9">
        <w:t>mergedate</w:t>
      </w:r>
      <w:proofErr w:type="spellEnd"/>
      <w:r w:rsidR="008B72D9" w:rsidRPr="008B72D9">
        <w:t>=basic,</w:t>
      </w:r>
      <w:r>
        <w:t xml:space="preserve"> backend=</w:t>
      </w:r>
      <w:proofErr w:type="spellStart"/>
      <w:r>
        <w:t>biber</w:t>
      </w:r>
      <w:proofErr w:type="spellEnd"/>
      <w:r>
        <w:t xml:space="preserve">, </w:t>
      </w:r>
      <w:proofErr w:type="spellStart"/>
      <w:r>
        <w:t>maxnames</w:t>
      </w:r>
      <w:proofErr w:type="spellEnd"/>
      <w:r>
        <w:t>=3</w:t>
      </w:r>
      <w:proofErr w:type="gramStart"/>
      <w:r>
        <w:t>]{</w:t>
      </w:r>
      <w:proofErr w:type="spellStart"/>
      <w:proofErr w:type="gramEnd"/>
      <w:r>
        <w:t>biblatex</w:t>
      </w:r>
      <w:proofErr w:type="spellEnd"/>
      <w:r>
        <w:t xml:space="preserve">} </w:t>
      </w:r>
    </w:p>
    <w:p w:rsidR="003171D8" w:rsidRDefault="003171D8" w:rsidP="003171D8">
      <w:pPr>
        <w:spacing w:after="0"/>
        <w:ind w:left="284"/>
      </w:pPr>
      <w:r>
        <w:t>\</w:t>
      </w:r>
      <w:proofErr w:type="spellStart"/>
      <w:r>
        <w:t>addbibresource</w:t>
      </w:r>
      <w:proofErr w:type="spellEnd"/>
      <w:r>
        <w:t>{</w:t>
      </w:r>
      <w:proofErr w:type="spellStart"/>
      <w:r>
        <w:t>my_bib_file.bib</w:t>
      </w:r>
      <w:proofErr w:type="spellEnd"/>
      <w:r>
        <w:t xml:space="preserve">} % </w:t>
      </w:r>
      <w:proofErr w:type="gramStart"/>
      <w:r>
        <w:t>make</w:t>
      </w:r>
      <w:proofErr w:type="gramEnd"/>
      <w:r>
        <w:t xml:space="preserve"> sure that </w:t>
      </w:r>
      <w:proofErr w:type="spellStart"/>
      <w:r>
        <w:t>biblatex</w:t>
      </w:r>
      <w:proofErr w:type="spellEnd"/>
      <w:r>
        <w:t xml:space="preserve"> is configured correctly</w:t>
      </w:r>
    </w:p>
    <w:p w:rsidR="003171D8" w:rsidRDefault="003171D8" w:rsidP="003171D8">
      <w:pPr>
        <w:spacing w:after="0"/>
        <w:ind w:left="284"/>
      </w:pPr>
    </w:p>
    <w:p w:rsidR="00B92022" w:rsidRDefault="00B92022" w:rsidP="00B92022">
      <w:pPr>
        <w:spacing w:after="0"/>
        <w:ind w:left="284"/>
      </w:pPr>
      <w:r>
        <w:t>\title{This is a title}</w:t>
      </w:r>
    </w:p>
    <w:p w:rsidR="00B92022" w:rsidRDefault="00B92022" w:rsidP="00B92022">
      <w:pPr>
        <w:spacing w:after="0"/>
        <w:ind w:left="284"/>
      </w:pPr>
      <w:r>
        <w:t>\author{My Name\</w:t>
      </w:r>
      <w:proofErr w:type="gramStart"/>
      <w:r>
        <w:t>thanks{</w:t>
      </w:r>
      <w:proofErr w:type="gramEnd"/>
      <w:r>
        <w:t>My Affiliation}}</w:t>
      </w:r>
    </w:p>
    <w:p w:rsidR="00B92022" w:rsidRDefault="00B92022" w:rsidP="00B92022">
      <w:pPr>
        <w:spacing w:after="0"/>
        <w:ind w:left="284"/>
      </w:pPr>
      <w:r>
        <w:t>\date{28$^</w:t>
      </w:r>
      <w:r w:rsidR="00DE54CD">
        <w:t>{</w:t>
      </w:r>
      <w:proofErr w:type="spellStart"/>
      <w:r>
        <w:t>th</w:t>
      </w:r>
      <w:proofErr w:type="spellEnd"/>
      <w:r w:rsidR="00DE54CD">
        <w:t>}</w:t>
      </w:r>
      <w:r>
        <w:t>$ Nov 2016}</w:t>
      </w:r>
    </w:p>
    <w:p w:rsidR="003171D8" w:rsidRDefault="003171D8" w:rsidP="00B92022">
      <w:pPr>
        <w:spacing w:after="0"/>
        <w:ind w:left="284"/>
      </w:pPr>
    </w:p>
    <w:p w:rsidR="00B92022" w:rsidRDefault="00B92022" w:rsidP="00B92022">
      <w:pPr>
        <w:spacing w:after="0"/>
        <w:ind w:left="284"/>
      </w:pPr>
      <w:r>
        <w:t>\begin{document}</w:t>
      </w:r>
    </w:p>
    <w:p w:rsidR="00B92022" w:rsidRDefault="00B92022" w:rsidP="00B92022">
      <w:pPr>
        <w:spacing w:after="0"/>
        <w:ind w:left="284"/>
      </w:pPr>
      <w:r>
        <w:t>\</w:t>
      </w:r>
      <w:proofErr w:type="spellStart"/>
      <w:r>
        <w:t>maketitle</w:t>
      </w:r>
      <w:proofErr w:type="spellEnd"/>
    </w:p>
    <w:p w:rsidR="003171D8" w:rsidRDefault="003171D8" w:rsidP="00B92022">
      <w:pPr>
        <w:spacing w:after="0"/>
        <w:ind w:left="284"/>
      </w:pPr>
    </w:p>
    <w:p w:rsidR="00B92022" w:rsidRDefault="00B92022" w:rsidP="00B92022">
      <w:pPr>
        <w:spacing w:after="0"/>
        <w:ind w:left="284"/>
      </w:pPr>
      <w:r>
        <w:t>\begin{abstract}</w:t>
      </w:r>
    </w:p>
    <w:p w:rsidR="00B92022" w:rsidRDefault="00B92022" w:rsidP="00B92022">
      <w:pPr>
        <w:spacing w:after="0"/>
        <w:ind w:left="284"/>
      </w:pPr>
      <w:r>
        <w:t>This is an abstract</w:t>
      </w:r>
    </w:p>
    <w:p w:rsidR="00B92022" w:rsidRDefault="00B92022" w:rsidP="00B92022">
      <w:pPr>
        <w:spacing w:after="0"/>
        <w:ind w:left="284"/>
      </w:pPr>
      <w:r>
        <w:t>\end{abstract}</w:t>
      </w:r>
    </w:p>
    <w:p w:rsidR="003171D8" w:rsidRDefault="003171D8" w:rsidP="00B92022">
      <w:pPr>
        <w:spacing w:after="0"/>
        <w:ind w:left="284"/>
      </w:pPr>
    </w:p>
    <w:p w:rsidR="00AA3342" w:rsidRDefault="00B92022" w:rsidP="00AA3342">
      <w:pPr>
        <w:spacing w:after="0"/>
        <w:ind w:left="284"/>
      </w:pPr>
      <w:r>
        <w:t>\section{Section I}</w:t>
      </w:r>
    </w:p>
    <w:p w:rsidR="00B92022" w:rsidRDefault="00B92022" w:rsidP="00B92022">
      <w:pPr>
        <w:spacing w:after="0"/>
        <w:ind w:left="284"/>
      </w:pPr>
      <w:r>
        <w:t>This is normal text</w:t>
      </w:r>
    </w:p>
    <w:p w:rsidR="00AA3342" w:rsidRDefault="00AA3342" w:rsidP="00B92022">
      <w:pPr>
        <w:spacing w:after="0"/>
        <w:ind w:left="284"/>
      </w:pPr>
    </w:p>
    <w:p w:rsidR="00AA3342" w:rsidRPr="006D5CF1" w:rsidRDefault="00AA3342" w:rsidP="00B92022">
      <w:pPr>
        <w:spacing w:after="0"/>
        <w:ind w:left="284"/>
        <w:rPr>
          <w:sz w:val="24"/>
        </w:rPr>
      </w:pPr>
      <w:r w:rsidRPr="00AA3342">
        <w:t>$[\</w:t>
      </w:r>
      <w:proofErr w:type="spellStart"/>
      <w:r w:rsidRPr="00AA3342">
        <w:t>ldots</w:t>
      </w:r>
      <w:proofErr w:type="spellEnd"/>
      <w:proofErr w:type="gramStart"/>
      <w:r w:rsidRPr="00AA3342">
        <w:t>]$</w:t>
      </w:r>
      <w:proofErr w:type="gramEnd"/>
    </w:p>
    <w:p w:rsidR="00AA3342" w:rsidRDefault="00AA3342" w:rsidP="00B92022">
      <w:pPr>
        <w:spacing w:after="0"/>
        <w:ind w:left="284"/>
      </w:pPr>
    </w:p>
    <w:p w:rsidR="00AA3342" w:rsidRDefault="00AA3342" w:rsidP="00B92022">
      <w:pPr>
        <w:spacing w:after="0"/>
        <w:ind w:left="284"/>
      </w:pPr>
      <w:r>
        <w:t>Some other text</w:t>
      </w:r>
    </w:p>
    <w:p w:rsidR="00E3754A" w:rsidRDefault="00B92022" w:rsidP="006D5CF1">
      <w:pPr>
        <w:spacing w:after="0"/>
        <w:ind w:left="284"/>
      </w:pPr>
      <w:r>
        <w:t>\end{document}</w:t>
      </w:r>
    </w:p>
    <w:p w:rsidR="006D5CF1" w:rsidRPr="0040115D" w:rsidRDefault="006D5CF1" w:rsidP="006D5CF1">
      <w:pPr>
        <w:spacing w:after="0"/>
        <w:ind w:left="284"/>
        <w:rPr>
          <w:b/>
          <w:sz w:val="28"/>
        </w:rPr>
      </w:pPr>
    </w:p>
    <w:p w:rsidR="006D5CF1" w:rsidRPr="0040115D" w:rsidRDefault="006D5CF1" w:rsidP="00B804F5">
      <w:pPr>
        <w:spacing w:after="0"/>
        <w:rPr>
          <w:b/>
          <w:sz w:val="28"/>
        </w:rPr>
      </w:pPr>
      <w:r w:rsidRPr="0040115D">
        <w:rPr>
          <w:b/>
          <w:sz w:val="28"/>
        </w:rPr>
        <w:t>Useful commands:</w:t>
      </w:r>
    </w:p>
    <w:tbl>
      <w:tblPr>
        <w:tblStyle w:val="HelleListe-Akzent3"/>
        <w:tblW w:w="0" w:type="auto"/>
        <w:tblLook w:val="04A0" w:firstRow="1" w:lastRow="0" w:firstColumn="1" w:lastColumn="0" w:noHBand="0" w:noVBand="1"/>
      </w:tblPr>
      <w:tblGrid>
        <w:gridCol w:w="4811"/>
        <w:gridCol w:w="4811"/>
      </w:tblGrid>
      <w:tr w:rsidR="006D5CF1" w:rsidTr="00D74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6D5CF1" w:rsidRDefault="006D5CF1" w:rsidP="006D5CF1">
            <w:r>
              <w:t>Command</w:t>
            </w:r>
          </w:p>
        </w:tc>
        <w:tc>
          <w:tcPr>
            <w:tcW w:w="4811" w:type="dxa"/>
          </w:tcPr>
          <w:p w:rsidR="006D5CF1" w:rsidRDefault="00D745BA" w:rsidP="006D5CF1">
            <w:pPr>
              <w:cnfStyle w:val="100000000000" w:firstRow="1" w:lastRow="0" w:firstColumn="0" w:lastColumn="0" w:oddVBand="0" w:evenVBand="0" w:oddHBand="0" w:evenHBand="0" w:firstRowFirstColumn="0" w:firstRowLastColumn="0" w:lastRowFirstColumn="0" w:lastRowLastColumn="0"/>
            </w:pPr>
            <w:r>
              <w:t>Result</w:t>
            </w:r>
          </w:p>
        </w:tc>
      </w:tr>
      <w:tr w:rsidR="006D5CF1" w:rsidTr="00D74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6D5CF1" w:rsidRDefault="00D745BA" w:rsidP="006D5CF1">
            <w:r>
              <w:t>\</w:t>
            </w:r>
            <w:proofErr w:type="spellStart"/>
            <w:r>
              <w:t>ldots</w:t>
            </w:r>
            <w:proofErr w:type="spellEnd"/>
          </w:p>
        </w:tc>
        <w:tc>
          <w:tcPr>
            <w:tcW w:w="4811" w:type="dxa"/>
          </w:tcPr>
          <w:p w:rsidR="00D745BA" w:rsidRDefault="00D745BA" w:rsidP="006D5CF1">
            <w:pPr>
              <w:cnfStyle w:val="000000100000" w:firstRow="0" w:lastRow="0" w:firstColumn="0" w:lastColumn="0" w:oddVBand="0" w:evenVBand="0" w:oddHBand="1" w:evenHBand="0" w:firstRowFirstColumn="0" w:firstRowLastColumn="0" w:lastRowFirstColumn="0" w:lastRowLastColumn="0"/>
            </w:pPr>
            <w:r>
              <w:t>…</w:t>
            </w:r>
          </w:p>
        </w:tc>
      </w:tr>
      <w:tr w:rsidR="00D745BA" w:rsidTr="00D745BA">
        <w:tc>
          <w:tcPr>
            <w:cnfStyle w:val="001000000000" w:firstRow="0" w:lastRow="0" w:firstColumn="1" w:lastColumn="0" w:oddVBand="0" w:evenVBand="0" w:oddHBand="0" w:evenHBand="0" w:firstRowFirstColumn="0" w:firstRowLastColumn="0" w:lastRowFirstColumn="0" w:lastRowLastColumn="0"/>
            <w:tcW w:w="4811" w:type="dxa"/>
          </w:tcPr>
          <w:p w:rsidR="00D745BA" w:rsidRDefault="00D745BA" w:rsidP="006D5CF1">
            <w:r>
              <w:t>\centering</w:t>
            </w:r>
          </w:p>
        </w:tc>
        <w:tc>
          <w:tcPr>
            <w:tcW w:w="4811" w:type="dxa"/>
          </w:tcPr>
          <w:p w:rsidR="00D745BA" w:rsidRDefault="00D745BA" w:rsidP="006D5CF1">
            <w:pPr>
              <w:cnfStyle w:val="000000000000" w:firstRow="0" w:lastRow="0" w:firstColumn="0" w:lastColumn="0" w:oddVBand="0" w:evenVBand="0" w:oddHBand="0" w:evenHBand="0" w:firstRowFirstColumn="0" w:firstRowLastColumn="0" w:lastRowFirstColumn="0" w:lastRowLastColumn="0"/>
            </w:pPr>
            <w:r>
              <w:t>Centers the following text</w:t>
            </w:r>
          </w:p>
        </w:tc>
      </w:tr>
      <w:tr w:rsidR="00D745BA" w:rsidTr="00D74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745BA" w:rsidRDefault="00D745BA" w:rsidP="006D5CF1">
            <w:r>
              <w:t>\</w:t>
            </w:r>
            <w:proofErr w:type="spellStart"/>
            <w:r>
              <w:t>smallskip</w:t>
            </w:r>
            <w:proofErr w:type="spellEnd"/>
            <w:r>
              <w:t>, \</w:t>
            </w:r>
            <w:proofErr w:type="spellStart"/>
            <w:r>
              <w:t>medskip</w:t>
            </w:r>
            <w:proofErr w:type="spellEnd"/>
            <w:r>
              <w:t>, \</w:t>
            </w:r>
            <w:proofErr w:type="spellStart"/>
            <w:r>
              <w:t>bigskip</w:t>
            </w:r>
            <w:proofErr w:type="spellEnd"/>
          </w:p>
        </w:tc>
        <w:tc>
          <w:tcPr>
            <w:tcW w:w="4811" w:type="dxa"/>
          </w:tcPr>
          <w:p w:rsidR="00D745BA" w:rsidRDefault="00D745BA" w:rsidP="006D5CF1">
            <w:pPr>
              <w:cnfStyle w:val="000000100000" w:firstRow="0" w:lastRow="0" w:firstColumn="0" w:lastColumn="0" w:oddVBand="0" w:evenVBand="0" w:oddHBand="1" w:evenHBand="0" w:firstRowFirstColumn="0" w:firstRowLastColumn="0" w:lastRowFirstColumn="0" w:lastRowLastColumn="0"/>
            </w:pPr>
            <w:r>
              <w:t>Small, medium, big gap to next item</w:t>
            </w:r>
          </w:p>
        </w:tc>
      </w:tr>
      <w:tr w:rsidR="00D745BA" w:rsidTr="00D745BA">
        <w:tc>
          <w:tcPr>
            <w:cnfStyle w:val="001000000000" w:firstRow="0" w:lastRow="0" w:firstColumn="1" w:lastColumn="0" w:oddVBand="0" w:evenVBand="0" w:oddHBand="0" w:evenHBand="0" w:firstRowFirstColumn="0" w:firstRowLastColumn="0" w:lastRowFirstColumn="0" w:lastRowLastColumn="0"/>
            <w:tcW w:w="4811" w:type="dxa"/>
          </w:tcPr>
          <w:p w:rsidR="00D745BA" w:rsidRDefault="00D745BA" w:rsidP="00D745BA">
            <w:r>
              <w:t>\</w:t>
            </w:r>
            <w:proofErr w:type="spellStart"/>
            <w:r>
              <w:t>vspace</w:t>
            </w:r>
            <w:proofErr w:type="spellEnd"/>
            <w:r>
              <w:t>{1cm}</w:t>
            </w:r>
          </w:p>
        </w:tc>
        <w:tc>
          <w:tcPr>
            <w:tcW w:w="4811" w:type="dxa"/>
          </w:tcPr>
          <w:p w:rsidR="00D745BA" w:rsidRDefault="00D745BA" w:rsidP="006D5CF1">
            <w:pPr>
              <w:cnfStyle w:val="000000000000" w:firstRow="0" w:lastRow="0" w:firstColumn="0" w:lastColumn="0" w:oddVBand="0" w:evenVBand="0" w:oddHBand="0" w:evenHBand="0" w:firstRowFirstColumn="0" w:firstRowLastColumn="0" w:lastRowFirstColumn="0" w:lastRowLastColumn="0"/>
            </w:pPr>
            <w:r>
              <w:t>Creates 1 cm whitespace</w:t>
            </w:r>
          </w:p>
        </w:tc>
      </w:tr>
      <w:tr w:rsidR="00142564" w:rsidTr="00D74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142564" w:rsidRDefault="00142564" w:rsidP="00D745BA">
            <w:r>
              <w:t>\</w:t>
            </w:r>
            <w:proofErr w:type="spellStart"/>
            <w:r>
              <w:t>printbibliography</w:t>
            </w:r>
            <w:proofErr w:type="spellEnd"/>
          </w:p>
        </w:tc>
        <w:tc>
          <w:tcPr>
            <w:tcW w:w="4811" w:type="dxa"/>
          </w:tcPr>
          <w:p w:rsidR="00142564" w:rsidRDefault="00142564" w:rsidP="006D5CF1">
            <w:pPr>
              <w:cnfStyle w:val="000000100000" w:firstRow="0" w:lastRow="0" w:firstColumn="0" w:lastColumn="0" w:oddVBand="0" w:evenVBand="0" w:oddHBand="1" w:evenHBand="0" w:firstRowFirstColumn="0" w:firstRowLastColumn="0" w:lastRowFirstColumn="0" w:lastRowLastColumn="0"/>
            </w:pPr>
            <w:r>
              <w:t xml:space="preserve">Prints the bibliography (using </w:t>
            </w:r>
            <w:proofErr w:type="spellStart"/>
            <w:r>
              <w:t>biblatex</w:t>
            </w:r>
            <w:proofErr w:type="spellEnd"/>
            <w:r>
              <w:t>)</w:t>
            </w:r>
          </w:p>
        </w:tc>
      </w:tr>
      <w:tr w:rsidR="0082647E" w:rsidTr="00D745BA">
        <w:tc>
          <w:tcPr>
            <w:cnfStyle w:val="001000000000" w:firstRow="0" w:lastRow="0" w:firstColumn="1" w:lastColumn="0" w:oddVBand="0" w:evenVBand="0" w:oddHBand="0" w:evenHBand="0" w:firstRowFirstColumn="0" w:firstRowLastColumn="0" w:lastRowFirstColumn="0" w:lastRowLastColumn="0"/>
            <w:tcW w:w="4811" w:type="dxa"/>
          </w:tcPr>
          <w:p w:rsidR="0082647E" w:rsidRDefault="0082647E" w:rsidP="00D745BA">
            <w:r>
              <w:rPr>
                <w:rStyle w:val="pl-c1"/>
              </w:rPr>
              <w:t>\</w:t>
            </w:r>
            <w:proofErr w:type="spellStart"/>
            <w:r>
              <w:rPr>
                <w:rStyle w:val="pl-c1"/>
              </w:rPr>
              <w:t>footnotemark</w:t>
            </w:r>
            <w:proofErr w:type="spellEnd"/>
            <w:r>
              <w:t>[1</w:t>
            </w:r>
            <w:r>
              <w:t>]</w:t>
            </w:r>
          </w:p>
        </w:tc>
        <w:tc>
          <w:tcPr>
            <w:tcW w:w="4811" w:type="dxa"/>
          </w:tcPr>
          <w:p w:rsidR="0082647E" w:rsidRDefault="0082647E" w:rsidP="006D5CF1">
            <w:pPr>
              <w:cnfStyle w:val="000000000000" w:firstRow="0" w:lastRow="0" w:firstColumn="0" w:lastColumn="0" w:oddVBand="0" w:evenVBand="0" w:oddHBand="0" w:evenHBand="0" w:firstRowFirstColumn="0" w:firstRowLastColumn="0" w:lastRowFirstColumn="0" w:lastRowLastColumn="0"/>
            </w:pPr>
            <w:r>
              <w:t>Prints the footnote-mark to footnote number 1</w:t>
            </w:r>
          </w:p>
        </w:tc>
      </w:tr>
    </w:tbl>
    <w:p w:rsidR="006D5CF1" w:rsidRDefault="006D5CF1" w:rsidP="006D5CF1">
      <w:pPr>
        <w:spacing w:after="0"/>
        <w:ind w:left="284"/>
      </w:pPr>
    </w:p>
    <w:p w:rsidR="00F53E39" w:rsidRPr="0040115D" w:rsidRDefault="008F0865" w:rsidP="0040115D">
      <w:pPr>
        <w:rPr>
          <w:b/>
          <w:sz w:val="28"/>
        </w:rPr>
      </w:pPr>
      <w:r w:rsidRPr="0040115D">
        <w:rPr>
          <w:b/>
          <w:sz w:val="28"/>
        </w:rPr>
        <w:t xml:space="preserve">Example </w:t>
      </w:r>
      <w:proofErr w:type="spellStart"/>
      <w:r w:rsidR="00F53E39" w:rsidRPr="0040115D">
        <w:rPr>
          <w:b/>
          <w:sz w:val="28"/>
        </w:rPr>
        <w:t>BibLaTeX</w:t>
      </w:r>
      <w:proofErr w:type="spellEnd"/>
      <w:r w:rsidR="00F53E39" w:rsidRPr="0040115D">
        <w:rPr>
          <w:b/>
          <w:sz w:val="28"/>
        </w:rPr>
        <w:t xml:space="preserve"> entries:</w:t>
      </w:r>
    </w:p>
    <w:p w:rsidR="00F53E39" w:rsidRDefault="00F53E39" w:rsidP="00F53E39">
      <w:pPr>
        <w:spacing w:after="0"/>
        <w:ind w:left="284"/>
      </w:pPr>
      <w:proofErr w:type="gramStart"/>
      <w:r>
        <w:t>@article{</w:t>
      </w:r>
      <w:proofErr w:type="gramEnd"/>
      <w:r>
        <w:t>KEY1</w:t>
      </w:r>
      <w:r>
        <w:t>,</w:t>
      </w:r>
      <w:r>
        <w:t xml:space="preserve"> % this is used for journal articles</w:t>
      </w:r>
    </w:p>
    <w:p w:rsidR="00F53E39" w:rsidRDefault="00F53E39" w:rsidP="00F53E39">
      <w:pPr>
        <w:spacing w:after="0"/>
        <w:ind w:left="284"/>
      </w:pPr>
      <w:r>
        <w:t xml:space="preserve">  </w:t>
      </w:r>
      <w:proofErr w:type="gramStart"/>
      <w:r>
        <w:t>title</w:t>
      </w:r>
      <w:proofErr w:type="gramEnd"/>
      <w:r>
        <w:t>={</w:t>
      </w:r>
      <w:r>
        <w:t xml:space="preserve">TITLE OF THE ARTICLE </w:t>
      </w:r>
      <w:r>
        <w:t>},</w:t>
      </w:r>
    </w:p>
    <w:p w:rsidR="00F53E39" w:rsidRDefault="00F53E39" w:rsidP="00F53E39">
      <w:pPr>
        <w:spacing w:after="0"/>
        <w:ind w:left="284"/>
      </w:pPr>
      <w:r>
        <w:t xml:space="preserve">  </w:t>
      </w:r>
      <w:proofErr w:type="gramStart"/>
      <w:r>
        <w:t>author</w:t>
      </w:r>
      <w:proofErr w:type="gramEnd"/>
      <w:r>
        <w:t>={</w:t>
      </w:r>
      <w:r>
        <w:t>LastName1</w:t>
      </w:r>
      <w:r>
        <w:t xml:space="preserve">, </w:t>
      </w:r>
      <w:r>
        <w:t>FirstName1</w:t>
      </w:r>
      <w:r>
        <w:t xml:space="preserve"> and</w:t>
      </w:r>
      <w:r>
        <w:t xml:space="preserve"> LastName2</w:t>
      </w:r>
      <w:r>
        <w:t>,</w:t>
      </w:r>
      <w:r>
        <w:t xml:space="preserve"> FirstName2</w:t>
      </w:r>
      <w:r>
        <w:t>},</w:t>
      </w:r>
    </w:p>
    <w:p w:rsidR="00F53E39" w:rsidRDefault="00F53E39" w:rsidP="00F53E39">
      <w:pPr>
        <w:spacing w:after="0"/>
        <w:ind w:left="284"/>
      </w:pPr>
      <w:r>
        <w:t xml:space="preserve">  </w:t>
      </w:r>
      <w:proofErr w:type="gramStart"/>
      <w:r>
        <w:t>journal</w:t>
      </w:r>
      <w:proofErr w:type="gramEnd"/>
      <w:r>
        <w:t>={</w:t>
      </w:r>
      <w:proofErr w:type="spellStart"/>
      <w:r>
        <w:t>Journal</w:t>
      </w:r>
      <w:r>
        <w:t>Name</w:t>
      </w:r>
      <w:proofErr w:type="spellEnd"/>
      <w:r>
        <w:t>},</w:t>
      </w:r>
    </w:p>
    <w:p w:rsidR="00F53E39" w:rsidRDefault="00F53E39" w:rsidP="00F53E39">
      <w:pPr>
        <w:spacing w:after="0"/>
        <w:ind w:left="284"/>
      </w:pPr>
      <w:r>
        <w:t xml:space="preserve">  </w:t>
      </w:r>
      <w:proofErr w:type="gramStart"/>
      <w:r>
        <w:t>volume</w:t>
      </w:r>
      <w:proofErr w:type="gramEnd"/>
      <w:r>
        <w:t>={</w:t>
      </w:r>
      <w:r>
        <w:t>123</w:t>
      </w:r>
      <w:r>
        <w:t>},</w:t>
      </w:r>
    </w:p>
    <w:p w:rsidR="00F53E39" w:rsidRDefault="00F53E39" w:rsidP="00F53E39">
      <w:pPr>
        <w:spacing w:after="0"/>
        <w:ind w:left="284"/>
      </w:pPr>
      <w:r>
        <w:t xml:space="preserve">  </w:t>
      </w:r>
      <w:proofErr w:type="gramStart"/>
      <w:r>
        <w:t>number</w:t>
      </w:r>
      <w:proofErr w:type="gramEnd"/>
      <w:r>
        <w:t>={</w:t>
      </w:r>
      <w:r>
        <w:t>2</w:t>
      </w:r>
      <w:r>
        <w:t>},</w:t>
      </w:r>
    </w:p>
    <w:p w:rsidR="00F53E39" w:rsidRDefault="00F53E39" w:rsidP="00F53E39">
      <w:pPr>
        <w:spacing w:after="0"/>
        <w:ind w:left="284"/>
      </w:pPr>
      <w:r>
        <w:t xml:space="preserve">  </w:t>
      </w:r>
      <w:proofErr w:type="gramStart"/>
      <w:r>
        <w:t>pages</w:t>
      </w:r>
      <w:proofErr w:type="gramEnd"/>
      <w:r>
        <w:t>={</w:t>
      </w:r>
      <w:r>
        <w:t>123</w:t>
      </w:r>
      <w:r>
        <w:t>--</w:t>
      </w:r>
      <w:r>
        <w:t>152</w:t>
      </w:r>
      <w:r>
        <w:t>},</w:t>
      </w:r>
    </w:p>
    <w:p w:rsidR="00F53E39" w:rsidRDefault="00F53E39" w:rsidP="00F53E39">
      <w:pPr>
        <w:spacing w:after="0"/>
        <w:ind w:left="284"/>
      </w:pPr>
      <w:r>
        <w:t xml:space="preserve">  </w:t>
      </w:r>
      <w:proofErr w:type="gramStart"/>
      <w:r>
        <w:t>year</w:t>
      </w:r>
      <w:proofErr w:type="gramEnd"/>
      <w:r>
        <w:t>={</w:t>
      </w:r>
      <w:r>
        <w:t>2016</w:t>
      </w:r>
      <w:r>
        <w:t>}</w:t>
      </w:r>
    </w:p>
    <w:p w:rsidR="00F53E39" w:rsidRDefault="00F53E39" w:rsidP="00F53E39">
      <w:pPr>
        <w:spacing w:after="0"/>
        <w:ind w:left="284"/>
      </w:pPr>
      <w:r>
        <w:t>}</w:t>
      </w:r>
    </w:p>
    <w:p w:rsidR="00F53E39" w:rsidRDefault="00F53E39" w:rsidP="00F53E39">
      <w:pPr>
        <w:spacing w:after="0"/>
        <w:ind w:left="284"/>
      </w:pPr>
      <w:proofErr w:type="gramStart"/>
      <w:r>
        <w:t>@article{</w:t>
      </w:r>
      <w:proofErr w:type="gramEnd"/>
      <w:r>
        <w:t>KEY2</w:t>
      </w:r>
      <w:r>
        <w:t>,</w:t>
      </w:r>
      <w:r>
        <w:t xml:space="preserve"> % this can be used for newspapers</w:t>
      </w:r>
    </w:p>
    <w:p w:rsidR="00F53E39" w:rsidRDefault="00F53E39" w:rsidP="00F53E39">
      <w:pPr>
        <w:spacing w:after="0"/>
        <w:ind w:left="284"/>
      </w:pPr>
      <w:r>
        <w:t xml:space="preserve">  </w:t>
      </w:r>
      <w:proofErr w:type="gramStart"/>
      <w:r>
        <w:t>title</w:t>
      </w:r>
      <w:proofErr w:type="gramEnd"/>
      <w:r>
        <w:t>={</w:t>
      </w:r>
      <w:r>
        <w:t xml:space="preserve">TITLE OF THE ARTICLE </w:t>
      </w:r>
      <w:r>
        <w:t>},</w:t>
      </w:r>
    </w:p>
    <w:p w:rsidR="00F53E39" w:rsidRDefault="00F53E39" w:rsidP="00F53E39">
      <w:pPr>
        <w:spacing w:after="0"/>
        <w:ind w:left="284"/>
      </w:pPr>
      <w:r>
        <w:t xml:space="preserve">  </w:t>
      </w:r>
      <w:proofErr w:type="gramStart"/>
      <w:r>
        <w:t>author</w:t>
      </w:r>
      <w:proofErr w:type="gramEnd"/>
      <w:r>
        <w:t>={</w:t>
      </w:r>
      <w:r>
        <w:t>LastName1, FirstName1</w:t>
      </w:r>
      <w:r>
        <w:t>},</w:t>
      </w:r>
    </w:p>
    <w:p w:rsidR="00F53E39" w:rsidRDefault="00F53E39" w:rsidP="00F53E39">
      <w:pPr>
        <w:spacing w:after="0"/>
        <w:ind w:left="284"/>
      </w:pPr>
      <w:r>
        <w:t xml:space="preserve">  </w:t>
      </w:r>
      <w:proofErr w:type="gramStart"/>
      <w:r>
        <w:t>year</w:t>
      </w:r>
      <w:proofErr w:type="gramEnd"/>
      <w:r>
        <w:t>={</w:t>
      </w:r>
      <w:r>
        <w:t>2016</w:t>
      </w:r>
      <w:r>
        <w:t>},</w:t>
      </w:r>
    </w:p>
    <w:p w:rsidR="00F53E39" w:rsidRDefault="00F53E39" w:rsidP="00F53E39">
      <w:pPr>
        <w:spacing w:after="0"/>
        <w:ind w:left="284"/>
      </w:pPr>
      <w:r>
        <w:t xml:space="preserve">  </w:t>
      </w:r>
      <w:proofErr w:type="gramStart"/>
      <w:r>
        <w:t>month</w:t>
      </w:r>
      <w:proofErr w:type="gramEnd"/>
      <w:r>
        <w:t>={April 1},</w:t>
      </w:r>
    </w:p>
    <w:p w:rsidR="00F53E39" w:rsidRDefault="00F53E39" w:rsidP="00F53E39">
      <w:pPr>
        <w:spacing w:after="0"/>
        <w:ind w:left="284"/>
      </w:pPr>
      <w:r>
        <w:t xml:space="preserve">  </w:t>
      </w:r>
      <w:proofErr w:type="gramStart"/>
      <w:r>
        <w:t>journal</w:t>
      </w:r>
      <w:proofErr w:type="gramEnd"/>
      <w:r>
        <w:t>={The Wall Street Journal}</w:t>
      </w:r>
    </w:p>
    <w:p w:rsidR="00B804F5" w:rsidRDefault="00F53E39" w:rsidP="00F53E39">
      <w:pPr>
        <w:spacing w:after="0"/>
        <w:ind w:left="284"/>
      </w:pPr>
      <w:r>
        <w:t>}</w:t>
      </w:r>
      <w:r>
        <w:t xml:space="preserve"> </w:t>
      </w:r>
      <w:r w:rsidR="00B804F5">
        <w:br w:type="page"/>
      </w:r>
    </w:p>
    <w:p w:rsidR="006D5BB4" w:rsidRDefault="006D5BB4" w:rsidP="006D5BB4">
      <w:pPr>
        <w:pStyle w:val="Titel"/>
      </w:pPr>
      <w:r w:rsidRPr="006D5BB4">
        <w:lastRenderedPageBreak/>
        <w:t>A Rose.com by Any Other Name</w:t>
      </w:r>
    </w:p>
    <w:p w:rsidR="00E079A4" w:rsidRDefault="00E079A4" w:rsidP="00F10360">
      <w:pPr>
        <w:rPr>
          <w:b/>
          <w:bCs/>
        </w:rPr>
      </w:pPr>
      <w:r>
        <w:t>Michael J. Cooper</w:t>
      </w:r>
      <w:bookmarkStart w:id="0" w:name="_Ref468092525"/>
      <w:r>
        <w:rPr>
          <w:rStyle w:val="Funotenzeichen"/>
        </w:rPr>
        <w:footnoteReference w:id="1"/>
      </w:r>
      <w:bookmarkEnd w:id="0"/>
      <w:r>
        <w:t xml:space="preserve">, </w:t>
      </w:r>
      <w:proofErr w:type="spellStart"/>
      <w:r>
        <w:t>Orlin</w:t>
      </w:r>
      <w:proofErr w:type="spellEnd"/>
      <w:r>
        <w:t xml:space="preserve"> Dimitrov</w:t>
      </w:r>
      <w:r w:rsidR="00332FFE" w:rsidRPr="00332FFE">
        <w:rPr>
          <w:rStyle w:val="Funotenzeichen"/>
        </w:rPr>
        <w:t>1</w:t>
      </w:r>
      <w:r>
        <w:t xml:space="preserve">, and P. </w:t>
      </w:r>
      <w:proofErr w:type="spellStart"/>
      <w:r>
        <w:t>Raghavendra</w:t>
      </w:r>
      <w:proofErr w:type="spellEnd"/>
      <w:r>
        <w:t xml:space="preserve"> Rau</w:t>
      </w:r>
      <w:r w:rsidR="00332FFE" w:rsidRPr="00332FFE">
        <w:rPr>
          <w:rStyle w:val="Funotenzeichen"/>
        </w:rPr>
        <w:t>1</w:t>
      </w:r>
    </w:p>
    <w:p w:rsidR="00C449D7" w:rsidRPr="007E5693" w:rsidRDefault="007E5693" w:rsidP="00B27527">
      <w:pPr>
        <w:pStyle w:val="berschrift1"/>
        <w:ind w:left="709" w:right="901"/>
      </w:pPr>
      <w:bookmarkStart w:id="1" w:name="_Toc468097659"/>
      <w:r w:rsidRPr="007E5693">
        <w:t>Abstract</w:t>
      </w:r>
      <w:bookmarkEnd w:id="1"/>
    </w:p>
    <w:p w:rsidR="00F10360" w:rsidRDefault="00E079A4" w:rsidP="00F10360">
      <w:pPr>
        <w:spacing w:after="0"/>
        <w:ind w:left="709" w:right="901"/>
      </w:pPr>
      <w:r>
        <w:t xml:space="preserve">We document a striking positive stock price reaction to the announcement of corporate name changes to Internet-related dotcom names. This “dotcom” effect produces cumulative abnormal returns on the order of 74 percent for the 10 days surrounding the announcement day. The effect does not appear to be transitory; there is no evidence of a </w:t>
      </w:r>
      <w:proofErr w:type="spellStart"/>
      <w:r>
        <w:t>postannouncement</w:t>
      </w:r>
      <w:proofErr w:type="spellEnd"/>
      <w:r>
        <w:t xml:space="preserve"> negative drift. The announcement day effect is also similar across all firms, regardless of the firm’s level of involvement with the Internet. A mere association with the Internet seems enough to provide a firm with a large and permanent value increase.</w:t>
      </w:r>
    </w:p>
    <w:p w:rsidR="006D5BB4" w:rsidRDefault="006D5BB4" w:rsidP="00E079A4"/>
    <w:p w:rsidR="00F10360" w:rsidRDefault="00F10360" w:rsidP="00E079A4"/>
    <w:sdt>
      <w:sdtPr>
        <w:rPr>
          <w:lang w:val="de-DE"/>
        </w:rPr>
        <w:id w:val="-1526315278"/>
        <w:docPartObj>
          <w:docPartGallery w:val="Table of Contents"/>
          <w:docPartUnique/>
        </w:docPartObj>
      </w:sdtPr>
      <w:sdtEndPr>
        <w:rPr>
          <w:rFonts w:asciiTheme="minorHAnsi" w:eastAsiaTheme="minorHAnsi" w:hAnsiTheme="minorHAnsi" w:cstheme="minorBidi"/>
          <w:color w:val="auto"/>
          <w:sz w:val="22"/>
          <w:szCs w:val="22"/>
        </w:rPr>
      </w:sdtEndPr>
      <w:sdtContent>
        <w:p w:rsidR="00F10360" w:rsidRDefault="00F10360">
          <w:pPr>
            <w:pStyle w:val="Inhaltsverzeichnisberschrift"/>
          </w:pPr>
          <w:r>
            <w:rPr>
              <w:lang w:val="de-DE"/>
            </w:rPr>
            <w:t>Inhalt</w:t>
          </w:r>
        </w:p>
        <w:p w:rsidR="00E060B6" w:rsidRDefault="00F10360">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68097659" w:history="1">
            <w:r w:rsidR="00E060B6" w:rsidRPr="00313FD6">
              <w:rPr>
                <w:rStyle w:val="Hyperlink"/>
                <w:noProof/>
              </w:rPr>
              <w:t>Abstract</w:t>
            </w:r>
            <w:r w:rsidR="00E060B6">
              <w:rPr>
                <w:noProof/>
                <w:webHidden/>
              </w:rPr>
              <w:tab/>
            </w:r>
            <w:r w:rsidR="00E060B6">
              <w:rPr>
                <w:noProof/>
                <w:webHidden/>
              </w:rPr>
              <w:fldChar w:fldCharType="begin"/>
            </w:r>
            <w:r w:rsidR="00E060B6">
              <w:rPr>
                <w:noProof/>
                <w:webHidden/>
              </w:rPr>
              <w:instrText xml:space="preserve"> PAGEREF _Toc468097659 \h </w:instrText>
            </w:r>
            <w:r w:rsidR="00E060B6">
              <w:rPr>
                <w:noProof/>
                <w:webHidden/>
              </w:rPr>
            </w:r>
            <w:r w:rsidR="00E060B6">
              <w:rPr>
                <w:noProof/>
                <w:webHidden/>
              </w:rPr>
              <w:fldChar w:fldCharType="separate"/>
            </w:r>
            <w:r w:rsidR="00E060B6">
              <w:rPr>
                <w:noProof/>
                <w:webHidden/>
              </w:rPr>
              <w:t>3</w:t>
            </w:r>
            <w:r w:rsidR="00E060B6">
              <w:rPr>
                <w:noProof/>
                <w:webHidden/>
              </w:rPr>
              <w:fldChar w:fldCharType="end"/>
            </w:r>
          </w:hyperlink>
        </w:p>
        <w:p w:rsidR="00E060B6" w:rsidRDefault="00E060B6">
          <w:pPr>
            <w:pStyle w:val="Verzeichnis1"/>
            <w:tabs>
              <w:tab w:val="right" w:leader="dot" w:pos="9396"/>
            </w:tabs>
            <w:rPr>
              <w:rFonts w:eastAsiaTheme="minorEastAsia"/>
              <w:noProof/>
            </w:rPr>
          </w:pPr>
          <w:hyperlink w:anchor="_Toc468097660" w:history="1">
            <w:r w:rsidRPr="00313FD6">
              <w:rPr>
                <w:rStyle w:val="Hyperlink"/>
                <w:noProof/>
              </w:rPr>
              <w:t>List of Tables</w:t>
            </w:r>
            <w:r>
              <w:rPr>
                <w:noProof/>
                <w:webHidden/>
              </w:rPr>
              <w:tab/>
            </w:r>
            <w:r>
              <w:rPr>
                <w:noProof/>
                <w:webHidden/>
              </w:rPr>
              <w:fldChar w:fldCharType="begin"/>
            </w:r>
            <w:r>
              <w:rPr>
                <w:noProof/>
                <w:webHidden/>
              </w:rPr>
              <w:instrText xml:space="preserve"> PAGEREF _Toc468097660 \h </w:instrText>
            </w:r>
            <w:r>
              <w:rPr>
                <w:noProof/>
                <w:webHidden/>
              </w:rPr>
            </w:r>
            <w:r>
              <w:rPr>
                <w:noProof/>
                <w:webHidden/>
              </w:rPr>
              <w:fldChar w:fldCharType="separate"/>
            </w:r>
            <w:r>
              <w:rPr>
                <w:noProof/>
                <w:webHidden/>
              </w:rPr>
              <w:t>3</w:t>
            </w:r>
            <w:r>
              <w:rPr>
                <w:noProof/>
                <w:webHidden/>
              </w:rPr>
              <w:fldChar w:fldCharType="end"/>
            </w:r>
          </w:hyperlink>
        </w:p>
        <w:p w:rsidR="00E060B6" w:rsidRDefault="00E060B6">
          <w:pPr>
            <w:pStyle w:val="Verzeichnis1"/>
            <w:tabs>
              <w:tab w:val="right" w:leader="dot" w:pos="9396"/>
            </w:tabs>
            <w:rPr>
              <w:rFonts w:eastAsiaTheme="minorEastAsia"/>
              <w:noProof/>
            </w:rPr>
          </w:pPr>
          <w:hyperlink w:anchor="_Toc468097661" w:history="1">
            <w:r w:rsidRPr="00313FD6">
              <w:rPr>
                <w:rStyle w:val="Hyperlink"/>
                <w:noProof/>
              </w:rPr>
              <w:t>List of Figures</w:t>
            </w:r>
            <w:r>
              <w:rPr>
                <w:noProof/>
                <w:webHidden/>
              </w:rPr>
              <w:tab/>
            </w:r>
            <w:r>
              <w:rPr>
                <w:noProof/>
                <w:webHidden/>
              </w:rPr>
              <w:fldChar w:fldCharType="begin"/>
            </w:r>
            <w:r>
              <w:rPr>
                <w:noProof/>
                <w:webHidden/>
              </w:rPr>
              <w:instrText xml:space="preserve"> PAGEREF _Toc468097661 \h </w:instrText>
            </w:r>
            <w:r>
              <w:rPr>
                <w:noProof/>
                <w:webHidden/>
              </w:rPr>
            </w:r>
            <w:r>
              <w:rPr>
                <w:noProof/>
                <w:webHidden/>
              </w:rPr>
              <w:fldChar w:fldCharType="separate"/>
            </w:r>
            <w:r>
              <w:rPr>
                <w:noProof/>
                <w:webHidden/>
              </w:rPr>
              <w:t>3</w:t>
            </w:r>
            <w:r>
              <w:rPr>
                <w:noProof/>
                <w:webHidden/>
              </w:rPr>
              <w:fldChar w:fldCharType="end"/>
            </w:r>
          </w:hyperlink>
        </w:p>
        <w:p w:rsidR="00E060B6" w:rsidRDefault="00E060B6">
          <w:pPr>
            <w:pStyle w:val="Verzeichnis1"/>
            <w:tabs>
              <w:tab w:val="left" w:pos="440"/>
              <w:tab w:val="right" w:leader="dot" w:pos="9396"/>
            </w:tabs>
            <w:rPr>
              <w:rFonts w:eastAsiaTheme="minorEastAsia"/>
              <w:noProof/>
            </w:rPr>
          </w:pPr>
          <w:hyperlink w:anchor="_Toc468097662" w:history="1">
            <w:r w:rsidRPr="00313FD6">
              <w:rPr>
                <w:rStyle w:val="Hyperlink"/>
                <w:noProof/>
              </w:rPr>
              <w:t>1.</w:t>
            </w:r>
            <w:r>
              <w:rPr>
                <w:rFonts w:eastAsiaTheme="minorEastAsia"/>
                <w:noProof/>
              </w:rPr>
              <w:tab/>
            </w:r>
            <w:r w:rsidRPr="00313FD6">
              <w:rPr>
                <w:rStyle w:val="Hyperlink"/>
                <w:noProof/>
              </w:rPr>
              <w:t>Data and Methodology</w:t>
            </w:r>
            <w:r>
              <w:rPr>
                <w:noProof/>
                <w:webHidden/>
              </w:rPr>
              <w:tab/>
            </w:r>
            <w:r>
              <w:rPr>
                <w:noProof/>
                <w:webHidden/>
              </w:rPr>
              <w:fldChar w:fldCharType="begin"/>
            </w:r>
            <w:r>
              <w:rPr>
                <w:noProof/>
                <w:webHidden/>
              </w:rPr>
              <w:instrText xml:space="preserve"> PAGEREF _Toc468097662 \h </w:instrText>
            </w:r>
            <w:r>
              <w:rPr>
                <w:noProof/>
                <w:webHidden/>
              </w:rPr>
            </w:r>
            <w:r>
              <w:rPr>
                <w:noProof/>
                <w:webHidden/>
              </w:rPr>
              <w:fldChar w:fldCharType="separate"/>
            </w:r>
            <w:r>
              <w:rPr>
                <w:noProof/>
                <w:webHidden/>
              </w:rPr>
              <w:t>4</w:t>
            </w:r>
            <w:r>
              <w:rPr>
                <w:noProof/>
                <w:webHidden/>
              </w:rPr>
              <w:fldChar w:fldCharType="end"/>
            </w:r>
          </w:hyperlink>
        </w:p>
        <w:p w:rsidR="00E060B6" w:rsidRDefault="00E060B6">
          <w:pPr>
            <w:pStyle w:val="Verzeichnis1"/>
            <w:tabs>
              <w:tab w:val="right" w:leader="dot" w:pos="9396"/>
            </w:tabs>
            <w:rPr>
              <w:rFonts w:eastAsiaTheme="minorEastAsia"/>
              <w:noProof/>
            </w:rPr>
          </w:pPr>
          <w:hyperlink w:anchor="_Toc468097663" w:history="1">
            <w:r w:rsidRPr="00313FD6">
              <w:rPr>
                <w:rStyle w:val="Hyperlink"/>
                <w:noProof/>
              </w:rPr>
              <w:t>References</w:t>
            </w:r>
            <w:r>
              <w:rPr>
                <w:noProof/>
                <w:webHidden/>
              </w:rPr>
              <w:tab/>
            </w:r>
            <w:r>
              <w:rPr>
                <w:noProof/>
                <w:webHidden/>
              </w:rPr>
              <w:fldChar w:fldCharType="begin"/>
            </w:r>
            <w:r>
              <w:rPr>
                <w:noProof/>
                <w:webHidden/>
              </w:rPr>
              <w:instrText xml:space="preserve"> PAGEREF _Toc468097663 \h </w:instrText>
            </w:r>
            <w:r>
              <w:rPr>
                <w:noProof/>
                <w:webHidden/>
              </w:rPr>
            </w:r>
            <w:r>
              <w:rPr>
                <w:noProof/>
                <w:webHidden/>
              </w:rPr>
              <w:fldChar w:fldCharType="separate"/>
            </w:r>
            <w:r>
              <w:rPr>
                <w:noProof/>
                <w:webHidden/>
              </w:rPr>
              <w:t>6</w:t>
            </w:r>
            <w:r>
              <w:rPr>
                <w:noProof/>
                <w:webHidden/>
              </w:rPr>
              <w:fldChar w:fldCharType="end"/>
            </w:r>
          </w:hyperlink>
        </w:p>
        <w:p w:rsidR="00F10360" w:rsidRDefault="00F10360">
          <w:r>
            <w:rPr>
              <w:b/>
              <w:bCs/>
              <w:lang w:val="de-DE"/>
            </w:rPr>
            <w:fldChar w:fldCharType="end"/>
          </w:r>
        </w:p>
      </w:sdtContent>
    </w:sdt>
    <w:p w:rsidR="00F10360" w:rsidRDefault="00E060B6" w:rsidP="00E060B6">
      <w:pPr>
        <w:pStyle w:val="berschrift1"/>
      </w:pPr>
      <w:bookmarkStart w:id="2" w:name="_Toc468097660"/>
      <w:r>
        <w:t>List of Tables</w:t>
      </w:r>
      <w:bookmarkEnd w:id="2"/>
    </w:p>
    <w:p w:rsidR="00F10360" w:rsidRDefault="00F10360">
      <w:pPr>
        <w:pStyle w:val="Abbildungsverzeichnis"/>
        <w:tabs>
          <w:tab w:val="right" w:leader="dot" w:pos="9396"/>
        </w:tabs>
        <w:rPr>
          <w:rFonts w:eastAsiaTheme="minorEastAsia"/>
          <w:noProof/>
        </w:rPr>
      </w:pPr>
      <w:r>
        <w:fldChar w:fldCharType="begin"/>
      </w:r>
      <w:r>
        <w:instrText xml:space="preserve"> TOC \h \z \c "Table" </w:instrText>
      </w:r>
      <w:r>
        <w:fldChar w:fldCharType="separate"/>
      </w:r>
      <w:hyperlink w:anchor="_Toc468097590" w:history="1">
        <w:r w:rsidRPr="00D42287">
          <w:rPr>
            <w:rStyle w:val="Hyperlink"/>
            <w:noProof/>
          </w:rPr>
          <w:t>Table 1: Description of the Sample</w:t>
        </w:r>
        <w:r>
          <w:rPr>
            <w:noProof/>
            <w:webHidden/>
          </w:rPr>
          <w:tab/>
        </w:r>
        <w:r>
          <w:rPr>
            <w:noProof/>
            <w:webHidden/>
          </w:rPr>
          <w:fldChar w:fldCharType="begin"/>
        </w:r>
        <w:r>
          <w:rPr>
            <w:noProof/>
            <w:webHidden/>
          </w:rPr>
          <w:instrText xml:space="preserve"> PAGEREF _Toc468097590 \h </w:instrText>
        </w:r>
        <w:r>
          <w:rPr>
            <w:noProof/>
            <w:webHidden/>
          </w:rPr>
        </w:r>
        <w:r>
          <w:rPr>
            <w:noProof/>
            <w:webHidden/>
          </w:rPr>
          <w:fldChar w:fldCharType="separate"/>
        </w:r>
        <w:r>
          <w:rPr>
            <w:noProof/>
            <w:webHidden/>
          </w:rPr>
          <w:t>4</w:t>
        </w:r>
        <w:r>
          <w:rPr>
            <w:noProof/>
            <w:webHidden/>
          </w:rPr>
          <w:fldChar w:fldCharType="end"/>
        </w:r>
      </w:hyperlink>
    </w:p>
    <w:p w:rsidR="00E060B6" w:rsidRDefault="00F10360" w:rsidP="00E060B6">
      <w:pPr>
        <w:pStyle w:val="berschrift1"/>
      </w:pPr>
      <w:r>
        <w:fldChar w:fldCharType="end"/>
      </w:r>
      <w:bookmarkStart w:id="3" w:name="_Toc468097661"/>
      <w:r w:rsidR="00E060B6">
        <w:t>List of Figures</w:t>
      </w:r>
      <w:bookmarkEnd w:id="3"/>
    </w:p>
    <w:p w:rsidR="009623ED" w:rsidRDefault="00F10360">
      <w:pPr>
        <w:pStyle w:val="Abbildungsverzeichnis"/>
        <w:tabs>
          <w:tab w:val="right" w:leader="dot" w:pos="9396"/>
        </w:tabs>
        <w:rPr>
          <w:rFonts w:eastAsiaTheme="minorEastAsia"/>
          <w:noProof/>
        </w:rPr>
      </w:pPr>
      <w:r>
        <w:fldChar w:fldCharType="begin"/>
      </w:r>
      <w:r>
        <w:instrText xml:space="preserve"> TOC \h \z \c "Figure" </w:instrText>
      </w:r>
      <w:r>
        <w:fldChar w:fldCharType="separate"/>
      </w:r>
      <w:hyperlink w:anchor="_Toc468097626" w:history="1">
        <w:r w:rsidR="009623ED" w:rsidRPr="002847EA">
          <w:rPr>
            <w:rStyle w:val="Hyperlink"/>
            <w:noProof/>
          </w:rPr>
          <w:t>Figure 1: Cumulative abnormal returns earned around the announcement date by firms changing their names to dotcom names.</w:t>
        </w:r>
        <w:r w:rsidR="009623ED">
          <w:rPr>
            <w:noProof/>
            <w:webHidden/>
          </w:rPr>
          <w:tab/>
        </w:r>
        <w:r w:rsidR="009623ED">
          <w:rPr>
            <w:noProof/>
            <w:webHidden/>
          </w:rPr>
          <w:fldChar w:fldCharType="begin"/>
        </w:r>
        <w:r w:rsidR="009623ED">
          <w:rPr>
            <w:noProof/>
            <w:webHidden/>
          </w:rPr>
          <w:instrText xml:space="preserve"> PAGEREF _Toc468097626 \h </w:instrText>
        </w:r>
        <w:r w:rsidR="009623ED">
          <w:rPr>
            <w:noProof/>
            <w:webHidden/>
          </w:rPr>
        </w:r>
        <w:r w:rsidR="009623ED">
          <w:rPr>
            <w:noProof/>
            <w:webHidden/>
          </w:rPr>
          <w:fldChar w:fldCharType="separate"/>
        </w:r>
        <w:r w:rsidR="009623ED">
          <w:rPr>
            <w:noProof/>
            <w:webHidden/>
          </w:rPr>
          <w:t>6</w:t>
        </w:r>
        <w:r w:rsidR="009623ED">
          <w:rPr>
            <w:noProof/>
            <w:webHidden/>
          </w:rPr>
          <w:fldChar w:fldCharType="end"/>
        </w:r>
      </w:hyperlink>
    </w:p>
    <w:p w:rsidR="00F10360" w:rsidRDefault="00F10360">
      <w:r>
        <w:fldChar w:fldCharType="end"/>
      </w:r>
      <w:bookmarkStart w:id="4" w:name="_GoBack"/>
      <w:bookmarkEnd w:id="4"/>
      <w:r>
        <w:br w:type="page"/>
      </w:r>
    </w:p>
    <w:p w:rsidR="00E079A4" w:rsidRDefault="00E079A4" w:rsidP="00E079A4">
      <w:r>
        <w:lastRenderedPageBreak/>
        <w:t xml:space="preserve">The popular financial press has long argued that corporate name changes result in permanent value creation for firms. Analysts claim that investors prefer certain types of names, and that the value of a company’s name should </w:t>
      </w:r>
      <w:r w:rsidR="00B92022">
        <w:t>be ref</w:t>
      </w:r>
      <w:r>
        <w:t xml:space="preserve">lected in the stock price. However, the academic literature has found little evidence that the announcement of a name change results in a positive stock price reaction for the firm. </w:t>
      </w:r>
      <w:proofErr w:type="spellStart"/>
      <w:r>
        <w:t>Karpoff</w:t>
      </w:r>
      <w:proofErr w:type="spellEnd"/>
      <w:r>
        <w:t xml:space="preserve"> and Rankine (1994) find that companies changing their names earn a statistically ins</w:t>
      </w:r>
      <w:r w:rsidR="007030CE">
        <w:t>ignificant excess return of 0.4</w:t>
      </w:r>
      <w:r w:rsidR="00B27527">
        <w:t>%</w:t>
      </w:r>
      <w:r>
        <w:t xml:space="preserve"> over a 2-day window around the announcement date. They also find that corporate name changes do not correspond to changes in the </w:t>
      </w:r>
      <w:proofErr w:type="spellStart"/>
      <w:r>
        <w:t>covariances</w:t>
      </w:r>
      <w:proofErr w:type="spellEnd"/>
      <w:r>
        <w:t xml:space="preserve"> of the firm’s stock returns with other firms’ returns in the same industry nor do they correspond to changes in earnings. </w:t>
      </w:r>
      <w:proofErr w:type="gramStart"/>
      <w:r>
        <w:t xml:space="preserve">Bosch and </w:t>
      </w:r>
      <w:proofErr w:type="spellStart"/>
      <w:r>
        <w:t>Hirschey</w:t>
      </w:r>
      <w:proofErr w:type="spellEnd"/>
      <w:r>
        <w:t xml:space="preserve"> (1989) report that firms announcing name changes earn a statistically insignificant </w:t>
      </w:r>
      <w:r w:rsidR="00B27527">
        <w:t>excess return of 1.62%</w:t>
      </w:r>
      <w:r>
        <w:t xml:space="preserve"> in a 21-day period around the announcement date.</w:t>
      </w:r>
      <w:proofErr w:type="gramEnd"/>
      <w:r>
        <w:t xml:space="preserve"> They find a positive preannouncement effect followed by a negative </w:t>
      </w:r>
      <w:proofErr w:type="spellStart"/>
      <w:r>
        <w:t>postannouncement</w:t>
      </w:r>
      <w:proofErr w:type="spellEnd"/>
      <w:r>
        <w:t xml:space="preserve"> drift, which largely cancels the announcement effect.</w:t>
      </w:r>
    </w:p>
    <w:p w:rsidR="00E079A4" w:rsidRDefault="00E079A4" w:rsidP="00E079A4">
      <w:r>
        <w:t>[…]</w:t>
      </w:r>
    </w:p>
    <w:p w:rsidR="00E079A4" w:rsidRDefault="00B27527" w:rsidP="00B27527">
      <w:r w:rsidRPr="00B27527">
        <w:t>Reports of the excesses in these times bear a striking resemblance to reports in the popular press on Internet-related stocks. For example, the Wall Street Journal reports that Computer Literacy, Inc</w:t>
      </w:r>
      <w:proofErr w:type="gramStart"/>
      <w:r w:rsidRPr="00B27527">
        <w:t>.,</w:t>
      </w:r>
      <w:proofErr w:type="gramEnd"/>
      <w:r w:rsidRPr="00B27527">
        <w:t xml:space="preserve"> changed its name recently to fatbrain.com because customers kept forgetting or misspelling its Internet address computerliteracy.com. The shares of the company jumped by 33</w:t>
      </w:r>
      <w:r>
        <w:t>%</w:t>
      </w:r>
      <w:r w:rsidRPr="00B27527">
        <w:t xml:space="preserve"> to $20.75 the day before the company sent out an advisory about a name change, when leaks about the name hit Web chat forums (Wingfield (1999</w:t>
      </w:r>
      <w:r>
        <w:t>))</w:t>
      </w:r>
      <w:r w:rsidRPr="00B27527">
        <w:t xml:space="preserve">. The desperation of investors to buy stock in the Internet business has also been reported in several articles. For example, Ewing (1999) reports in the Wall Street Journal that when </w:t>
      </w:r>
      <w:proofErr w:type="spellStart"/>
      <w:r w:rsidRPr="00B27527">
        <w:t>AppNet</w:t>
      </w:r>
      <w:proofErr w:type="spellEnd"/>
      <w:r w:rsidRPr="00B27527">
        <w:t xml:space="preserve"> Systems, Inc., filed for an initial public offering under the symbol APPN, investors began buying shares of Appian Technology, Inc., an inactive circuit manufacturer trading on the Nasdaq OTC Bulletin Board under the same APPN symbol, even before the IPO of </w:t>
      </w:r>
      <w:proofErr w:type="spellStart"/>
      <w:r w:rsidRPr="00B27527">
        <w:t>AppNet</w:t>
      </w:r>
      <w:proofErr w:type="spellEnd"/>
      <w:r w:rsidRPr="00B27527">
        <w:t xml:space="preserve"> Systems. Appian Technology earned </w:t>
      </w:r>
      <w:r w:rsidR="0067347F">
        <w:t>returns of 142</w:t>
      </w:r>
      <w:r w:rsidR="0081212B">
        <w:t>,</w:t>
      </w:r>
      <w:r w:rsidR="0067347F">
        <w:t>757</w:t>
      </w:r>
      <w:r>
        <w:t>%</w:t>
      </w:r>
      <w:r w:rsidRPr="00B27527">
        <w:t xml:space="preserve"> in the two days after the filing, with over 7.3 million shares being traded compared with 200 shares the day before the filing.</w:t>
      </w:r>
    </w:p>
    <w:p w:rsidR="00583C9C" w:rsidRDefault="00583C9C" w:rsidP="00B27527">
      <w:r>
        <w:t>[…]</w:t>
      </w:r>
    </w:p>
    <w:p w:rsidR="00B27527" w:rsidRDefault="00583C9C" w:rsidP="00583C9C">
      <w:pPr>
        <w:pStyle w:val="berschrift1"/>
        <w:numPr>
          <w:ilvl w:val="0"/>
          <w:numId w:val="2"/>
        </w:numPr>
      </w:pPr>
      <w:bookmarkStart w:id="5" w:name="_Toc468097662"/>
      <w:r>
        <w:t>Data and Methodology</w:t>
      </w:r>
      <w:bookmarkEnd w:id="5"/>
    </w:p>
    <w:p w:rsidR="00583C9C" w:rsidRDefault="00583C9C" w:rsidP="00583C9C">
      <w:r>
        <w:t>[…]</w:t>
      </w:r>
    </w:p>
    <w:p w:rsidR="007A78F2" w:rsidRDefault="007A78F2" w:rsidP="007A78F2">
      <w:pPr>
        <w:pStyle w:val="Beschriftung"/>
        <w:keepNext/>
      </w:pPr>
      <w:bookmarkStart w:id="6" w:name="_Toc468097590"/>
      <w:r>
        <w:t xml:space="preserve">Table </w:t>
      </w:r>
      <w:r>
        <w:fldChar w:fldCharType="begin"/>
      </w:r>
      <w:r>
        <w:instrText xml:space="preserve"> SEQ Table \* ARABIC </w:instrText>
      </w:r>
      <w:r>
        <w:fldChar w:fldCharType="separate"/>
      </w:r>
      <w:r w:rsidR="00FC351E">
        <w:rPr>
          <w:noProof/>
        </w:rPr>
        <w:t>1</w:t>
      </w:r>
      <w:r>
        <w:fldChar w:fldCharType="end"/>
      </w:r>
      <w:r>
        <w:t>: Description of the Sample</w:t>
      </w:r>
      <w:bookmarkEnd w:id="6"/>
    </w:p>
    <w:p w:rsidR="007A78F2" w:rsidRDefault="007A78F2" w:rsidP="00583C9C">
      <w:r w:rsidRPr="007A78F2">
        <w:t>This table describes the sample of companies that changed their names to dotcom names between June 1998 and July 1999. Firms are divided into subcategories based on their level of involvement with the Internet. The categories are: Category 1: Pure Internet companies; Category 2: Companies that have some prior involvement in the Internet and c</w:t>
      </w:r>
      <w:r w:rsidR="00D82818">
        <w:t>hange their names to better ref</w:t>
      </w:r>
      <w:r w:rsidRPr="007A78F2">
        <w:t>lect this involvement; Category 3: Companies which change their focus completely from non-Internet to Internet; Category 4: Companies whose core business is not Internet</w:t>
      </w:r>
      <w:r>
        <w:t>-</w:t>
      </w:r>
      <w:r w:rsidRPr="007A78F2">
        <w:t>related. Because of the difficulty in obtaining exact announceme</w:t>
      </w:r>
      <w:r>
        <w:t>nt dates, the announcement day (</w:t>
      </w:r>
      <w:r w:rsidRPr="007A78F2">
        <w:t>day zero</w:t>
      </w:r>
      <w:r>
        <w:t>)</w:t>
      </w:r>
      <w:r w:rsidRPr="007A78F2">
        <w:t xml:space="preserve"> is defined as the first available information on the name change, whether from an announcement or effective trading day.</w:t>
      </w:r>
    </w:p>
    <w:tbl>
      <w:tblPr>
        <w:tblStyle w:val="Tabellenraster"/>
        <w:tblW w:w="0" w:type="auto"/>
        <w:tblLook w:val="04A0" w:firstRow="1" w:lastRow="0" w:firstColumn="1" w:lastColumn="0" w:noHBand="0" w:noVBand="1"/>
      </w:tblPr>
      <w:tblGrid>
        <w:gridCol w:w="6345"/>
        <w:gridCol w:w="3277"/>
      </w:tblGrid>
      <w:tr w:rsidR="007A78F2" w:rsidTr="004E2190">
        <w:tc>
          <w:tcPr>
            <w:tcW w:w="6345" w:type="dxa"/>
          </w:tcPr>
          <w:p w:rsidR="007A78F2" w:rsidRDefault="007A78F2" w:rsidP="00583C9C">
            <w:r>
              <w:t>Initial Number of firms in sample</w:t>
            </w:r>
          </w:p>
        </w:tc>
        <w:tc>
          <w:tcPr>
            <w:tcW w:w="3277" w:type="dxa"/>
          </w:tcPr>
          <w:p w:rsidR="007A78F2" w:rsidRDefault="007A78F2" w:rsidP="00583C9C">
            <w:r>
              <w:t>147</w:t>
            </w:r>
          </w:p>
        </w:tc>
      </w:tr>
      <w:tr w:rsidR="007A78F2" w:rsidTr="004E2190">
        <w:tc>
          <w:tcPr>
            <w:tcW w:w="6345" w:type="dxa"/>
          </w:tcPr>
          <w:p w:rsidR="007A78F2" w:rsidRDefault="007A78F2" w:rsidP="00583C9C">
            <w:r>
              <w:lastRenderedPageBreak/>
              <w:t>Deleted due to mergers and acquisitions</w:t>
            </w:r>
          </w:p>
        </w:tc>
        <w:tc>
          <w:tcPr>
            <w:tcW w:w="3277" w:type="dxa"/>
          </w:tcPr>
          <w:p w:rsidR="007A78F2" w:rsidRDefault="007A78F2" w:rsidP="00583C9C">
            <w:r>
              <w:t>37</w:t>
            </w:r>
          </w:p>
        </w:tc>
      </w:tr>
      <w:tr w:rsidR="007A78F2" w:rsidTr="004E2190">
        <w:tc>
          <w:tcPr>
            <w:tcW w:w="6345" w:type="dxa"/>
          </w:tcPr>
          <w:p w:rsidR="007A78F2" w:rsidRDefault="007A78F2" w:rsidP="007A78F2">
            <w:pPr>
              <w:tabs>
                <w:tab w:val="left" w:pos="1005"/>
              </w:tabs>
            </w:pPr>
            <w:r>
              <w:t>Deleted due to new stock issuance, uncertain event date, spin-offs, going private before name change</w:t>
            </w:r>
          </w:p>
        </w:tc>
        <w:tc>
          <w:tcPr>
            <w:tcW w:w="3277" w:type="dxa"/>
          </w:tcPr>
          <w:p w:rsidR="007A78F2" w:rsidRDefault="007A78F2" w:rsidP="00583C9C">
            <w:r>
              <w:t>15</w:t>
            </w:r>
          </w:p>
        </w:tc>
      </w:tr>
      <w:tr w:rsidR="007A78F2" w:rsidTr="004E2190">
        <w:tc>
          <w:tcPr>
            <w:tcW w:w="6345" w:type="dxa"/>
          </w:tcPr>
          <w:p w:rsidR="007A78F2" w:rsidRDefault="007A78F2" w:rsidP="00583C9C">
            <w:r>
              <w:t>Total number of remaining firms</w:t>
            </w:r>
          </w:p>
        </w:tc>
        <w:tc>
          <w:tcPr>
            <w:tcW w:w="3277" w:type="dxa"/>
          </w:tcPr>
          <w:p w:rsidR="007A78F2" w:rsidRDefault="007A78F2" w:rsidP="00583C9C">
            <w:r>
              <w:t>95</w:t>
            </w:r>
          </w:p>
        </w:tc>
      </w:tr>
      <w:tr w:rsidR="007A78F2" w:rsidTr="004E2190">
        <w:tc>
          <w:tcPr>
            <w:tcW w:w="6345" w:type="dxa"/>
          </w:tcPr>
          <w:p w:rsidR="007A78F2" w:rsidRDefault="007A78F2" w:rsidP="00583C9C"/>
        </w:tc>
        <w:tc>
          <w:tcPr>
            <w:tcW w:w="3277" w:type="dxa"/>
          </w:tcPr>
          <w:p w:rsidR="007A78F2" w:rsidRDefault="007A78F2" w:rsidP="00583C9C">
            <w:r>
              <w:t>First of either effective or announcement dates</w:t>
            </w:r>
          </w:p>
        </w:tc>
      </w:tr>
      <w:tr w:rsidR="007A78F2" w:rsidTr="004E2190">
        <w:tc>
          <w:tcPr>
            <w:tcW w:w="6345" w:type="dxa"/>
          </w:tcPr>
          <w:p w:rsidR="007A78F2" w:rsidRDefault="007A78F2" w:rsidP="00583C9C">
            <w:r>
              <w:t>Total remaining firms after deletions</w:t>
            </w:r>
          </w:p>
        </w:tc>
        <w:tc>
          <w:tcPr>
            <w:tcW w:w="3277" w:type="dxa"/>
          </w:tcPr>
          <w:p w:rsidR="007A78F2" w:rsidRDefault="007A78F2" w:rsidP="00583C9C">
            <w:r>
              <w:t>95</w:t>
            </w:r>
          </w:p>
        </w:tc>
      </w:tr>
      <w:tr w:rsidR="007A78F2" w:rsidTr="004E2190">
        <w:tc>
          <w:tcPr>
            <w:tcW w:w="6345" w:type="dxa"/>
          </w:tcPr>
          <w:p w:rsidR="007A78F2" w:rsidRDefault="007A78F2" w:rsidP="00583C9C">
            <w:r>
              <w:t>Category 1</w:t>
            </w:r>
          </w:p>
        </w:tc>
        <w:tc>
          <w:tcPr>
            <w:tcW w:w="3277" w:type="dxa"/>
          </w:tcPr>
          <w:p w:rsidR="007A78F2" w:rsidRDefault="007A78F2" w:rsidP="00583C9C">
            <w:r>
              <w:t>29</w:t>
            </w:r>
          </w:p>
        </w:tc>
      </w:tr>
      <w:tr w:rsidR="007A78F2" w:rsidTr="004E2190">
        <w:tc>
          <w:tcPr>
            <w:tcW w:w="6345" w:type="dxa"/>
          </w:tcPr>
          <w:p w:rsidR="007A78F2" w:rsidRDefault="007A78F2" w:rsidP="00583C9C">
            <w:r>
              <w:t>Category 2</w:t>
            </w:r>
          </w:p>
        </w:tc>
        <w:tc>
          <w:tcPr>
            <w:tcW w:w="3277" w:type="dxa"/>
          </w:tcPr>
          <w:p w:rsidR="007A78F2" w:rsidRDefault="007A78F2" w:rsidP="00583C9C">
            <w:r>
              <w:t>31</w:t>
            </w:r>
          </w:p>
        </w:tc>
      </w:tr>
      <w:tr w:rsidR="007A78F2" w:rsidTr="004E2190">
        <w:tc>
          <w:tcPr>
            <w:tcW w:w="6345" w:type="dxa"/>
          </w:tcPr>
          <w:p w:rsidR="007A78F2" w:rsidRDefault="007A78F2" w:rsidP="00583C9C">
            <w:r>
              <w:t xml:space="preserve">Category 3 </w:t>
            </w:r>
          </w:p>
        </w:tc>
        <w:tc>
          <w:tcPr>
            <w:tcW w:w="3277" w:type="dxa"/>
          </w:tcPr>
          <w:p w:rsidR="007A78F2" w:rsidRDefault="007A78F2" w:rsidP="00583C9C">
            <w:r>
              <w:t>25</w:t>
            </w:r>
          </w:p>
        </w:tc>
      </w:tr>
      <w:tr w:rsidR="007A78F2" w:rsidTr="004E2190">
        <w:tc>
          <w:tcPr>
            <w:tcW w:w="6345" w:type="dxa"/>
          </w:tcPr>
          <w:p w:rsidR="007A78F2" w:rsidRDefault="007A78F2" w:rsidP="00583C9C">
            <w:r>
              <w:t>Category 4</w:t>
            </w:r>
          </w:p>
        </w:tc>
        <w:tc>
          <w:tcPr>
            <w:tcW w:w="3277" w:type="dxa"/>
          </w:tcPr>
          <w:p w:rsidR="007A78F2" w:rsidRDefault="007A78F2" w:rsidP="00583C9C">
            <w:r>
              <w:t>10</w:t>
            </w:r>
          </w:p>
        </w:tc>
      </w:tr>
    </w:tbl>
    <w:p w:rsidR="00583C9C" w:rsidRDefault="00583C9C" w:rsidP="00583C9C"/>
    <w:p w:rsidR="00D82818" w:rsidRDefault="00D82818" w:rsidP="00583C9C">
      <w:r>
        <w:t>[…]</w:t>
      </w:r>
    </w:p>
    <w:p w:rsidR="00D82818" w:rsidRDefault="00D82818" w:rsidP="00D82818">
      <w:r>
        <w:t xml:space="preserve">We use published company profiles, SEC filings, and contemporaneous news releases, as well as the company home pages, to classify the firms in our sample into four major categories. We use these categories to determine what types of firms are most affected by name changes and why. These categories are: </w:t>
      </w:r>
    </w:p>
    <w:p w:rsidR="00D82818" w:rsidRDefault="00D82818" w:rsidP="00D82818">
      <w:r>
        <w:t>1. Pure Internet companies, which do all their business on the Internet.</w:t>
      </w:r>
    </w:p>
    <w:p w:rsidR="00D82818" w:rsidRDefault="00D82818" w:rsidP="00D82818">
      <w:r>
        <w:t>2. Companies that have some prior involvement with the Internet and change their names to better reflect this involvement.</w:t>
      </w:r>
    </w:p>
    <w:p w:rsidR="00D82818" w:rsidRDefault="00D82818" w:rsidP="00D82818">
      <w:r>
        <w:t xml:space="preserve">3. Companies that change their focus from non-Internet related businesses to Internet-related. </w:t>
      </w:r>
    </w:p>
    <w:p w:rsidR="00D82818" w:rsidRDefault="00D82818" w:rsidP="00D82818">
      <w:r>
        <w:t>4. Companies whose core business is not Internet-related.</w:t>
      </w:r>
    </w:p>
    <w:p w:rsidR="00D82818" w:rsidRDefault="00D82818" w:rsidP="00D82818">
      <w:r>
        <w:t>The number of firms under each category is listed in Table I.</w:t>
      </w:r>
    </w:p>
    <w:p w:rsidR="003B2C37" w:rsidRDefault="003B2C37" w:rsidP="00D82818">
      <w:r>
        <w:t>[…]</w:t>
      </w:r>
    </w:p>
    <w:p w:rsidR="00FC351E" w:rsidRPr="00FC351E" w:rsidRDefault="00FC351E" w:rsidP="00D82818">
      <w:pPr>
        <w:rPr>
          <w:rFonts w:eastAsiaTheme="minorEastAsia"/>
        </w:rPr>
      </w:pPr>
      <m:oMathPara>
        <m:oMath>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t= -30, …, +30</m:t>
          </m:r>
        </m:oMath>
      </m:oMathPara>
    </w:p>
    <w:p w:rsidR="00FC351E" w:rsidRDefault="00824F39" w:rsidP="00824F39">
      <w:proofErr w:type="gramStart"/>
      <w:r>
        <w:rPr>
          <w:rFonts w:eastAsiaTheme="minorEastAsia"/>
        </w:rPr>
        <w:t>w</w:t>
      </w:r>
      <w:r w:rsidR="00FC351E">
        <w:rPr>
          <w:rFonts w:eastAsiaTheme="minorEastAsia"/>
        </w:rPr>
        <w:t>here</w:t>
      </w:r>
      <w:proofErr w:type="gramEnd"/>
      <w:r w:rsidR="00FC351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sidR="00FC351E">
        <w:rPr>
          <w:rFonts w:eastAsiaTheme="minorEastAsia"/>
        </w:rPr>
        <w:t xml:space="preserve"> is the return for firm </w:t>
      </w:r>
      <m:oMath>
        <m:r>
          <w:rPr>
            <w:rFonts w:ascii="Cambria Math" w:eastAsiaTheme="minorEastAsia" w:hAnsi="Cambria Math"/>
          </w:rPr>
          <m:t>i</m:t>
        </m:r>
      </m:oMath>
      <w:r w:rsidR="00FC351E">
        <w:rPr>
          <w:rFonts w:eastAsiaTheme="minorEastAsia"/>
        </w:rPr>
        <w:t xml:space="preserve"> for day </w:t>
      </w:r>
      <m:oMath>
        <m:r>
          <w:rPr>
            <w:rFonts w:ascii="Cambria Math" w:eastAsiaTheme="minorEastAsia" w:hAnsi="Cambria Math"/>
          </w:rPr>
          <m:t>t</m:t>
        </m:r>
      </m:oMath>
      <w:r w:rsidR="00FC351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oMath>
      <w:r w:rsidR="00FC351E">
        <w:rPr>
          <w:rFonts w:eastAsiaTheme="minorEastAsia"/>
        </w:rPr>
        <w:t xml:space="preserve"> is the index return for that day</w:t>
      </w:r>
      <w:r>
        <w:rPr>
          <w:rFonts w:eastAsiaTheme="minorEastAsia"/>
        </w:rPr>
        <w:t xml:space="preserve">. </w:t>
      </w:r>
      <w:r w:rsidRPr="00824F39">
        <w:rPr>
          <w:rFonts w:eastAsiaTheme="minorEastAsia"/>
        </w:rPr>
        <w:t>We then</w:t>
      </w:r>
      <w:r>
        <w:rPr>
          <w:rFonts w:eastAsiaTheme="minorEastAsia"/>
        </w:rPr>
        <w:t xml:space="preserve"> </w:t>
      </w:r>
      <w:r w:rsidRPr="00824F39">
        <w:rPr>
          <w:rFonts w:eastAsiaTheme="minorEastAsia"/>
        </w:rPr>
        <w:t xml:space="preserve">compute </w:t>
      </w:r>
      <w:r>
        <w:rPr>
          <w:rFonts w:eastAsiaTheme="minorEastAsia"/>
        </w:rPr>
        <w:t>the cumulative abnormal return (</w:t>
      </w:r>
      <w:r w:rsidRPr="00824F39">
        <w:rPr>
          <w:rFonts w:eastAsiaTheme="minorEastAsia"/>
        </w:rPr>
        <w:t>CAR</w:t>
      </w:r>
      <w:r>
        <w:rPr>
          <w:rFonts w:eastAsiaTheme="minorEastAsia"/>
        </w:rPr>
        <w:t>)</w:t>
      </w:r>
      <w:r w:rsidRPr="00824F39">
        <w:rPr>
          <w:rFonts w:eastAsiaTheme="minorEastAsia"/>
        </w:rPr>
        <w:t xml:space="preserve"> for various event windows. For example, the</w:t>
      </w:r>
      <w:r>
        <w:rPr>
          <w:rFonts w:eastAsiaTheme="minorEastAsia"/>
        </w:rPr>
        <w:t xml:space="preserve"> </w:t>
      </w:r>
      <w:r w:rsidRPr="00824F39">
        <w:rPr>
          <w:rFonts w:eastAsiaTheme="minorEastAsia"/>
        </w:rPr>
        <w:t xml:space="preserve">event window from </w:t>
      </w:r>
      <m:oMath>
        <m:r>
          <w:rPr>
            <w:rFonts w:ascii="Cambria Math" w:eastAsiaTheme="minorEastAsia" w:hAnsi="Cambria Math"/>
          </w:rPr>
          <m:t>t= -15</m:t>
        </m:r>
      </m:oMath>
      <w:r w:rsidRPr="00824F39">
        <w:rPr>
          <w:rFonts w:eastAsiaTheme="minorEastAsia"/>
        </w:rPr>
        <w:t xml:space="preserve"> to </w:t>
      </w:r>
      <m:oMath>
        <m:r>
          <w:rPr>
            <w:rFonts w:ascii="Cambria Math" w:eastAsiaTheme="minorEastAsia" w:hAnsi="Cambria Math"/>
          </w:rPr>
          <m:t>t=-2</m:t>
        </m:r>
      </m:oMath>
      <w:r w:rsidRPr="00824F39">
        <w:rPr>
          <w:rFonts w:eastAsiaTheme="minorEastAsia"/>
        </w:rPr>
        <w:t xml:space="preserve"> is</w:t>
      </w:r>
    </w:p>
    <w:p w:rsidR="00FC351E" w:rsidRPr="00824F39" w:rsidRDefault="00FC351E" w:rsidP="00D82818">
      <w:pPr>
        <w:rPr>
          <w:rFonts w:eastAsiaTheme="minorEastAsia"/>
        </w:rPr>
      </w:pPr>
      <m:oMathPara>
        <m:oMath>
          <m:r>
            <w:rPr>
              <w:rFonts w:ascii="Cambria Math" w:hAnsi="Cambria Math"/>
            </w:rPr>
            <m:t>CAR=</m:t>
          </m:r>
          <m:nary>
            <m:naryPr>
              <m:chr m:val="∑"/>
              <m:limLoc m:val="undOvr"/>
              <m:ctrlPr>
                <w:rPr>
                  <w:rFonts w:ascii="Cambria Math" w:hAnsi="Cambria Math"/>
                  <w:i/>
                </w:rPr>
              </m:ctrlPr>
            </m:naryPr>
            <m:sub>
              <m:r>
                <w:rPr>
                  <w:rFonts w:ascii="Cambria Math" w:hAnsi="Cambria Math"/>
                </w:rPr>
                <m:t>t=-15</m:t>
              </m:r>
            </m:sub>
            <m:sup>
              <m:r>
                <w:rPr>
                  <w:rFonts w:ascii="Cambria Math" w:hAnsi="Cambria Math"/>
                </w:rPr>
                <m:t>-2</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it</m:t>
                          </m:r>
                        </m:sub>
                      </m:sSub>
                    </m:num>
                    <m:den>
                      <m:r>
                        <w:rPr>
                          <w:rFonts w:ascii="Cambria Math" w:hAnsi="Cambria Math"/>
                        </w:rPr>
                        <m:t>N</m:t>
                      </m:r>
                    </m:den>
                  </m:f>
                </m:e>
              </m:nary>
              <m:r>
                <w:rPr>
                  <w:rFonts w:ascii="Cambria Math" w:hAnsi="Cambria Math"/>
                </w:rPr>
                <m:t>,</m:t>
              </m:r>
            </m:e>
          </m:nary>
        </m:oMath>
      </m:oMathPara>
    </w:p>
    <w:p w:rsidR="00824F39" w:rsidRDefault="00824F39" w:rsidP="00D82818">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is the number of firms.</w:t>
      </w:r>
    </w:p>
    <w:p w:rsidR="00FC351E" w:rsidRDefault="00FC351E" w:rsidP="00D82818">
      <w:r>
        <w:t>[…]</w:t>
      </w:r>
    </w:p>
    <w:p w:rsidR="00F10360" w:rsidRDefault="00FC351E" w:rsidP="00AE5CCA">
      <w:pPr>
        <w:pStyle w:val="Beschriftung"/>
      </w:pPr>
      <w:r>
        <w:rPr>
          <w:noProof/>
        </w:rPr>
        <w:lastRenderedPageBreak/>
        <w:drawing>
          <wp:inline distT="0" distB="0" distL="0" distR="0" wp14:anchorId="213DD33F" wp14:editId="5BDDD4CD">
            <wp:extent cx="5972175" cy="3124200"/>
            <wp:effectExtent l="0" t="0" r="9525" b="0"/>
            <wp:docPr id="1" name="Grafik 1" descr="C:\Users\d.zimmermann\Dropbox\Promotion\Workshops\ev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immermann\Dropbox\Promotion\Workshops\even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124200"/>
                    </a:xfrm>
                    <a:prstGeom prst="rect">
                      <a:avLst/>
                    </a:prstGeom>
                    <a:noFill/>
                    <a:ln>
                      <a:noFill/>
                    </a:ln>
                  </pic:spPr>
                </pic:pic>
              </a:graphicData>
            </a:graphic>
          </wp:inline>
        </w:drawing>
      </w:r>
    </w:p>
    <w:p w:rsidR="00FC351E" w:rsidRDefault="00AE5CCA" w:rsidP="00AE5CCA">
      <w:pPr>
        <w:pStyle w:val="Beschriftung"/>
      </w:pPr>
      <w:bookmarkStart w:id="7" w:name="_Toc468097626"/>
      <w:r>
        <w:t xml:space="preserve">Figure </w:t>
      </w:r>
      <w:r>
        <w:fldChar w:fldCharType="begin"/>
      </w:r>
      <w:r>
        <w:instrText xml:space="preserve"> SEQ Figure \* ARABIC </w:instrText>
      </w:r>
      <w:r>
        <w:fldChar w:fldCharType="separate"/>
      </w:r>
      <w:r>
        <w:rPr>
          <w:noProof/>
        </w:rPr>
        <w:t>1</w:t>
      </w:r>
      <w:r>
        <w:fldChar w:fldCharType="end"/>
      </w:r>
      <w:r>
        <w:t>:</w:t>
      </w:r>
      <w:r w:rsidR="00FC351E">
        <w:t xml:space="preserve"> Cumulative abnormal returns earned around the announcement date by firms changing their names to dotcom names.</w:t>
      </w:r>
      <w:bookmarkEnd w:id="7"/>
    </w:p>
    <w:p w:rsidR="00AE5CCA" w:rsidRPr="007D1D2C" w:rsidRDefault="00AE5CCA" w:rsidP="00AE5CCA">
      <w:r>
        <w:t>The CARs are also graphed in Figure 1.</w:t>
      </w:r>
      <w:r w:rsidR="007D1D2C">
        <w:t xml:space="preserve"> </w:t>
      </w:r>
      <w:r w:rsidR="007D1D2C" w:rsidRPr="007D1D2C">
        <w:t xml:space="preserve">The dotcom effect is remarkably strong across all firms. The cumulative abnormal returns are positive and significant across event windows surrounding the announcement date, for firms announcing name changes between June 1998 and July 1999. </w:t>
      </w:r>
      <w:r w:rsidR="007D1D2C">
        <w:t>F</w:t>
      </w:r>
      <w:r w:rsidR="007D1D2C" w:rsidRPr="007D1D2C">
        <w:t xml:space="preserve">or example, in Panel </w:t>
      </w:r>
      <w:proofErr w:type="gramStart"/>
      <w:r w:rsidR="007D1D2C" w:rsidRPr="007D1D2C">
        <w:t>A</w:t>
      </w:r>
      <w:proofErr w:type="gramEnd"/>
      <w:r w:rsidR="007D1D2C" w:rsidRPr="007D1D2C">
        <w:t xml:space="preserve"> of Table II, over the five-day period from day </w:t>
      </w:r>
      <w:r w:rsidR="007D1D2C">
        <w:t>-</w:t>
      </w:r>
      <w:r w:rsidR="007D1D2C" w:rsidRPr="007D1D2C">
        <w:t xml:space="preserve">2 to day </w:t>
      </w:r>
      <w:r w:rsidR="007D1D2C">
        <w:t>+</w:t>
      </w:r>
      <w:r w:rsidR="007D1D2C" w:rsidRPr="007D1D2C">
        <w:t>2, all firms</w:t>
      </w:r>
      <w:r w:rsidR="007D1D2C">
        <w:t xml:space="preserve"> earn a strongly statistically s</w:t>
      </w:r>
      <w:r w:rsidR="007D1D2C" w:rsidRPr="007D1D2C">
        <w:t>ignificant a</w:t>
      </w:r>
      <w:r w:rsidR="007D1D2C">
        <w:t>bnormal return of 53%. Over the</w:t>
      </w:r>
      <w:r w:rsidR="007D1D2C" w:rsidRPr="007D1D2C">
        <w:t xml:space="preserve"> entire 61-day period from day </w:t>
      </w:r>
      <w:r w:rsidR="007D1D2C">
        <w:t>-</w:t>
      </w:r>
      <w:r w:rsidR="007D1D2C" w:rsidRPr="007D1D2C">
        <w:t xml:space="preserve">30 to day </w:t>
      </w:r>
      <w:r w:rsidR="007D1D2C">
        <w:t>+30, all firms e</w:t>
      </w:r>
      <w:r w:rsidR="007D1D2C" w:rsidRPr="007D1D2C">
        <w:t>arn a significant 89%, with a t-statistic of 6.2 (not reported in the table). We observe similar striking abnormal returns in all periods surrounding the announcement day.</w:t>
      </w:r>
    </w:p>
    <w:p w:rsidR="00FC351E" w:rsidRDefault="0040115D" w:rsidP="00E3754A">
      <w:pPr>
        <w:pStyle w:val="berschrift1"/>
      </w:pPr>
      <w:bookmarkStart w:id="8" w:name="_Toc468097663"/>
      <w:r>
        <w:t>R</w:t>
      </w:r>
      <w:r w:rsidR="00E3754A">
        <w:t>eferences</w:t>
      </w:r>
      <w:bookmarkEnd w:id="8"/>
    </w:p>
    <w:p w:rsidR="00E3754A" w:rsidRDefault="00E3754A" w:rsidP="00E3754A">
      <w:r>
        <w:t xml:space="preserve">Bosch, Jean-Claude, and Mark </w:t>
      </w:r>
      <w:proofErr w:type="spellStart"/>
      <w:r>
        <w:t>Hirschey</w:t>
      </w:r>
      <w:proofErr w:type="spellEnd"/>
      <w:r>
        <w:t xml:space="preserve">, 1989, </w:t>
      </w:r>
      <w:proofErr w:type="gramStart"/>
      <w:r>
        <w:t>The</w:t>
      </w:r>
      <w:proofErr w:type="gramEnd"/>
      <w:r>
        <w:t xml:space="preserve"> valuation effects of corporate name changes, Financial Management 18, 64–73.</w:t>
      </w:r>
    </w:p>
    <w:p w:rsidR="00E3754A" w:rsidRPr="00E3754A" w:rsidRDefault="00E3754A" w:rsidP="00E3754A">
      <w:r w:rsidRPr="00E3754A">
        <w:t xml:space="preserve">Ewing, </w:t>
      </w:r>
      <w:proofErr w:type="spellStart"/>
      <w:r w:rsidRPr="00E3754A">
        <w:t>Terzah</w:t>
      </w:r>
      <w:proofErr w:type="spellEnd"/>
      <w:r w:rsidRPr="00E3754A">
        <w:t>, 1999, Stock snafu hits traders on Internet, Wall Street Journal, April 1, C1.</w:t>
      </w:r>
    </w:p>
    <w:p w:rsidR="004E2190" w:rsidRDefault="00E3754A" w:rsidP="00E3754A">
      <w:proofErr w:type="spellStart"/>
      <w:r>
        <w:t>Karpoff</w:t>
      </w:r>
      <w:proofErr w:type="spellEnd"/>
      <w:r>
        <w:t>, Jonathan M., and Graeme Rankine, 1994, In search of a signaling effect: The wealth effects of corporate name changes, Journal of Banking and Finance 18, 1027–1045.</w:t>
      </w:r>
    </w:p>
    <w:p w:rsidR="00E3754A" w:rsidRPr="00583C9C" w:rsidRDefault="00E3754A" w:rsidP="00E3754A">
      <w:r>
        <w:t>Wingfield, Nick, 1999, It can become a pain to shift your name, even to Fatbrain.com, Wall Street Journal, March 29, B7.</w:t>
      </w:r>
    </w:p>
    <w:sectPr w:rsidR="00E3754A" w:rsidRPr="00583C9C">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B7A" w:rsidRDefault="00D62B7A" w:rsidP="006D5BB4">
      <w:pPr>
        <w:spacing w:after="0" w:line="240" w:lineRule="auto"/>
      </w:pPr>
      <w:r>
        <w:separator/>
      </w:r>
    </w:p>
  </w:endnote>
  <w:endnote w:type="continuationSeparator" w:id="0">
    <w:p w:rsidR="00D62B7A" w:rsidRDefault="00D62B7A" w:rsidP="006D5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B7A" w:rsidRDefault="00D62B7A" w:rsidP="006D5BB4">
      <w:pPr>
        <w:spacing w:after="0" w:line="240" w:lineRule="auto"/>
      </w:pPr>
      <w:r>
        <w:separator/>
      </w:r>
    </w:p>
  </w:footnote>
  <w:footnote w:type="continuationSeparator" w:id="0">
    <w:p w:rsidR="00D62B7A" w:rsidRDefault="00D62B7A" w:rsidP="006D5BB4">
      <w:pPr>
        <w:spacing w:after="0" w:line="240" w:lineRule="auto"/>
      </w:pPr>
      <w:r>
        <w:continuationSeparator/>
      </w:r>
    </w:p>
  </w:footnote>
  <w:footnote w:id="1">
    <w:p w:rsidR="00E079A4" w:rsidRPr="00E079A4" w:rsidRDefault="00E079A4">
      <w:pPr>
        <w:pStyle w:val="Funotentext"/>
      </w:pPr>
      <w:r>
        <w:rPr>
          <w:rStyle w:val="Funotenzeichen"/>
        </w:rPr>
        <w:footnoteRef/>
      </w:r>
      <w:r>
        <w:t xml:space="preserve"> Department of Finance, </w:t>
      </w:r>
      <w:proofErr w:type="spellStart"/>
      <w:r w:rsidRPr="00E079A4">
        <w:t>Krannert</w:t>
      </w:r>
      <w:proofErr w:type="spellEnd"/>
      <w:r w:rsidRPr="00E079A4">
        <w:t xml:space="preserve"> School of Management, Perdue University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730D1"/>
    <w:multiLevelType w:val="hybridMultilevel"/>
    <w:tmpl w:val="81840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97288"/>
    <w:multiLevelType w:val="hybridMultilevel"/>
    <w:tmpl w:val="51CE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9D7"/>
    <w:rsid w:val="00142564"/>
    <w:rsid w:val="003171D8"/>
    <w:rsid w:val="00332FFE"/>
    <w:rsid w:val="003B2C37"/>
    <w:rsid w:val="0040115D"/>
    <w:rsid w:val="004E2190"/>
    <w:rsid w:val="00583C9C"/>
    <w:rsid w:val="0067347F"/>
    <w:rsid w:val="006D5BB4"/>
    <w:rsid w:val="006D5CF1"/>
    <w:rsid w:val="007030CE"/>
    <w:rsid w:val="007A78F2"/>
    <w:rsid w:val="007D1D2C"/>
    <w:rsid w:val="007E5693"/>
    <w:rsid w:val="0081212B"/>
    <w:rsid w:val="00824F39"/>
    <w:rsid w:val="0082647E"/>
    <w:rsid w:val="008B72D9"/>
    <w:rsid w:val="008F0865"/>
    <w:rsid w:val="009623ED"/>
    <w:rsid w:val="00A22608"/>
    <w:rsid w:val="00A33950"/>
    <w:rsid w:val="00AA3342"/>
    <w:rsid w:val="00AE5CCA"/>
    <w:rsid w:val="00AF6B88"/>
    <w:rsid w:val="00B05681"/>
    <w:rsid w:val="00B27527"/>
    <w:rsid w:val="00B453C3"/>
    <w:rsid w:val="00B804F5"/>
    <w:rsid w:val="00B92022"/>
    <w:rsid w:val="00C449D7"/>
    <w:rsid w:val="00C66AFC"/>
    <w:rsid w:val="00D62B7A"/>
    <w:rsid w:val="00D745BA"/>
    <w:rsid w:val="00D82818"/>
    <w:rsid w:val="00DE54CD"/>
    <w:rsid w:val="00E060B6"/>
    <w:rsid w:val="00E079A4"/>
    <w:rsid w:val="00E3754A"/>
    <w:rsid w:val="00EC0A85"/>
    <w:rsid w:val="00F10360"/>
    <w:rsid w:val="00F53E39"/>
    <w:rsid w:val="00FC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E56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449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449D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E5693"/>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6D5B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BB4"/>
    <w:rPr>
      <w:sz w:val="20"/>
      <w:szCs w:val="20"/>
    </w:rPr>
  </w:style>
  <w:style w:type="character" w:styleId="Funotenzeichen">
    <w:name w:val="footnote reference"/>
    <w:basedOn w:val="Absatz-Standardschriftart"/>
    <w:uiPriority w:val="99"/>
    <w:semiHidden/>
    <w:unhideWhenUsed/>
    <w:rsid w:val="006D5BB4"/>
    <w:rPr>
      <w:vertAlign w:val="superscript"/>
    </w:rPr>
  </w:style>
  <w:style w:type="table" w:styleId="Tabellenraster">
    <w:name w:val="Table Grid"/>
    <w:basedOn w:val="NormaleTabelle"/>
    <w:uiPriority w:val="59"/>
    <w:rsid w:val="007A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A78F2"/>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FC35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51E"/>
    <w:rPr>
      <w:rFonts w:ascii="Tahoma" w:hAnsi="Tahoma" w:cs="Tahoma"/>
      <w:sz w:val="16"/>
      <w:szCs w:val="16"/>
    </w:rPr>
  </w:style>
  <w:style w:type="character" w:styleId="Platzhaltertext">
    <w:name w:val="Placeholder Text"/>
    <w:basedOn w:val="Absatz-Standardschriftart"/>
    <w:uiPriority w:val="99"/>
    <w:semiHidden/>
    <w:rsid w:val="00FC351E"/>
    <w:rPr>
      <w:color w:val="808080"/>
    </w:rPr>
  </w:style>
  <w:style w:type="table" w:styleId="HelleListe-Akzent1">
    <w:name w:val="Light List Accent 1"/>
    <w:basedOn w:val="NormaleTabelle"/>
    <w:uiPriority w:val="61"/>
    <w:rsid w:val="006D5C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3">
    <w:name w:val="Light List Accent 3"/>
    <w:basedOn w:val="NormaleTabelle"/>
    <w:uiPriority w:val="61"/>
    <w:rsid w:val="00D745B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pl-c1">
    <w:name w:val="pl-c1"/>
    <w:basedOn w:val="Absatz-Standardschriftart"/>
    <w:rsid w:val="0082647E"/>
  </w:style>
  <w:style w:type="paragraph" w:styleId="Inhaltsverzeichnisberschrift">
    <w:name w:val="TOC Heading"/>
    <w:basedOn w:val="berschrift1"/>
    <w:next w:val="Standard"/>
    <w:uiPriority w:val="39"/>
    <w:semiHidden/>
    <w:unhideWhenUsed/>
    <w:qFormat/>
    <w:rsid w:val="00F10360"/>
    <w:pPr>
      <w:outlineLvl w:val="9"/>
    </w:pPr>
  </w:style>
  <w:style w:type="paragraph" w:styleId="Verzeichnis1">
    <w:name w:val="toc 1"/>
    <w:basedOn w:val="Standard"/>
    <w:next w:val="Standard"/>
    <w:autoRedefine/>
    <w:uiPriority w:val="39"/>
    <w:unhideWhenUsed/>
    <w:rsid w:val="00F10360"/>
    <w:pPr>
      <w:spacing w:after="100"/>
    </w:pPr>
  </w:style>
  <w:style w:type="character" w:styleId="Hyperlink">
    <w:name w:val="Hyperlink"/>
    <w:basedOn w:val="Absatz-Standardschriftart"/>
    <w:uiPriority w:val="99"/>
    <w:unhideWhenUsed/>
    <w:rsid w:val="00F10360"/>
    <w:rPr>
      <w:color w:val="0000FF" w:themeColor="hyperlink"/>
      <w:u w:val="single"/>
    </w:rPr>
  </w:style>
  <w:style w:type="paragraph" w:styleId="Abbildungsverzeichnis">
    <w:name w:val="table of figures"/>
    <w:basedOn w:val="Standard"/>
    <w:next w:val="Standard"/>
    <w:uiPriority w:val="99"/>
    <w:unhideWhenUsed/>
    <w:rsid w:val="00F1036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E56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449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449D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E5693"/>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6D5B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BB4"/>
    <w:rPr>
      <w:sz w:val="20"/>
      <w:szCs w:val="20"/>
    </w:rPr>
  </w:style>
  <w:style w:type="character" w:styleId="Funotenzeichen">
    <w:name w:val="footnote reference"/>
    <w:basedOn w:val="Absatz-Standardschriftart"/>
    <w:uiPriority w:val="99"/>
    <w:semiHidden/>
    <w:unhideWhenUsed/>
    <w:rsid w:val="006D5BB4"/>
    <w:rPr>
      <w:vertAlign w:val="superscript"/>
    </w:rPr>
  </w:style>
  <w:style w:type="table" w:styleId="Tabellenraster">
    <w:name w:val="Table Grid"/>
    <w:basedOn w:val="NormaleTabelle"/>
    <w:uiPriority w:val="59"/>
    <w:rsid w:val="007A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A78F2"/>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FC35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51E"/>
    <w:rPr>
      <w:rFonts w:ascii="Tahoma" w:hAnsi="Tahoma" w:cs="Tahoma"/>
      <w:sz w:val="16"/>
      <w:szCs w:val="16"/>
    </w:rPr>
  </w:style>
  <w:style w:type="character" w:styleId="Platzhaltertext">
    <w:name w:val="Placeholder Text"/>
    <w:basedOn w:val="Absatz-Standardschriftart"/>
    <w:uiPriority w:val="99"/>
    <w:semiHidden/>
    <w:rsid w:val="00FC351E"/>
    <w:rPr>
      <w:color w:val="808080"/>
    </w:rPr>
  </w:style>
  <w:style w:type="table" w:styleId="HelleListe-Akzent1">
    <w:name w:val="Light List Accent 1"/>
    <w:basedOn w:val="NormaleTabelle"/>
    <w:uiPriority w:val="61"/>
    <w:rsid w:val="006D5C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3">
    <w:name w:val="Light List Accent 3"/>
    <w:basedOn w:val="NormaleTabelle"/>
    <w:uiPriority w:val="61"/>
    <w:rsid w:val="00D745B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pl-c1">
    <w:name w:val="pl-c1"/>
    <w:basedOn w:val="Absatz-Standardschriftart"/>
    <w:rsid w:val="0082647E"/>
  </w:style>
  <w:style w:type="paragraph" w:styleId="Inhaltsverzeichnisberschrift">
    <w:name w:val="TOC Heading"/>
    <w:basedOn w:val="berschrift1"/>
    <w:next w:val="Standard"/>
    <w:uiPriority w:val="39"/>
    <w:semiHidden/>
    <w:unhideWhenUsed/>
    <w:qFormat/>
    <w:rsid w:val="00F10360"/>
    <w:pPr>
      <w:outlineLvl w:val="9"/>
    </w:pPr>
  </w:style>
  <w:style w:type="paragraph" w:styleId="Verzeichnis1">
    <w:name w:val="toc 1"/>
    <w:basedOn w:val="Standard"/>
    <w:next w:val="Standard"/>
    <w:autoRedefine/>
    <w:uiPriority w:val="39"/>
    <w:unhideWhenUsed/>
    <w:rsid w:val="00F10360"/>
    <w:pPr>
      <w:spacing w:after="100"/>
    </w:pPr>
  </w:style>
  <w:style w:type="character" w:styleId="Hyperlink">
    <w:name w:val="Hyperlink"/>
    <w:basedOn w:val="Absatz-Standardschriftart"/>
    <w:uiPriority w:val="99"/>
    <w:unhideWhenUsed/>
    <w:rsid w:val="00F10360"/>
    <w:rPr>
      <w:color w:val="0000FF" w:themeColor="hyperlink"/>
      <w:u w:val="single"/>
    </w:rPr>
  </w:style>
  <w:style w:type="paragraph" w:styleId="Abbildungsverzeichnis">
    <w:name w:val="table of figures"/>
    <w:basedOn w:val="Standard"/>
    <w:next w:val="Standard"/>
    <w:uiPriority w:val="99"/>
    <w:unhideWhenUsed/>
    <w:rsid w:val="00F103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8025">
      <w:bodyDiv w:val="1"/>
      <w:marLeft w:val="0"/>
      <w:marRight w:val="0"/>
      <w:marTop w:val="0"/>
      <w:marBottom w:val="0"/>
      <w:divBdr>
        <w:top w:val="none" w:sz="0" w:space="0" w:color="auto"/>
        <w:left w:val="none" w:sz="0" w:space="0" w:color="auto"/>
        <w:bottom w:val="none" w:sz="0" w:space="0" w:color="auto"/>
        <w:right w:val="none" w:sz="0" w:space="0" w:color="auto"/>
      </w:divBdr>
    </w:div>
    <w:div w:id="953831249">
      <w:bodyDiv w:val="1"/>
      <w:marLeft w:val="0"/>
      <w:marRight w:val="0"/>
      <w:marTop w:val="0"/>
      <w:marBottom w:val="0"/>
      <w:divBdr>
        <w:top w:val="none" w:sz="0" w:space="0" w:color="auto"/>
        <w:left w:val="none" w:sz="0" w:space="0" w:color="auto"/>
        <w:bottom w:val="none" w:sz="0" w:space="0" w:color="auto"/>
        <w:right w:val="none" w:sz="0" w:space="0" w:color="auto"/>
      </w:divBdr>
    </w:div>
    <w:div w:id="19480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99F5A-2B85-4025-A223-68FF13F7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Zeppelin Uni gGmbH</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Zimmermann, David</dc:creator>
  <cp:lastModifiedBy>Zimmermann, David</cp:lastModifiedBy>
  <cp:revision>29</cp:revision>
  <dcterms:created xsi:type="dcterms:W3CDTF">2016-11-28T09:28:00Z</dcterms:created>
  <dcterms:modified xsi:type="dcterms:W3CDTF">2016-11-28T10:58:00Z</dcterms:modified>
</cp:coreProperties>
</file>