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109c34d046cc48af60c6a6c5f1de9e1880e5ac6"/>
    <w:p>
      <w:pPr>
        <w:pStyle w:val="Heading1"/>
      </w:pPr>
      <w:r>
        <w:t xml:space="preserve">Dose-response association between statins and adverse effects</w:t>
      </w:r>
    </w:p>
    <w:bookmarkStart w:id="9" w:name="background"/>
    <w:p>
      <w:pPr>
        <w:pStyle w:val="Heading2"/>
      </w:pPr>
      <w:r>
        <w:t xml:space="preserve">Background</w:t>
      </w:r>
    </w:p>
    <w:p>
      <w:pPr>
        <w:pStyle w:val="FirstParagraph"/>
      </w:pPr>
      <w:r>
        <w:t xml:space="preserve">Low-density lipoprotein cholesterol is a direct cause of atherosclerotic cardiovascular disease (ASCVD)</w:t>
      </w:r>
      <w:r>
        <w:t xml:space="preserve">(Ference et al. 2017)</w:t>
      </w:r>
      <w:r>
        <w:t xml:space="preserve">. Statins are the cornerstone of lipid-lowering therapy and are widely used for both primary and secondary prevention of ASCVD as they consistently reduce the risk of major vascular events</w:t>
      </w:r>
      <w:r>
        <w:t xml:space="preserve">(Visseren et al. 2021;</w:t>
      </w:r>
      <w:r>
        <w:t xml:space="preserve"> </w:t>
      </w:r>
      <w:r>
        <w:rPr>
          <w:b/>
          <w:bCs/>
        </w:rPr>
        <w:t xml:space="preserve">cholesteroltreatmenttrialists?</w:t>
      </w:r>
      <w:r>
        <w:t xml:space="preserve">)</w:t>
      </w:r>
      <w:r>
        <w:t xml:space="preserve">.</w:t>
      </w:r>
    </w:p>
    <w:p>
      <w:pPr>
        <w:pStyle w:val="BodyText"/>
      </w:pPr>
      <w:r>
        <w:t xml:space="preserve">Despite statins efficacy and overall favourable safety profile, statins are associated with concerns about adverse effects, particularly muscle-related symptoms</w:t>
      </w:r>
      <w:r>
        <w:t xml:space="preserve">(Satish Ramkumar et al. 2016)</w:t>
      </w:r>
      <w:r>
        <w:t xml:space="preserve">. These concerns may lead clinicians to initiate treatment at a lower dose and subsequently up-titrate in an attempt to improve tolerability. However, placebo-controlled randomised trials have shown that a substantial proportion of symptoms attributed to statins, are not actually caused by statin therapy</w:t>
      </w:r>
      <w:r>
        <w:t xml:space="preserve">(Collins et al. 2016a)</w:t>
      </w:r>
      <w:r>
        <w:t xml:space="preserve">. Consequently, it remains uncertain whether initiating statin therapy at a lower dose actually reduces the risk of treatment-related adverse effects compared with initiating treatment at a higher dose.</w:t>
      </w:r>
    </w:p>
    <w:p>
      <w:pPr>
        <w:pStyle w:val="BodyText"/>
      </w:pPr>
      <w:r>
        <w:t xml:space="preserve">In addition to dose, the choice of statin may be relevant. Although all statins share the same mechanism of action, individual agents differ in lipid-lowering potency, pharmacokinetic properties, lipophilicity and metabolic pathways</w:t>
      </w:r>
      <w:r>
        <w:t xml:space="preserve">(Weng et al. 2009; Stancu and Sima 2001)</w:t>
      </w:r>
      <w:r>
        <w:t xml:space="preserve">. These differences may influence their adverse effect profiles and should therefore be considered when evaluating the association between starting dose and adverse effects.</w:t>
      </w:r>
    </w:p>
    <w:p>
      <w:pPr>
        <w:pStyle w:val="BodyText"/>
      </w:pPr>
      <w:r>
        <w:t xml:space="preserve">The aim of this study is to investigate whether the risk of adverse events differs according to statin starting dose and statin type, with the hypothesis that the risk of adverse events does not differ according to statin starting dose or statin type.</w:t>
      </w:r>
    </w:p>
    <w:bookmarkEnd w:id="9"/>
    <w:bookmarkStart w:id="17" w:name="methods"/>
    <w:p>
      <w:pPr>
        <w:pStyle w:val="Heading2"/>
      </w:pPr>
      <w:r>
        <w:t xml:space="preserve">Methods</w:t>
      </w:r>
    </w:p>
    <w:bookmarkStart w:id="10" w:name="data-sources"/>
    <w:p>
      <w:pPr>
        <w:pStyle w:val="Heading3"/>
      </w:pPr>
      <w:r>
        <w:t xml:space="preserve">Data sources</w:t>
      </w:r>
    </w:p>
    <w:p>
      <w:pPr>
        <w:pStyle w:val="FirstParagraph"/>
      </w:pPr>
      <w:r>
        <w:t xml:space="preserve">This study will be conducted using a project database (703382) from Statistics Denmark, containing data on individuals with type 2 diabetes and healthy individuals with a ratio of 1:3. Data will be obtained from the Danish National Patient Registry, Register of Medicinal Products Statistics, and Danish Civil Registration System</w:t>
      </w:r>
      <w:r>
        <w:t xml:space="preserve">(Pedersen 2011; Lynge et al. 2011)</w:t>
      </w:r>
      <w:r>
        <w:t xml:space="preserve">. The Danish National Patient Registry contains information on hospital-based diagnoses, while the Register of Medicinal Products Statistics includes all redeemed prescriptions from community pharmacies. Cross-linkage will be performed using unique civil registration numbers assigned to all Danish residents. Data from Register of Medicinal Products Statistics contains information on statin dispensing from January 1995 to December 2021.</w:t>
      </w:r>
    </w:p>
    <w:bookmarkEnd w:id="10"/>
    <w:bookmarkStart w:id="11" w:name="study-design"/>
    <w:p>
      <w:pPr>
        <w:pStyle w:val="Heading3"/>
      </w:pPr>
      <w:r>
        <w:t xml:space="preserve">Study design</w:t>
      </w:r>
    </w:p>
    <w:p>
      <w:pPr>
        <w:pStyle w:val="FirstParagraph"/>
      </w:pPr>
      <w:r>
        <w:t xml:space="preserve">The study will be a retrospective cohort study using an active-comparator, new-user design. The index date will be defined as the date of the first statin dispensing after the required washout period.</w:t>
      </w:r>
    </w:p>
    <w:bookmarkEnd w:id="11"/>
    <w:bookmarkStart w:id="12" w:name="study-population"/>
    <w:p>
      <w:pPr>
        <w:pStyle w:val="Heading3"/>
      </w:pPr>
      <w:r>
        <w:t xml:space="preserve">Study population</w:t>
      </w:r>
    </w:p>
    <w:p>
      <w:pPr>
        <w:pStyle w:val="FirstParagraph"/>
      </w:pPr>
      <w:r>
        <w:t xml:space="preserve">We plan to include all individuals aged ≥18 years initiating statin treatment for the first time between 1 January 2012 and 30 June 2021.</w:t>
      </w:r>
    </w:p>
    <w:bookmarkEnd w:id="12"/>
    <w:bookmarkStart w:id="13" w:name="exposures"/>
    <w:p>
      <w:pPr>
        <w:pStyle w:val="Heading3"/>
      </w:pPr>
      <w:r>
        <w:t xml:space="preserve">Exposure(s)</w:t>
      </w:r>
    </w:p>
    <w:p>
      <w:pPr>
        <w:pStyle w:val="FirstParagraph"/>
      </w:pPr>
      <w:r>
        <w:t xml:space="preserve">Exposure to statins will be categorised according to statin type using the following ATC codes: atorvastatin (C10AA05), rosuvastatin (C10AA07), and simvastatin (C10AA01). Statin type and dose will be defined according to the statin dispensed at the index date. Starting daily dose will be categorised as atorvastatin 10–20 mg, 40 mg, and 80 mg; rosuvastatin 10–20 mg and 30–40 mg; and simvastatin 10–20 mg and 30–40 mg.</w:t>
      </w:r>
    </w:p>
    <w:bookmarkEnd w:id="13"/>
    <w:bookmarkStart w:id="14" w:name="outcomes"/>
    <w:p>
      <w:pPr>
        <w:pStyle w:val="Heading3"/>
      </w:pPr>
      <w:r>
        <w:t xml:space="preserve">Outcome(s)</w:t>
      </w:r>
    </w:p>
    <w:p>
      <w:pPr>
        <w:pStyle w:val="FirstParagraph"/>
      </w:pPr>
      <w:r>
        <w:t xml:space="preserve">The primary outcome will be the first treatment modification within three and six months after the index date, defined as either dose reduction, statin discontinuation or switching to another statin. Treatment modification will be used as a proxy for statin-related adverse effects. Treatment modification will be analysed according to the statin type and starting dose at the index date.</w:t>
      </w:r>
    </w:p>
    <w:p>
      <w:pPr>
        <w:pStyle w:val="BodyText"/>
      </w:pPr>
      <w:r>
        <w:t xml:space="preserve">Statin dose reduction will be defined as either (a) dispensing of the same statin at a lower daily dose than previously dispensed, or (b) a ≥50% reduction in the estimated average daily dose based on the two most recent dispensings compared with the preceding treatment period. Switching will be defined as dispensing of a different statin during follow-up. Statin discontinuation will be defined as the absence of a subsequent statin dispensing within 30 days after the estimated end of supply of the preceding dispensing.</w:t>
      </w:r>
    </w:p>
    <w:bookmarkEnd w:id="14"/>
    <w:bookmarkStart w:id="15" w:name="confounders"/>
    <w:p>
      <w:pPr>
        <w:pStyle w:val="Heading3"/>
      </w:pPr>
      <w:r>
        <w:t xml:space="preserve">Confounders</w:t>
      </w:r>
    </w:p>
    <w:p>
      <w:pPr>
        <w:pStyle w:val="FirstParagraph"/>
      </w:pPr>
      <w:r>
        <w:t xml:space="preserve">Potential baseline confounders include age, sex, type 2 diabetes, myocardial infarction, ischemic stroke, chronic kidney disease, ethnicity, inhibitors of cytochrome P450 and familial hypercholesterolemia</w:t>
      </w:r>
      <w:r>
        <w:t xml:space="preserve">(Collins et al. 2016b)</w:t>
      </w:r>
      <w:r>
        <w:t xml:space="preserve">.</w:t>
      </w:r>
    </w:p>
    <w:bookmarkEnd w:id="15"/>
    <w:bookmarkStart w:id="16" w:name="statistical-analysis"/>
    <w:p>
      <w:pPr>
        <w:pStyle w:val="Heading3"/>
      </w:pPr>
      <w:r>
        <w:t xml:space="preserve">Statistical analysis</w:t>
      </w:r>
    </w:p>
    <w:p>
      <w:pPr>
        <w:pStyle w:val="FirstParagraph"/>
      </w:pPr>
      <w:r>
        <w:t xml:space="preserve">Baseline characteristics of statin users will be summarised overall and according to type 2 diabetes status. Categorical variables will be reported with frequencies with percentages. Continuous variables, when normally distributed, will be presented as means with standard deviations. Non-normally distributed continuous variables will be presented as medians with interquartile ranges.</w:t>
      </w:r>
    </w:p>
    <w:p>
      <w:pPr>
        <w:pStyle w:val="BodyText"/>
      </w:pPr>
      <w:r>
        <w:t xml:space="preserve">Cox proportional hazards regression will be used to estimate the association between statin exposure and the first treatment modification within three and six months, with results reported as hazard ratios with 95 % confidence intervals.</w:t>
      </w:r>
    </w:p>
    <w:p>
      <w:pPr>
        <w:pStyle w:val="BodyText"/>
      </w:pPr>
      <w:r>
        <w:t xml:space="preserve">For within-statin analyses, the lowest dose category will serve as the reference. For between statin analyses, atorvastatin will serve as the reference and will be compared with rosuvastatin and simvastatin irrespective of dose.</w:t>
      </w:r>
    </w:p>
    <w:p>
      <w:pPr>
        <w:pStyle w:val="BodyText"/>
      </w:pPr>
      <w:r>
        <w:t xml:space="preserve">Participants will be followed from the index date until the first treatment modification, death, emigration, six months of follow-up or the end of available data, whichever occurs first. Multivariable models will be adjusted for relevant confounders.</w:t>
      </w:r>
    </w:p>
    <w:p>
      <w:pPr>
        <w:pStyle w:val="BodyText"/>
      </w:pPr>
      <w:r>
        <w:t xml:space="preserve">Analyses will be conducted in the overall cohort and separately among individuals with and without type 2 diabetes.</w:t>
      </w:r>
    </w:p>
    <w:bookmarkEnd w:id="16"/>
    <w:bookmarkEnd w:id="17"/>
    <w:bookmarkStart w:id="18" w:name="references"/>
    <w:p>
      <w:pPr>
        <w:pStyle w:val="Heading2"/>
      </w:pPr>
      <w:r>
        <w:t xml:space="preserve">References</w:t>
      </w:r>
    </w:p>
    <w:bookmarkEnd w:id="18"/>
    <w:bookmarkStart w:id="19" w:name="appendix-1"/>
    <w:p>
      <w:pPr>
        <w:pStyle w:val="Heading2"/>
      </w:pPr>
      <w:r>
        <w:t xml:space="preserve">Appendix 1:</w:t>
      </w:r>
    </w:p>
    <w:p>
      <w:pPr>
        <w:pStyle w:val="FirstParagraph"/>
      </w:pPr>
      <w:r>
        <w:t xml:space="preserve">Must include tables with the different ICD, ATC and procedure codes needed for inclusion, exclusion, exposure(s), outcome(s), and confounders. It needs to be grouped as you need the variables.</w:t>
      </w:r>
    </w:p>
    <w:bookmarkEnd w:id="19"/>
    <w:bookmarkStart w:id="38" w:name="appendix-2"/>
    <w:p>
      <w:pPr>
        <w:pStyle w:val="Heading2"/>
      </w:pPr>
      <w:r>
        <w:t xml:space="preserve">Appendix 2:</w:t>
      </w:r>
    </w:p>
    <w:p>
      <w:pPr>
        <w:pStyle w:val="FirstParagraph"/>
      </w:pPr>
      <w:r>
        <w:t xml:space="preserve">Must include mock figures and tables. First a flow diagram. Then Table 1 and remaining tables showing the results. All without the specific numbers/empty tables.</w:t>
      </w:r>
    </w:p>
    <w:bookmarkStart w:id="37" w:name="refs"/>
    <w:bookmarkStart w:id="21" w:name="ref-collins2016"/>
    <w:p>
      <w:pPr>
        <w:pStyle w:val="Bibliography"/>
      </w:pPr>
      <w:r>
        <w:t xml:space="preserve">Collins, Rory, Christina Reith, Jonathan Emberson, et al. 2016b.</w:t>
      </w:r>
      <w:r>
        <w:t xml:space="preserve"> </w:t>
      </w:r>
      <w:r>
        <w:t xml:space="preserve">“Interpretation of the Evidence for the Efficacy and Safety of Statin Therapy.”</w:t>
      </w:r>
      <w:r>
        <w:t xml:space="preserve"> </w:t>
      </w:r>
      <w:r>
        <w:rPr>
          <w:i/>
          <w:iCs/>
        </w:rPr>
        <w:t xml:space="preserve">The Lancet</w:t>
      </w:r>
      <w:r>
        <w:t xml:space="preserve"> </w:t>
      </w:r>
      <w:r>
        <w:t xml:space="preserve">388 (10059): 2532–61.</w:t>
      </w:r>
      <w:r>
        <w:t xml:space="preserve"> </w:t>
      </w:r>
      <w:hyperlink r:id="rId20">
        <w:r>
          <w:rPr>
            <w:rStyle w:val="Hyperlink"/>
          </w:rPr>
          <w:t xml:space="preserve">https://doi.org/10.1016/s0140-6736(16)31357-5</w:t>
        </w:r>
      </w:hyperlink>
      <w:r>
        <w:t xml:space="preserve">.</w:t>
      </w:r>
    </w:p>
    <w:bookmarkEnd w:id="21"/>
    <w:bookmarkStart w:id="22" w:name="ref-collins2016a"/>
    <w:p>
      <w:pPr>
        <w:pStyle w:val="Bibliography"/>
      </w:pPr>
      <w:r>
        <w:t xml:space="preserve">Collins, Rory, Christina Reith, Jonathan Emberson, et al. 2016a.</w:t>
      </w:r>
      <w:r>
        <w:t xml:space="preserve"> </w:t>
      </w:r>
      <w:r>
        <w:t xml:space="preserve">“Interpretation of the Evidence for the Efficacy and Safety of Statin Therapy.”</w:t>
      </w:r>
      <w:r>
        <w:t xml:space="preserve"> </w:t>
      </w:r>
      <w:r>
        <w:rPr>
          <w:i/>
          <w:iCs/>
        </w:rPr>
        <w:t xml:space="preserve">The Lancet</w:t>
      </w:r>
      <w:r>
        <w:t xml:space="preserve"> </w:t>
      </w:r>
      <w:r>
        <w:t xml:space="preserve">388 (10059): 2532–61.</w:t>
      </w:r>
      <w:r>
        <w:t xml:space="preserve"> </w:t>
      </w:r>
      <w:hyperlink r:id="rId20">
        <w:r>
          <w:rPr>
            <w:rStyle w:val="Hyperlink"/>
          </w:rPr>
          <w:t xml:space="preserve">https://doi.org/10.1016/s0140-6736(16)31357-5</w:t>
        </w:r>
      </w:hyperlink>
      <w:r>
        <w:t xml:space="preserve">.</w:t>
      </w:r>
    </w:p>
    <w:bookmarkEnd w:id="22"/>
    <w:bookmarkStart w:id="24" w:name="ref-ference2017"/>
    <w:p>
      <w:pPr>
        <w:pStyle w:val="Bibliography"/>
      </w:pPr>
      <w:r>
        <w:t xml:space="preserve">Ference, Brian A., Henry N. Ginsberg, Ian Graham, et al. 2017.</w:t>
      </w:r>
      <w:r>
        <w:t xml:space="preserve"> </w:t>
      </w:r>
      <w:r>
        <w:t xml:space="preserve">“Low-Density Lipoproteins Cause Atherosclerotic Cardiovascular Disease. 1. Evidence from Genetic, Epidemiologic, and Clinical Studies. A Consensus Statement from the European Atherosclerosis Society Consensus Panel.”</w:t>
      </w:r>
      <w:r>
        <w:t xml:space="preserve"> </w:t>
      </w:r>
      <w:r>
        <w:rPr>
          <w:i/>
          <w:iCs/>
        </w:rPr>
        <w:t xml:space="preserve">European Heart Journal</w:t>
      </w:r>
      <w:r>
        <w:t xml:space="preserve"> </w:t>
      </w:r>
      <w:r>
        <w:t xml:space="preserve">38 (32): 2459–72.</w:t>
      </w:r>
      <w:r>
        <w:t xml:space="preserve"> </w:t>
      </w:r>
      <w:hyperlink r:id="rId23">
        <w:r>
          <w:rPr>
            <w:rStyle w:val="Hyperlink"/>
          </w:rPr>
          <w:t xml:space="preserve">https://doi.org/10.1093/eurheartj/ehx144</w:t>
        </w:r>
      </w:hyperlink>
      <w:r>
        <w:t xml:space="preserve">.</w:t>
      </w:r>
    </w:p>
    <w:bookmarkEnd w:id="24"/>
    <w:bookmarkStart w:id="26" w:name="ref-lynge2011"/>
    <w:p>
      <w:pPr>
        <w:pStyle w:val="Bibliography"/>
      </w:pPr>
      <w:r>
        <w:t xml:space="preserve">Lynge, Elsebeth, Jakob Lynge Sandegaard, and Matejka Rebolj. 2011.</w:t>
      </w:r>
      <w:r>
        <w:t xml:space="preserve"> </w:t>
      </w:r>
      <w:r>
        <w:t xml:space="preserve">“The Danish National Patient Register.”</w:t>
      </w:r>
      <w:r>
        <w:t xml:space="preserve"> </w:t>
      </w:r>
      <w:r>
        <w:rPr>
          <w:i/>
          <w:iCs/>
        </w:rPr>
        <w:t xml:space="preserve">Scandinavian Journal of Public Health</w:t>
      </w:r>
      <w:r>
        <w:t xml:space="preserve"> </w:t>
      </w:r>
      <w:r>
        <w:t xml:space="preserve">39 (7</w:t>
      </w:r>
      <w:r>
        <w:t xml:space="preserve">_</w:t>
      </w:r>
      <w:r>
        <w:t xml:space="preserve">suppl): 30–33.</w:t>
      </w:r>
      <w:r>
        <w:t xml:space="preserve"> </w:t>
      </w:r>
      <w:hyperlink r:id="rId25">
        <w:r>
          <w:rPr>
            <w:rStyle w:val="Hyperlink"/>
          </w:rPr>
          <w:t xml:space="preserve">https://doi.org/10.1177/1403494811401482</w:t>
        </w:r>
      </w:hyperlink>
      <w:r>
        <w:t xml:space="preserve">.</w:t>
      </w:r>
    </w:p>
    <w:bookmarkEnd w:id="26"/>
    <w:bookmarkStart w:id="28" w:name="ref-pedersen2011"/>
    <w:p>
      <w:pPr>
        <w:pStyle w:val="Bibliography"/>
      </w:pPr>
      <w:r>
        <w:t xml:space="preserve">Pedersen, Carsten Bøcker. 2011.</w:t>
      </w:r>
      <w:r>
        <w:t xml:space="preserve"> </w:t>
      </w:r>
      <w:r>
        <w:t xml:space="preserve">“The Danish Civil Registration System.”</w:t>
      </w:r>
      <w:r>
        <w:t xml:space="preserve"> </w:t>
      </w:r>
      <w:r>
        <w:rPr>
          <w:i/>
          <w:iCs/>
        </w:rPr>
        <w:t xml:space="preserve">Scandinavian Journal of Public Health</w:t>
      </w:r>
      <w:r>
        <w:t xml:space="preserve"> </w:t>
      </w:r>
      <w:r>
        <w:t xml:space="preserve">39 (7</w:t>
      </w:r>
      <w:r>
        <w:t xml:space="preserve">_</w:t>
      </w:r>
      <w:r>
        <w:t xml:space="preserve">suppl): 22–25.</w:t>
      </w:r>
      <w:r>
        <w:t xml:space="preserve"> </w:t>
      </w:r>
      <w:hyperlink r:id="rId27">
        <w:r>
          <w:rPr>
            <w:rStyle w:val="Hyperlink"/>
          </w:rPr>
          <w:t xml:space="preserve">https://doi.org/10.1177/1403494810387965</w:t>
        </w:r>
      </w:hyperlink>
      <w:r>
        <w:t xml:space="preserve">.</w:t>
      </w:r>
    </w:p>
    <w:bookmarkEnd w:id="28"/>
    <w:bookmarkStart w:id="30" w:name="ref-satishramkumar2016"/>
    <w:p>
      <w:pPr>
        <w:pStyle w:val="Bibliography"/>
      </w:pPr>
      <w:r>
        <w:t xml:space="preserve">Satish Ramkumar, Satish Ramkumar, Ajay Raghunath, and Sudhakshini Raghunath. 2016.</w:t>
      </w:r>
      <w:r>
        <w:t xml:space="preserve"> </w:t>
      </w:r>
      <w:r>
        <w:t xml:space="preserve">“Statin Therapy: Review of Safety and Potential Side Effects.”</w:t>
      </w:r>
      <w:r>
        <w:t xml:space="preserve"> </w:t>
      </w:r>
      <w:r>
        <w:rPr>
          <w:i/>
          <w:iCs/>
        </w:rPr>
        <w:t xml:space="preserve">Acta Cardiologica Sinica</w:t>
      </w:r>
      <w:r>
        <w:t xml:space="preserve"> </w:t>
      </w:r>
      <w:r>
        <w:t xml:space="preserve">32 (6).</w:t>
      </w:r>
      <w:r>
        <w:t xml:space="preserve"> </w:t>
      </w:r>
      <w:hyperlink r:id="rId29">
        <w:r>
          <w:rPr>
            <w:rStyle w:val="Hyperlink"/>
          </w:rPr>
          <w:t xml:space="preserve">https://doi.org/10.6515/ACS20160611A</w:t>
        </w:r>
      </w:hyperlink>
      <w:r>
        <w:t xml:space="preserve">.</w:t>
      </w:r>
    </w:p>
    <w:bookmarkEnd w:id="30"/>
    <w:bookmarkStart w:id="32" w:name="ref-stancu2001"/>
    <w:p>
      <w:pPr>
        <w:pStyle w:val="Bibliography"/>
      </w:pPr>
      <w:r>
        <w:t xml:space="preserve">Stancu, Camelia, and Anca Sima. 2001.</w:t>
      </w:r>
      <w:r>
        <w:t xml:space="preserve"> </w:t>
      </w:r>
      <w:r>
        <w:t xml:space="preserve">“Statins: Mechanism of Action and Effects.”</w:t>
      </w:r>
      <w:r>
        <w:t xml:space="preserve"> </w:t>
      </w:r>
      <w:r>
        <w:rPr>
          <w:i/>
          <w:iCs/>
        </w:rPr>
        <w:t xml:space="preserve">Journal of Cellular and Molecular Medicine</w:t>
      </w:r>
      <w:r>
        <w:t xml:space="preserve"> </w:t>
      </w:r>
      <w:r>
        <w:t xml:space="preserve">5 (4): 378–87.</w:t>
      </w:r>
      <w:r>
        <w:t xml:space="preserve"> </w:t>
      </w:r>
      <w:hyperlink r:id="rId31">
        <w:r>
          <w:rPr>
            <w:rStyle w:val="Hyperlink"/>
          </w:rPr>
          <w:t xml:space="preserve">https://doi.org/10.1111/j.1582-4934.2001.tb00172.x</w:t>
        </w:r>
      </w:hyperlink>
      <w:r>
        <w:t xml:space="preserve">.</w:t>
      </w:r>
    </w:p>
    <w:bookmarkEnd w:id="32"/>
    <w:bookmarkStart w:id="34" w:name="ref-visseren2021"/>
    <w:p>
      <w:pPr>
        <w:pStyle w:val="Bibliography"/>
      </w:pPr>
      <w:r>
        <w:t xml:space="preserve">Visseren, Frank L J, François Mach, Yvo M Smulders, et al. 2021.</w:t>
      </w:r>
      <w:r>
        <w:t xml:space="preserve"> </w:t>
      </w:r>
      <w:r>
        <w:t xml:space="preserve">“2021 ESC Guidelines on Cardiovascular Disease Prevention in Clinical Practice.”</w:t>
      </w:r>
      <w:r>
        <w:t xml:space="preserve"> </w:t>
      </w:r>
      <w:r>
        <w:rPr>
          <w:i/>
          <w:iCs/>
        </w:rPr>
        <w:t xml:space="preserve">European Heart Journal</w:t>
      </w:r>
      <w:r>
        <w:t xml:space="preserve"> </w:t>
      </w:r>
      <w:r>
        <w:t xml:space="preserve">42 (34): 3227–337.</w:t>
      </w:r>
      <w:r>
        <w:t xml:space="preserve"> </w:t>
      </w:r>
      <w:hyperlink r:id="rId33">
        <w:r>
          <w:rPr>
            <w:rStyle w:val="Hyperlink"/>
          </w:rPr>
          <w:t xml:space="preserve">https://doi.org/10.1093/eurheartj/ehab484</w:t>
        </w:r>
      </w:hyperlink>
      <w:r>
        <w:t xml:space="preserve">.</w:t>
      </w:r>
    </w:p>
    <w:bookmarkEnd w:id="34"/>
    <w:bookmarkStart w:id="36" w:name="ref-weng2009"/>
    <w:p>
      <w:pPr>
        <w:pStyle w:val="Bibliography"/>
      </w:pPr>
      <w:r>
        <w:t xml:space="preserve">Weng, T.-C., Y.-H. Kao Yang, S.-J. Lin, and S.-H. Tai. 2009.</w:t>
      </w:r>
      <w:r>
        <w:t xml:space="preserve"> </w:t>
      </w:r>
      <w:r>
        <w:t xml:space="preserve">“A Systematic Review and Meta-Analysis on the Therapeutic Equivalence of Statins.”</w:t>
      </w:r>
      <w:r>
        <w:t xml:space="preserve"> </w:t>
      </w:r>
      <w:r>
        <w:rPr>
          <w:i/>
          <w:iCs/>
        </w:rPr>
        <w:t xml:space="preserve">Journal of Clinical Pharmacy and Therapeutics</w:t>
      </w:r>
      <w:r>
        <w:t xml:space="preserve"> </w:t>
      </w:r>
      <w:r>
        <w:t xml:space="preserve">35 (2): 139–51.</w:t>
      </w:r>
      <w:r>
        <w:t xml:space="preserve"> </w:t>
      </w:r>
      <w:hyperlink r:id="rId35">
        <w:r>
          <w:rPr>
            <w:rStyle w:val="Hyperlink"/>
          </w:rPr>
          <w:t xml:space="preserve">https://doi.org/10.1111/j.1365-2710.2009.01085.x</w:t>
        </w:r>
      </w:hyperlink>
      <w:r>
        <w:t xml:space="preserve">.</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oi.org/10.1016/s0140-6736(16)31357-5" TargetMode="External" /><Relationship Type="http://schemas.openxmlformats.org/officeDocument/2006/relationships/hyperlink" Id="rId33" Target="https://doi.org/10.1093/eurheartj/ehab484" TargetMode="External" /><Relationship Type="http://schemas.openxmlformats.org/officeDocument/2006/relationships/hyperlink" Id="rId23" Target="https://doi.org/10.1093/eurheartj/ehx144" TargetMode="External" /><Relationship Type="http://schemas.openxmlformats.org/officeDocument/2006/relationships/hyperlink" Id="rId35" Target="https://doi.org/10.1111/j.1365-2710.2009.01085.x" TargetMode="External" /><Relationship Type="http://schemas.openxmlformats.org/officeDocument/2006/relationships/hyperlink" Id="rId31" Target="https://doi.org/10.1111/j.1582-4934.2001.tb00172.x" TargetMode="External" /><Relationship Type="http://schemas.openxmlformats.org/officeDocument/2006/relationships/hyperlink" Id="rId27" Target="https://doi.org/10.1177/1403494810387965" TargetMode="External" /><Relationship Type="http://schemas.openxmlformats.org/officeDocument/2006/relationships/hyperlink" Id="rId25" Target="https://doi.org/10.1177/1403494811401482" TargetMode="External" /><Relationship Type="http://schemas.openxmlformats.org/officeDocument/2006/relationships/hyperlink" Id="rId29" Target="https://doi.org/10.6515/ACS20160611A"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16/s0140-6736(16)31357-5" TargetMode="External" /><Relationship Type="http://schemas.openxmlformats.org/officeDocument/2006/relationships/hyperlink" Id="rId33" Target="https://doi.org/10.1093/eurheartj/ehab484" TargetMode="External" /><Relationship Type="http://schemas.openxmlformats.org/officeDocument/2006/relationships/hyperlink" Id="rId23" Target="https://doi.org/10.1093/eurheartj/ehx144" TargetMode="External" /><Relationship Type="http://schemas.openxmlformats.org/officeDocument/2006/relationships/hyperlink" Id="rId35" Target="https://doi.org/10.1111/j.1365-2710.2009.01085.x" TargetMode="External" /><Relationship Type="http://schemas.openxmlformats.org/officeDocument/2006/relationships/hyperlink" Id="rId31" Target="https://doi.org/10.1111/j.1582-4934.2001.tb00172.x" TargetMode="External" /><Relationship Type="http://schemas.openxmlformats.org/officeDocument/2006/relationships/hyperlink" Id="rId27" Target="https://doi.org/10.1177/1403494810387965" TargetMode="External" /><Relationship Type="http://schemas.openxmlformats.org/officeDocument/2006/relationships/hyperlink" Id="rId25" Target="https://doi.org/10.1177/1403494811401482" TargetMode="External" /><Relationship Type="http://schemas.openxmlformats.org/officeDocument/2006/relationships/hyperlink" Id="rId29" Target="https://doi.org/10.6515/ACS20160611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2026-09-04T09:18:36Z</dcterms:created>
  <dcterms:modified xsi:type="dcterms:W3CDTF">2026-09-04T09:18:36Z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