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41336"/>
          <w:sz w:val="56"/>
          <w:szCs w:val="56"/>
        </w:rPr>
        <w:t xml:space="preserve">PATHWAY AI</w:t>
      </w:r>
    </w:p>
    <w:p>
      <w:pPr>
        <w:spacing w:after="240" w:before="0"/>
        <w:jc w:val="center"/>
      </w:pPr>
      <w:r>
        <w:rPr>
          <w:rFonts w:ascii="Arial" w:cs="Arial" w:eastAsia="Arial" w:hAnsi="Arial"/>
          <w:color w:val="000080"/>
          <w:sz w:val="36"/>
          <w:szCs w:val="36"/>
        </w:rPr>
        <w:t xml:space="preserve">Project Management Charts</w:t>
      </w:r>
    </w:p>
    <w:p>
      <w:pPr>
        <w:pBdr>
          <w:bottom w:val="single" w:color="3b82f6" w:sz="6" w:space="1"/>
        </w:pBdr>
        <w:spacing w:after="80" w:before="80"/>
      </w:pPr>
      <w:r>
        <w:t xml:space="preserve"/>
      </w:r>
    </w:p>
    <w:p>
      <w:pPr>
        <w:spacing w:after="120" w:before="240"/>
        <w:jc w:val="center"/>
      </w:pPr>
      <w:r>
        <w:rPr>
          <w:rFonts w:ascii="Arial" w:cs="Arial" w:eastAsia="Arial" w:hAnsi="Arial"/>
          <w:color w:val="64748b"/>
          <w:sz w:val="24"/>
          <w:szCs w:val="24"/>
        </w:rPr>
        <w:t xml:space="preserve">IST 440W Capstone  |  Penn State University</w:t>
      </w:r>
    </w:p>
    <w:p>
      <w:pPr>
        <w:spacing w:after="240" w:before="0"/>
        <w:jc w:val="center"/>
      </w:pPr>
      <w:r>
        <w:rPr>
          <w:rFonts w:ascii="Arial" w:cs="Arial" w:eastAsia="Arial" w:hAnsi="Arial"/>
          <w:color w:val="64748b"/>
          <w:sz w:val="22"/>
          <w:szCs w:val="22"/>
        </w:rPr>
        <w:t xml:space="preserve">David Ademoye  |  May 20 – August 12, 2026</w:t>
      </w:r>
    </w:p>
    <w:p>
      <w:pPr>
        <w:pageBreakBefore/>
      </w:pPr>
      <w:r>
        <w:t xml:space="preserve"/>
      </w:r>
    </w:p>
    <w:p>
      <w:pPr>
        <w:pStyle w:val="Heading1"/>
        <w:spacing w:after="160" w:before="320"/>
      </w:pPr>
      <w:r>
        <w:rPr>
          <w:rFonts w:ascii="Arial" w:cs="Arial" w:eastAsia="Arial" w:hAnsi="Arial"/>
          <w:b/>
          <w:bCs/>
          <w:color w:val="041336"/>
          <w:sz w:val="28"/>
          <w:szCs w:val="28"/>
        </w:rPr>
        <w:t xml:space="preserve">1. Project Management Summary</w:t>
      </w:r>
    </w:p>
    <w:p>
      <w:pPr>
        <w:pBdr>
          <w:bottom w:val="single" w:color="3b82f6" w:sz="6" w:space="1"/>
        </w:pBdr>
        <w:spacing w:after="80" w:before="80"/>
      </w:pPr>
      <w:r>
        <w:t xml:space="preserve"/>
      </w:r>
    </w:p>
    <w:p>
      <w:pPr>
        <w:spacing w:after="80" w:before="80"/>
      </w:pPr>
      <w:r>
        <w:rPr>
          <w:rFonts w:ascii="Arial" w:cs="Arial" w:eastAsia="Arial" w:hAnsi="Arial"/>
          <w:b w:val="false"/>
          <w:bCs w:val="false"/>
          <w:color w:val="0f172a"/>
          <w:sz w:val="22"/>
          <w:szCs w:val="22"/>
        </w:rPr>
        <w:t xml:space="preserve">This document contains the project management artifacts for Pathway AI, organized around the project window of May 20, 2026 through August 12, 2026. The plan covers all phases of development: from initial research and documentation through frontend implementation, AI integration, module development, and final submission.</w:t>
      </w:r>
    </w:p>
    <w:p>
      <w:pPr>
        <w:spacing w:after="60" w:before="60"/>
      </w:pPr>
      <w:r>
        <w:t xml:space="preserve"/>
      </w:r>
    </w:p>
    <w:p>
      <w:pPr>
        <w:spacing w:after="80" w:before="80"/>
      </w:pPr>
      <w:r>
        <w:rPr>
          <w:rFonts w:ascii="Arial" w:cs="Arial" w:eastAsia="Arial" w:hAnsi="Arial"/>
          <w:b w:val="false"/>
          <w:bCs w:val="false"/>
          <w:color w:val="0f172a"/>
          <w:sz w:val="22"/>
          <w:szCs w:val="22"/>
        </w:rPr>
        <w:t xml:space="preserve">As of June 30, 2026, the project has completed the documentation phase and the core MVP frontend. The immediate next step is deploying the application to Vercel with a confirmed public URL, followed by integrating the Claude API and building the remaining three career readiness modules.</w:t>
      </w:r>
    </w:p>
    <w:p>
      <w:pPr>
        <w:pageBreakBefore/>
      </w:pPr>
      <w:r>
        <w:t xml:space="preserve"/>
      </w:r>
    </w:p>
    <w:p>
      <w:pPr>
        <w:pStyle w:val="Heading1"/>
        <w:spacing w:after="160" w:before="320"/>
      </w:pPr>
      <w:r>
        <w:rPr>
          <w:rFonts w:ascii="Arial" w:cs="Arial" w:eastAsia="Arial" w:hAnsi="Arial"/>
          <w:b/>
          <w:bCs/>
          <w:color w:val="041336"/>
          <w:sz w:val="28"/>
          <w:szCs w:val="28"/>
        </w:rPr>
        <w:t xml:space="preserve">2. Gantt Chart</w:t>
      </w:r>
    </w:p>
    <w:p>
      <w:pPr>
        <w:pBdr>
          <w:bottom w:val="single" w:color="3b82f6" w:sz="6" w:space="1"/>
        </w:pBdr>
        <w:spacing w:after="80" w:before="80"/>
      </w:pPr>
      <w:r>
        <w:t xml:space="preserve"/>
      </w:r>
    </w:p>
    <w:p>
      <w:pPr>
        <w:spacing w:after="80" w:before="80"/>
      </w:pPr>
      <w:r>
        <w:rPr>
          <w:rFonts w:ascii="Arial" w:cs="Arial" w:eastAsia="Arial" w:hAnsi="Arial"/>
          <w:b w:val="false"/>
          <w:bCs w:val="false"/>
          <w:color w:val="0f172a"/>
          <w:sz w:val="22"/>
          <w:szCs w:val="22"/>
        </w:rPr>
        <w:t xml:space="preserve">The Gantt chart shows all project tasks plotted across the May 20 to August 12 timeline. Green bars are completed work, amber bars are currently in progress, and blue bars are planned. The red dashed line marks today, June 30, 2026.</w:t>
      </w:r>
    </w:p>
    <w:p>
      <w:pPr>
        <w:spacing w:after="60" w:before="60"/>
      </w:pPr>
      <w:r>
        <w:t xml:space="preserve"/>
      </w:r>
    </w:p>
    <w:p>
      <w:pPr>
        <w:jc w:val="center"/>
      </w:pPr>
      <w:r>
        <w:drawing>
          <wp:inline distT="0" distB="0" distL="0" distR="0">
            <wp:extent cx="5905500" cy="3238500"/>
            <wp:effectExtent t="0" r="0" b="0" l="0"/>
            <wp:docPr id="1" name="Figure 1. Pathway AI Gantt Chart — May 20 to August 12, 2026" descr="Figure 1. Pathway AI Gantt Chart — May 20 to August 12, 2026" title="Figure 1. Pathway AI Gantt Chart — May 20 to August 12,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200" w:before="60"/>
        <w:jc w:val="center"/>
      </w:pPr>
      <w:r>
        <w:rPr>
          <w:rFonts w:ascii="Arial" w:cs="Arial" w:eastAsia="Arial" w:hAnsi="Arial"/>
          <w:color w:val="64748b"/>
          <w:sz w:val="18"/>
          <w:szCs w:val="18"/>
        </w:rPr>
        <w:t xml:space="preserve">Figure 1. Pathway AI Gantt Chart — May 20 to August 12, 2026</w:t>
      </w:r>
    </w:p>
    <w:p>
      <w:pPr>
        <w:pageBreakBefore/>
      </w:pPr>
      <w:r>
        <w:t xml:space="preserve"/>
      </w:r>
    </w:p>
    <w:p>
      <w:pPr>
        <w:pStyle w:val="Heading1"/>
        <w:spacing w:after="160" w:before="320"/>
      </w:pPr>
      <w:r>
        <w:rPr>
          <w:rFonts w:ascii="Arial" w:cs="Arial" w:eastAsia="Arial" w:hAnsi="Arial"/>
          <w:b/>
          <w:bCs/>
          <w:color w:val="041336"/>
          <w:sz w:val="28"/>
          <w:szCs w:val="28"/>
        </w:rPr>
        <w:t xml:space="preserve">3. Critical Path Analysis</w:t>
      </w:r>
    </w:p>
    <w:p>
      <w:pPr>
        <w:pBdr>
          <w:bottom w:val="single" w:color="3b82f6" w:sz="6" w:space="1"/>
        </w:pBdr>
        <w:spacing w:after="80" w:before="80"/>
      </w:pPr>
      <w:r>
        <w:t xml:space="preserve"/>
      </w:r>
    </w:p>
    <w:p>
      <w:pPr>
        <w:spacing w:after="80" w:before="80"/>
      </w:pPr>
      <w:r>
        <w:rPr>
          <w:rFonts w:ascii="Arial" w:cs="Arial" w:eastAsia="Arial" w:hAnsi="Arial"/>
          <w:b w:val="false"/>
          <w:bCs w:val="false"/>
          <w:color w:val="0f172a"/>
          <w:sz w:val="22"/>
          <w:szCs w:val="22"/>
        </w:rPr>
        <w:t xml:space="preserve">The critical path is the sequence of dependent tasks that controls the final project delivery date. Any delay on the critical path directly delays the August 12 submission. Tasks not on the critical path have available slack.</w:t>
      </w:r>
    </w:p>
    <w:p>
      <w:pPr>
        <w:spacing w:after="60" w:before="60"/>
      </w:pPr>
      <w:r>
        <w:t xml:space="preserve"/>
      </w:r>
    </w:p>
    <w:p>
      <w:pPr>
        <w:jc w:val="center"/>
      </w:pPr>
      <w:r>
        <w:drawing>
          <wp:inline distT="0" distB="0" distL="0" distR="0">
            <wp:extent cx="5905500" cy="1809750"/>
            <wp:effectExtent t="0" r="0" b="0" l="0"/>
            <wp:docPr id="1" name="Figure 2. Pathway AI Critical Path — May 20 to August 12, 2026" descr="Figure 2. Pathway AI Critical Path — May 20 to August 12, 2026" title="Figure 2. Pathway AI Critical Path — May 20 to August 12,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09750"/>
                    </a:xfrm>
                    <a:prstGeom prst="rect">
                      <a:avLst/>
                    </a:prstGeom>
                  </pic:spPr>
                </pic:pic>
              </a:graphicData>
            </a:graphic>
          </wp:inline>
        </w:drawing>
      </w:r>
    </w:p>
    <w:p>
      <w:pPr>
        <w:spacing w:after="200" w:before="60"/>
        <w:jc w:val="center"/>
      </w:pPr>
      <w:r>
        <w:rPr>
          <w:rFonts w:ascii="Arial" w:cs="Arial" w:eastAsia="Arial" w:hAnsi="Arial"/>
          <w:color w:val="64748b"/>
          <w:sz w:val="18"/>
          <w:szCs w:val="18"/>
        </w:rPr>
        <w:t xml:space="preserve">Figure 2. Pathway AI Critical Path — May 20 to August 12, 2026</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Critical Path Sequence</w:t>
      </w:r>
    </w:p>
    <w:p>
      <w:pPr>
        <w:pStyle w:val="ListParagraph"/>
        <w:numPr>
          <w:ilvl w:val="0"/>
          <w:numId w:val="2"/>
        </w:numPr>
        <w:spacing w:after="60" w:before="60"/>
      </w:pPr>
      <w:r>
        <w:rPr>
          <w:rFonts w:ascii="Arial" w:cs="Arial" w:eastAsia="Arial" w:hAnsi="Arial"/>
          <w:color w:val="0f172a"/>
          <w:sz w:val="22"/>
          <w:szCs w:val="22"/>
        </w:rPr>
        <w:t xml:space="preserve">A  Requirements &amp; Brief (5d)</w:t>
      </w:r>
    </w:p>
    <w:p>
      <w:pPr>
        <w:pStyle w:val="ListParagraph"/>
        <w:numPr>
          <w:ilvl w:val="0"/>
          <w:numId w:val="2"/>
        </w:numPr>
        <w:spacing w:after="60" w:before="60"/>
      </w:pPr>
      <w:r>
        <w:rPr>
          <w:rFonts w:ascii="Arial" w:cs="Arial" w:eastAsia="Arial" w:hAnsi="Arial"/>
          <w:color w:val="0f172a"/>
          <w:sz w:val="22"/>
          <w:szCs w:val="22"/>
        </w:rPr>
        <w:t xml:space="preserve">C  Design &amp; Branding (8d)</w:t>
      </w:r>
    </w:p>
    <w:p>
      <w:pPr>
        <w:pStyle w:val="ListParagraph"/>
        <w:numPr>
          <w:ilvl w:val="0"/>
          <w:numId w:val="2"/>
        </w:numPr>
        <w:spacing w:after="60" w:before="60"/>
      </w:pPr>
      <w:r>
        <w:rPr>
          <w:rFonts w:ascii="Arial" w:cs="Arial" w:eastAsia="Arial" w:hAnsi="Arial"/>
          <w:color w:val="0f172a"/>
          <w:sz w:val="22"/>
          <w:szCs w:val="22"/>
        </w:rPr>
        <w:t xml:space="preserve">D  Dashboard Route (5d)</w:t>
      </w:r>
    </w:p>
    <w:p>
      <w:pPr>
        <w:pStyle w:val="ListParagraph"/>
        <w:numPr>
          <w:ilvl w:val="0"/>
          <w:numId w:val="2"/>
        </w:numPr>
        <w:spacing w:after="60" w:before="60"/>
      </w:pPr>
      <w:r>
        <w:rPr>
          <w:rFonts w:ascii="Arial" w:cs="Arial" w:eastAsia="Arial" w:hAnsi="Arial"/>
          <w:color w:val="0f172a"/>
          <w:sz w:val="22"/>
          <w:szCs w:val="22"/>
        </w:rPr>
        <w:t xml:space="preserve">E  Resume Checker MVP (8d)</w:t>
      </w:r>
    </w:p>
    <w:p>
      <w:pPr>
        <w:pStyle w:val="ListParagraph"/>
        <w:numPr>
          <w:ilvl w:val="0"/>
          <w:numId w:val="2"/>
        </w:numPr>
        <w:spacing w:after="60" w:before="60"/>
      </w:pPr>
      <w:r>
        <w:rPr>
          <w:rFonts w:ascii="Arial" w:cs="Arial" w:eastAsia="Arial" w:hAnsi="Arial"/>
          <w:color w:val="0f172a"/>
          <w:sz w:val="22"/>
          <w:szCs w:val="22"/>
        </w:rPr>
        <w:t xml:space="preserve">F  Vercel Deployment (4d)  ← In Progress</w:t>
      </w:r>
    </w:p>
    <w:p>
      <w:pPr>
        <w:pStyle w:val="ListParagraph"/>
        <w:numPr>
          <w:ilvl w:val="0"/>
          <w:numId w:val="2"/>
        </w:numPr>
        <w:spacing w:after="60" w:before="60"/>
      </w:pPr>
      <w:r>
        <w:rPr>
          <w:rFonts w:ascii="Arial" w:cs="Arial" w:eastAsia="Arial" w:hAnsi="Arial"/>
          <w:color w:val="0f172a"/>
          <w:sz w:val="22"/>
          <w:szCs w:val="22"/>
        </w:rPr>
        <w:t xml:space="preserve">G  Claude API Integration (12d)</w:t>
      </w:r>
    </w:p>
    <w:p>
      <w:pPr>
        <w:pStyle w:val="ListParagraph"/>
        <w:numPr>
          <w:ilvl w:val="0"/>
          <w:numId w:val="2"/>
        </w:numPr>
        <w:spacing w:after="60" w:before="60"/>
      </w:pPr>
      <w:r>
        <w:rPr>
          <w:rFonts w:ascii="Arial" w:cs="Arial" w:eastAsia="Arial" w:hAnsi="Arial"/>
          <w:color w:val="0f172a"/>
          <w:sz w:val="22"/>
          <w:szCs w:val="22"/>
        </w:rPr>
        <w:t xml:space="preserve">H  Authentication &amp; Database (10d)</w:t>
      </w:r>
    </w:p>
    <w:p>
      <w:pPr>
        <w:pStyle w:val="ListParagraph"/>
        <w:numPr>
          <w:ilvl w:val="0"/>
          <w:numId w:val="2"/>
        </w:numPr>
        <w:spacing w:after="60" w:before="60"/>
      </w:pPr>
      <w:r>
        <w:rPr>
          <w:rFonts w:ascii="Arial" w:cs="Arial" w:eastAsia="Arial" w:hAnsi="Arial"/>
          <w:color w:val="0f172a"/>
          <w:sz w:val="22"/>
          <w:szCs w:val="22"/>
        </w:rPr>
        <w:t xml:space="preserve">K  Mock Interview Coach (14d)  ← Longest module</w:t>
      </w:r>
    </w:p>
    <w:p>
      <w:pPr>
        <w:pStyle w:val="ListParagraph"/>
        <w:numPr>
          <w:ilvl w:val="0"/>
          <w:numId w:val="2"/>
        </w:numPr>
        <w:spacing w:after="60" w:before="60"/>
      </w:pPr>
      <w:r>
        <w:rPr>
          <w:rFonts w:ascii="Arial" w:cs="Arial" w:eastAsia="Arial" w:hAnsi="Arial"/>
          <w:color w:val="0f172a"/>
          <w:sz w:val="22"/>
          <w:szCs w:val="22"/>
        </w:rPr>
        <w:t xml:space="preserve">L  Final Documentation &amp; Submission (8d)</w:t>
      </w:r>
    </w:p>
    <w:p>
      <w:pPr>
        <w:spacing w:after="60" w:before="60"/>
      </w:pPr>
      <w:r>
        <w:t xml:space="preserve"/>
      </w:r>
    </w:p>
    <w:p>
      <w:pPr>
        <w:spacing w:after="80" w:before="80"/>
      </w:pPr>
      <w:r>
        <w:rPr>
          <w:rFonts w:ascii="Arial" w:cs="Arial" w:eastAsia="Arial" w:hAnsi="Arial"/>
          <w:b w:val="false"/>
          <w:bCs w:val="false"/>
          <w:color w:val="0f172a"/>
          <w:sz w:val="22"/>
          <w:szCs w:val="22"/>
        </w:rPr>
        <w:t xml:space="preserve">Total critical path duration: approximately 74 expected days. The project window is 84 days, leaving approximately 10 days of total float available for risk mitigation.</w:t>
      </w:r>
    </w:p>
    <w:p>
      <w:pPr>
        <w:pageBreakBefore/>
      </w:pPr>
      <w:r>
        <w:t xml:space="preserve"/>
      </w:r>
    </w:p>
    <w:p>
      <w:pPr>
        <w:pStyle w:val="Heading1"/>
        <w:spacing w:after="160" w:before="320"/>
      </w:pPr>
      <w:r>
        <w:rPr>
          <w:rFonts w:ascii="Arial" w:cs="Arial" w:eastAsia="Arial" w:hAnsi="Arial"/>
          <w:b/>
          <w:bCs/>
          <w:color w:val="041336"/>
          <w:sz w:val="28"/>
          <w:szCs w:val="28"/>
        </w:rPr>
        <w:t xml:space="preserve">4. PERT Estimate Table</w:t>
      </w:r>
    </w:p>
    <w:p>
      <w:pPr>
        <w:pBdr>
          <w:bottom w:val="single" w:color="3b82f6" w:sz="6" w:space="1"/>
        </w:pBdr>
        <w:spacing w:after="80" w:before="80"/>
      </w:pPr>
      <w:r>
        <w:t xml:space="preserve"/>
      </w:r>
    </w:p>
    <w:p>
      <w:pPr>
        <w:spacing w:after="80" w:before="80"/>
      </w:pPr>
      <w:r>
        <w:rPr>
          <w:rFonts w:ascii="Arial" w:cs="Arial" w:eastAsia="Arial" w:hAnsi="Arial"/>
          <w:b w:val="false"/>
          <w:bCs w:val="false"/>
          <w:color w:val="0f172a"/>
          <w:sz w:val="22"/>
          <w:szCs w:val="22"/>
        </w:rPr>
        <w:t xml:space="preserve">Each task is estimated using three scenarios: Optimistic (O), Most Likely (M), and Pessimistic (P). The PERT expected time (te) is calculated as: te = (O + 4M + P) /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120"/>
        <w:gridCol w:w="936"/>
        <w:gridCol w:w="936"/>
        <w:gridCol w:w="936"/>
        <w:gridCol w:w="1200"/>
        <w:gridCol w:w="1764"/>
      </w:tblGrid>
      <w:tr>
        <w:tc>
          <w:tcPr>
            <w:tcBorders>
              <w:top w:val="single" w:color="e2e8f0" w:sz="1"/>
              <w:left w:val="single" w:color="e2e8f0" w:sz="1"/>
              <w:bottom w:val="single" w:color="e2e8f0" w:sz="1"/>
              <w:right w:val="single" w:color="e2e8f0" w:sz="1"/>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Borders>
              <w:top w:val="single" w:color="e2e8f0" w:sz="1"/>
              <w:left w:val="single" w:color="e2e8f0" w:sz="1"/>
              <w:bottom w:val="single" w:color="e2e8f0" w:sz="1"/>
              <w:right w:val="single" w:color="e2e8f0" w:sz="1"/>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Borders>
              <w:top w:val="single" w:color="e2e8f0" w:sz="1"/>
              <w:left w:val="single" w:color="e2e8f0" w:sz="1"/>
              <w:bottom w:val="single" w:color="e2e8f0" w:sz="1"/>
              <w:right w:val="single" w:color="e2e8f0" w:sz="1"/>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 (days)</w:t>
            </w:r>
          </w:p>
        </w:tc>
        <w:tc>
          <w:tcPr>
            <w:tcBorders>
              <w:top w:val="single" w:color="e2e8f0" w:sz="1"/>
              <w:left w:val="single" w:color="e2e8f0" w:sz="1"/>
              <w:bottom w:val="single" w:color="e2e8f0" w:sz="1"/>
              <w:right w:val="single" w:color="e2e8f0" w:sz="1"/>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 (days)</w:t>
            </w:r>
          </w:p>
        </w:tc>
        <w:tc>
          <w:tcPr>
            <w:tcBorders>
              <w:top w:val="single" w:color="e2e8f0" w:sz="1"/>
              <w:left w:val="single" w:color="e2e8f0" w:sz="1"/>
              <w:bottom w:val="single" w:color="e2e8f0" w:sz="1"/>
              <w:right w:val="single" w:color="e2e8f0" w:sz="1"/>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 (days)</w:t>
            </w:r>
          </w:p>
        </w:tc>
        <w:tc>
          <w:tcPr>
            <w:tcBorders>
              <w:top w:val="single" w:color="e2e8f0" w:sz="1"/>
              <w:left w:val="single" w:color="e2e8f0" w:sz="1"/>
              <w:bottom w:val="single" w:color="e2e8f0" w:sz="1"/>
              <w:right w:val="single" w:color="e2e8f0" w:sz="1"/>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 (days)</w:t>
            </w:r>
          </w:p>
        </w:tc>
        <w:tc>
          <w:tcPr>
            <w:tcBorders>
              <w:top w:val="single" w:color="e2e8f0" w:sz="1"/>
              <w:left w:val="single" w:color="e2e8f0" w:sz="1"/>
              <w:bottom w:val="single" w:color="e2e8f0" w:sz="1"/>
              <w:right w:val="single" w:color="e2e8f0" w:sz="1"/>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A</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Requirements &amp; Project Brief</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3</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5</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7</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5.0</w:t>
            </w:r>
          </w:p>
        </w:tc>
        <w:tc>
          <w:tcPr>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Completed</w:t>
            </w:r>
          </w:p>
        </w:tc>
      </w:tr>
      <w:tr>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B</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Literature Review &amp; Research</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5</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7</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10</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7.2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Completed</w:t>
            </w:r>
          </w:p>
        </w:tc>
      </w:tr>
      <w:tr>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C</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Design &amp; Branding</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5</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8</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12</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8.2</w:t>
            </w:r>
          </w:p>
        </w:tc>
        <w:tc>
          <w:tcPr>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Completed</w:t>
            </w:r>
          </w:p>
        </w:tc>
      </w:tr>
      <w:tr>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D</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Dashboard Route</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3</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5</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8</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5.2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Completed</w:t>
            </w:r>
          </w:p>
        </w:tc>
      </w:tr>
      <w:tr>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E</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Resume Checker MVP</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5</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8</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12</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8.2</w:t>
            </w:r>
          </w:p>
        </w:tc>
        <w:tc>
          <w:tcPr>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Completed</w:t>
            </w:r>
          </w:p>
        </w:tc>
      </w:tr>
      <w:tr>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F</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Vercel Deployment</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2</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4</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7</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4.2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In Progress</w:t>
            </w:r>
          </w:p>
        </w:tc>
      </w:tr>
      <w:tr>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G</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Claude API Integration</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7</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12</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18</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12.2</w:t>
            </w:r>
          </w:p>
        </w:tc>
        <w:tc>
          <w:tcPr>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Planned</w:t>
            </w:r>
          </w:p>
        </w:tc>
      </w:tr>
      <w:tr>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H</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Clerk Auth + NeonDB</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7</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10</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15</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10.3</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Planned</w:t>
            </w:r>
          </w:p>
        </w:tc>
      </w:tr>
      <w:tr>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I</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Career Path Explorer</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7</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12</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18</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12.2</w:t>
            </w:r>
          </w:p>
        </w:tc>
        <w:tc>
          <w:tcPr>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Planned</w:t>
            </w:r>
          </w:p>
        </w:tc>
      </w:tr>
      <w:tr>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J</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Skill Gap Roadmap</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7</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12</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18</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12.2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Planned</w:t>
            </w:r>
          </w:p>
        </w:tc>
      </w:tr>
      <w:tr>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K</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Mock Interview Coach</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10</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14</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21</w:t>
            </w:r>
          </w:p>
        </w:tc>
        <w:tc>
          <w:tcPr>
            <w:tcW w:type="auto" w:w="0"/>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14.5</w:t>
            </w:r>
          </w:p>
        </w:tc>
        <w:tc>
          <w:tcPr>
            <w:tcBorders>
              <w:top w:val="single" w:color="e2e8f0" w:sz="1"/>
              <w:left w:val="single" w:color="e2e8f0" w:sz="1"/>
              <w:bottom w:val="single" w:color="e2e8f0" w:sz="1"/>
              <w:right w:val="single" w:color="e2e8f0" w:sz="1"/>
            </w:tcBorders>
            <w:shd w:fill="f7f9fc"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Planned</w:t>
            </w:r>
          </w:p>
        </w:tc>
      </w:tr>
      <w:tr>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L</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Final Documentation &amp; Submission</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5</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8</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12</w:t>
            </w:r>
          </w:p>
        </w:tc>
        <w:tc>
          <w:tcPr>
            <w:tcW w:type="auto" w:w="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20"/>
                <w:szCs w:val="20"/>
              </w:rPr>
              <w:t xml:space="preserve">8.2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Planned</w:t>
            </w:r>
          </w:p>
        </w:tc>
      </w:tr>
    </w:tbl>
    <w:p>
      <w:pPr>
        <w:spacing w:after="60" w:before="60"/>
      </w:pPr>
      <w:r>
        <w:t xml:space="preserve"/>
      </w:r>
    </w:p>
    <w:p>
      <w:pPr>
        <w:spacing w:after="80" w:before="80"/>
      </w:pPr>
      <w:r>
        <w:rPr>
          <w:rFonts w:ascii="Arial" w:cs="Arial" w:eastAsia="Arial" w:hAnsi="Arial"/>
          <w:b w:val="false"/>
          <w:bCs w:val="false"/>
          <w:color w:val="64748b"/>
          <w:sz w:val="22"/>
          <w:szCs w:val="22"/>
        </w:rPr>
        <w:t xml:space="preserve">O = Optimistic days  |  M = Most Likely days  |  P = Pessimistic days  |  te = PERT expected time</w:t>
      </w:r>
    </w:p>
    <w:p>
      <w:pPr>
        <w:pageBreakBefore/>
      </w:pPr>
      <w:r>
        <w:t xml:space="preserve"/>
      </w:r>
    </w:p>
    <w:p>
      <w:pPr>
        <w:pStyle w:val="Heading1"/>
        <w:spacing w:after="160" w:before="320"/>
      </w:pPr>
      <w:r>
        <w:rPr>
          <w:rFonts w:ascii="Arial" w:cs="Arial" w:eastAsia="Arial" w:hAnsi="Arial"/>
          <w:b/>
          <w:bCs/>
          <w:color w:val="041336"/>
          <w:sz w:val="28"/>
          <w:szCs w:val="28"/>
        </w:rPr>
        <w:t xml:space="preserve">5. PERT Chart</w:t>
      </w:r>
    </w:p>
    <w:p>
      <w:pPr>
        <w:pBdr>
          <w:bottom w:val="single" w:color="3b82f6" w:sz="6" w:space="1"/>
        </w:pBdr>
        <w:spacing w:after="80" w:before="80"/>
      </w:pPr>
      <w:r>
        <w:t xml:space="preserve"/>
      </w:r>
    </w:p>
    <w:p>
      <w:pPr>
        <w:spacing w:after="80" w:before="80"/>
      </w:pPr>
      <w:r>
        <w:rPr>
          <w:rFonts w:ascii="Arial" w:cs="Arial" w:eastAsia="Arial" w:hAnsi="Arial"/>
          <w:b w:val="false"/>
          <w:bCs w:val="false"/>
          <w:color w:val="0f172a"/>
          <w:sz w:val="22"/>
          <w:szCs w:val="22"/>
        </w:rPr>
        <w:t xml:space="preserve">The PERT chart maps all tasks as nodes in a dependency network spanning May 20 to August 12. Each node shows the task ID, name, and expected duration (te). Arrows represent dependencies — a task cannot begin until all upstream tasks are complete.</w:t>
      </w:r>
    </w:p>
    <w:p>
      <w:pPr>
        <w:spacing w:after="60" w:before="60"/>
      </w:pPr>
      <w:r>
        <w:t xml:space="preserve"/>
      </w:r>
    </w:p>
    <w:p>
      <w:pPr>
        <w:jc w:val="center"/>
      </w:pPr>
      <w:r>
        <w:drawing>
          <wp:inline distT="0" distB="0" distL="0" distR="0">
            <wp:extent cx="5905500" cy="3238500"/>
            <wp:effectExtent t="0" r="0" b="0" l="0"/>
            <wp:docPr id="1" name="Figure 3. Pathway AI PERT Chart — May 20 to August 12, 2026" descr="Figure 3. Pathway AI PERT Chart — May 20 to August 12, 2026" title="Figure 3. Pathway AI PERT Chart — May 20 to August 12,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38500"/>
                    </a:xfrm>
                    <a:prstGeom prst="rect">
                      <a:avLst/>
                    </a:prstGeom>
                  </pic:spPr>
                </pic:pic>
              </a:graphicData>
            </a:graphic>
          </wp:inline>
        </w:drawing>
      </w:r>
    </w:p>
    <w:p>
      <w:pPr>
        <w:spacing w:after="200" w:before="60"/>
        <w:jc w:val="center"/>
      </w:pPr>
      <w:r>
        <w:rPr>
          <w:rFonts w:ascii="Arial" w:cs="Arial" w:eastAsia="Arial" w:hAnsi="Arial"/>
          <w:color w:val="64748b"/>
          <w:sz w:val="18"/>
          <w:szCs w:val="18"/>
        </w:rPr>
        <w:t xml:space="preserve">Figure 3. Pathway AI PERT Chart — May 20 to August 12, 2026</w:t>
      </w:r>
    </w:p>
    <w:p>
      <w:pPr>
        <w:spacing w:after="60" w:before="60"/>
      </w:pPr>
      <w:r>
        <w:t xml:space="preserve"/>
      </w:r>
    </w:p>
    <w:p>
      <w:pPr>
        <w:spacing w:after="80" w:before="80"/>
      </w:pPr>
      <w:r>
        <w:rPr>
          <w:rFonts w:ascii="Arial" w:cs="Arial" w:eastAsia="Arial" w:hAnsi="Arial"/>
          <w:b w:val="false"/>
          <w:bCs w:val="false"/>
          <w:color w:val="0f172a"/>
          <w:sz w:val="22"/>
          <w:szCs w:val="22"/>
        </w:rPr>
        <w:t xml:space="preserve">The network shows two parallel development tracks converging at the final submission: the frontend and AI integration track (A → C → E → G → I → L) and the infrastructure track (B → D → F → H → K → L). Both tracks must complete before the final documentation and submission milestone.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1"/>
      </w:pBdr>
      <w:tabs>
        <w:tab w:val="right" w:pos="9360"/>
      </w:tabs>
    </w:pPr>
    <w:r>
      <w:rPr>
        <w:rFonts w:ascii="Arial" w:cs="Arial" w:eastAsia="Arial" w:hAnsi="Arial"/>
        <w:color w:val="64748b"/>
        <w:sz w:val="16"/>
        <w:szCs w:val="16"/>
      </w:rPr>
      <w:t xml:space="preserve">David Ademoye  |  Pathway AI</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tabs>
        <w:tab w:val="right" w:pos="9360"/>
      </w:tabs>
    </w:pPr>
    <w:r>
      <w:rPr>
        <w:rFonts w:ascii="Arial" w:cs="Arial" w:eastAsia="Arial" w:hAnsi="Arial"/>
        <w:color w:val="000080"/>
        <w:sz w:val="18"/>
        <w:szCs w:val="18"/>
      </w:rPr>
      <w:t xml:space="preserve">Pathway AI  |  Project Management Charts</w:t>
    </w:r>
    <w:r>
      <w:rPr>
        <w:rFonts w:ascii="Arial" w:cs="Arial" w:eastAsia="Arial" w:hAnsi="Arial"/>
        <w:sz w:val="18"/>
        <w:szCs w:val="18"/>
      </w:rPr>
      <w:t xml:space="preserve">	</w:t>
    </w:r>
    <w:r>
      <w:rPr>
        <w:rFonts w:ascii="Arial" w:cs="Arial" w:eastAsia="Arial" w:hAnsi="Arial"/>
        <w:color w:val="64748b"/>
        <w:sz w:val="18"/>
        <w:szCs w:val="18"/>
      </w:rPr>
      <w:t xml:space="preserve">IST 440W  |  Penn 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4133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3cea00f149c23bb97b872ea54ac1c3cfb31733.png"/><Relationship Id="rId10" Type="http://schemas.openxmlformats.org/officeDocument/2006/relationships/image" Target="media/987722876c06d1ae2aa51f8ced0978fd4be4138f.png"/><Relationship Id="rId11" Type="http://schemas.openxmlformats.org/officeDocument/2006/relationships/image" Target="media/7532ae33c4c8886dc8333a8e8b83436f14b1e36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2026-06-30T14:48:12.098Z</dcterms:created>
  <dcterms:modified xsi:type="dcterms:W3CDTF">2026-06-30T14:48:12.098Z</dcterms:modified>
</cp:coreProperties>
</file>

<file path=docProps/custom.xml><?xml version="1.0" encoding="utf-8"?>
<Properties xmlns="http://schemas.openxmlformats.org/officeDocument/2006/custom-properties" xmlns:vt="http://schemas.openxmlformats.org/officeDocument/2006/docPropsVTypes"/>
</file>