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i w:val="0"/>
          <w:color w:val="041336"/>
          <w:sz w:val="52"/>
        </w:rPr>
        <w:t>PATHWAY AI</w:t>
      </w:r>
    </w:p>
    <w:p>
      <w:pPr>
        <w:spacing w:after="40"/>
        <w:jc w:val="center"/>
      </w:pPr>
      <w:r>
        <w:rPr>
          <w:rFonts w:ascii="Arial" w:hAnsi="Arial"/>
          <w:b w:val="0"/>
          <w:i w:val="0"/>
          <w:color w:val="3B82F6"/>
          <w:sz w:val="32"/>
        </w:rPr>
        <w:t>Project Management Charts (Updated)</w:t>
      </w:r>
    </w:p>
    <w:p>
      <w:pPr>
        <w:spacing w:after="40"/>
        <w:jc w:val="center"/>
      </w:pPr>
      <w:r>
        <w:rPr>
          <w:rFonts w:ascii="Arial" w:hAnsi="Arial"/>
          <w:b w:val="0"/>
          <w:i w:val="0"/>
          <w:color w:val="64748B"/>
          <w:sz w:val="22"/>
        </w:rPr>
        <w:t>IST 440W Capstone  |  Penn State University</w:t>
      </w:r>
    </w:p>
    <w:p>
      <w:pPr>
        <w:spacing w:after="280"/>
        <w:jc w:val="center"/>
      </w:pPr>
      <w:r>
        <w:rPr>
          <w:rFonts w:ascii="Arial" w:hAnsi="Arial"/>
          <w:b w:val="0"/>
          <w:i w:val="0"/>
          <w:color w:val="64748B"/>
          <w:sz w:val="22"/>
        </w:rPr>
        <w:t>David Ademoye  |  May 20 – August 12, 2026  |  Status as of July 6, 2026</w:t>
      </w:r>
    </w:p>
    <w:p>
      <w:pPr>
        <w:spacing w:before="280" w:after="120"/>
      </w:pPr>
      <w:r>
        <w:rPr>
          <w:rFonts w:ascii="Arial" w:hAnsi="Arial"/>
          <w:b/>
          <w:i w:val="0"/>
          <w:color w:val="041336"/>
          <w:sz w:val="32"/>
        </w:rPr>
        <w:t>1. Project Management Summary</w:t>
      </w:r>
    </w:p>
    <w:p>
      <w:pPr>
        <w:spacing w:after="160"/>
      </w:pPr>
      <w:r>
        <w:rPr>
          <w:rFonts w:ascii="Arial" w:hAnsi="Arial"/>
          <w:b w:val="0"/>
          <w:i w:val="0"/>
          <w:color w:val="0F172A"/>
          <w:sz w:val="22"/>
        </w:rPr>
        <w:t>This document contains the updated project management artifacts for Pathway AI, reflecting project status as of July 6, 2026. Since the June 30 baseline, the project has advanced well ahead of the original plan. Vercel deployment is complete with a confirmed public URL, the Claude Opus 4.8 API is integrated, and all four career readiness modules (Resume Checker, Career Path Explorer, Skill Gap Roadmap, and Mock Interview Coach) are built and AI-powered.</w:t>
      </w:r>
    </w:p>
    <w:p>
      <w:pPr>
        <w:spacing w:after="160"/>
      </w:pPr>
      <w:r>
        <w:rPr>
          <w:rFonts w:ascii="Arial" w:hAnsi="Arial"/>
          <w:b w:val="0"/>
          <w:i w:val="0"/>
          <w:color w:val="0F172A"/>
          <w:sz w:val="22"/>
        </w:rPr>
        <w:t>The remaining critical path is short: Testing and QA, followed by final documentation and submission, closing with the capstone presentation on August 12. Clerk authentication and the NeonDB database were intentionally moved to a parallel, non-critical track. Because the application uses browser-based storage, these items carry available slack and can be completed as stretch goals without affecting the submission date.</w:t>
      </w:r>
    </w:p>
    <w:p>
      <w:pPr>
        <w:spacing w:before="280" w:after="120"/>
      </w:pPr>
      <w:r>
        <w:rPr>
          <w:rFonts w:ascii="Arial" w:hAnsi="Arial"/>
          <w:b/>
          <w:i w:val="0"/>
          <w:color w:val="041336"/>
          <w:sz w:val="32"/>
        </w:rPr>
        <w:t>2. Gantt Chart</w:t>
      </w:r>
    </w:p>
    <w:p>
      <w:pPr>
        <w:spacing w:after="160"/>
      </w:pPr>
      <w:r>
        <w:rPr>
          <w:rFonts w:ascii="Arial" w:hAnsi="Arial"/>
          <w:b w:val="0"/>
          <w:i w:val="0"/>
          <w:color w:val="0F172A"/>
          <w:sz w:val="22"/>
        </w:rPr>
        <w:t>The Gantt chart plots every task across the May 20 to August 12 timeline. Green bars are completed work, amber bars are currently in progress, and blue bars are planned stretch items. The red dashed line marks today, July 6, 2026.</w:t>
      </w:r>
    </w:p>
    <w:p>
      <w:pPr>
        <w:spacing w:before="120"/>
        <w:jc w:val="center"/>
      </w:pPr>
      <w:r>
        <w:drawing>
          <wp:inline xmlns:a="http://schemas.openxmlformats.org/drawingml/2006/main" xmlns:pic="http://schemas.openxmlformats.org/drawingml/2006/picture">
            <wp:extent cx="6035040" cy="4009844"/>
            <wp:docPr id="1" name="Picture 1"/>
            <wp:cNvGraphicFramePr>
              <a:graphicFrameLocks noChangeAspect="1"/>
            </wp:cNvGraphicFramePr>
            <a:graphic>
              <a:graphicData uri="http://schemas.openxmlformats.org/drawingml/2006/picture">
                <pic:pic>
                  <pic:nvPicPr>
                    <pic:cNvPr id="0" name="gantt_updated.png"/>
                    <pic:cNvPicPr/>
                  </pic:nvPicPr>
                  <pic:blipFill>
                    <a:blip r:embed="rId9"/>
                    <a:stretch>
                      <a:fillRect/>
                    </a:stretch>
                  </pic:blipFill>
                  <pic:spPr>
                    <a:xfrm>
                      <a:off x="0" y="0"/>
                      <a:ext cx="6035040" cy="4009844"/>
                    </a:xfrm>
                    <a:prstGeom prst="rect"/>
                  </pic:spPr>
                </pic:pic>
              </a:graphicData>
            </a:graphic>
          </wp:inline>
        </w:drawing>
      </w:r>
    </w:p>
    <w:p>
      <w:pPr>
        <w:spacing w:after="240"/>
        <w:jc w:val="center"/>
      </w:pPr>
      <w:r>
        <w:rPr>
          <w:rFonts w:ascii="Arial" w:hAnsi="Arial"/>
          <w:b w:val="0"/>
          <w:i/>
          <w:color w:val="64748B"/>
          <w:sz w:val="18"/>
        </w:rPr>
        <w:t>Figure 1. Pathway AI Gantt Chart (Updated) — May 20 to August 12, 2026</w:t>
      </w:r>
    </w:p>
    <w:p>
      <w:pPr>
        <w:spacing w:before="280" w:after="120"/>
      </w:pPr>
      <w:r>
        <w:rPr>
          <w:rFonts w:ascii="Arial" w:hAnsi="Arial"/>
          <w:b/>
          <w:i w:val="0"/>
          <w:color w:val="041336"/>
          <w:sz w:val="32"/>
        </w:rPr>
        <w:t>3. Critical Path Analysis</w:t>
      </w:r>
    </w:p>
    <w:p>
      <w:pPr>
        <w:spacing w:after="160"/>
      </w:pPr>
      <w:r>
        <w:rPr>
          <w:rFonts w:ascii="Arial" w:hAnsi="Arial"/>
          <w:b w:val="0"/>
          <w:i w:val="0"/>
          <w:color w:val="0F172A"/>
          <w:sz w:val="22"/>
        </w:rPr>
        <w:t>The critical path is the sequence of dependent tasks that controls the final delivery date. With the core build complete, the critical path now runs only through Testing and QA and Final Documentation and Submission. Authentication and the database have moved off the critical path into a parallel track with slack.</w:t>
      </w:r>
    </w:p>
    <w:p>
      <w:pPr>
        <w:spacing w:before="120"/>
        <w:jc w:val="center"/>
      </w:pPr>
      <w:r>
        <w:drawing>
          <wp:inline xmlns:a="http://schemas.openxmlformats.org/drawingml/2006/main" xmlns:pic="http://schemas.openxmlformats.org/drawingml/2006/picture">
            <wp:extent cx="6035040" cy="2550523"/>
            <wp:docPr id="2" name="Picture 2"/>
            <wp:cNvGraphicFramePr>
              <a:graphicFrameLocks noChangeAspect="1"/>
            </wp:cNvGraphicFramePr>
            <a:graphic>
              <a:graphicData uri="http://schemas.openxmlformats.org/drawingml/2006/picture">
                <pic:pic>
                  <pic:nvPicPr>
                    <pic:cNvPr id="0" name="cpa_updated.png"/>
                    <pic:cNvPicPr/>
                  </pic:nvPicPr>
                  <pic:blipFill>
                    <a:blip r:embed="rId10"/>
                    <a:stretch>
                      <a:fillRect/>
                    </a:stretch>
                  </pic:blipFill>
                  <pic:spPr>
                    <a:xfrm>
                      <a:off x="0" y="0"/>
                      <a:ext cx="6035040" cy="2550523"/>
                    </a:xfrm>
                    <a:prstGeom prst="rect"/>
                  </pic:spPr>
                </pic:pic>
              </a:graphicData>
            </a:graphic>
          </wp:inline>
        </w:drawing>
      </w:r>
    </w:p>
    <w:p>
      <w:pPr>
        <w:spacing w:after="240"/>
        <w:jc w:val="center"/>
      </w:pPr>
      <w:r>
        <w:rPr>
          <w:rFonts w:ascii="Arial" w:hAnsi="Arial"/>
          <w:b w:val="0"/>
          <w:i/>
          <w:color w:val="64748B"/>
          <w:sz w:val="18"/>
        </w:rPr>
        <w:t>Figure 2. Pathway AI Critical Path (Updated) — core build complete</w:t>
      </w:r>
    </w:p>
    <w:p>
      <w:pPr>
        <w:spacing w:after="80"/>
      </w:pPr>
      <w:r>
        <w:rPr>
          <w:rFonts w:ascii="Arial" w:hAnsi="Arial"/>
          <w:b/>
          <w:i w:val="0"/>
          <w:color w:val="041336"/>
          <w:sz w:val="24"/>
        </w:rPr>
        <w:t>Updated Critical Path Sequence</w:t>
      </w:r>
    </w:p>
    <w:p>
      <w:pPr>
        <w:pStyle w:val="ListBullet"/>
        <w:spacing w:after="40"/>
      </w:pPr>
      <w:r>
        <w:rPr>
          <w:rFonts w:ascii="Arial" w:hAnsi="Arial"/>
          <w:b w:val="0"/>
          <w:i w:val="0"/>
          <w:color w:val="0F172A"/>
          <w:sz w:val="22"/>
        </w:rPr>
        <w:t>A  Requirements &amp; Brief (5d)  — Completed</w:t>
      </w:r>
    </w:p>
    <w:p>
      <w:pPr>
        <w:pStyle w:val="ListBullet"/>
        <w:spacing w:after="40"/>
      </w:pPr>
      <w:r>
        <w:rPr>
          <w:rFonts w:ascii="Arial" w:hAnsi="Arial"/>
          <w:b w:val="0"/>
          <w:i w:val="0"/>
          <w:color w:val="0F172A"/>
          <w:sz w:val="22"/>
        </w:rPr>
        <w:t>C  Design &amp; Branding (8d)  — Completed</w:t>
      </w:r>
    </w:p>
    <w:p>
      <w:pPr>
        <w:pStyle w:val="ListBullet"/>
        <w:spacing w:after="40"/>
      </w:pPr>
      <w:r>
        <w:rPr>
          <w:rFonts w:ascii="Arial" w:hAnsi="Arial"/>
          <w:b w:val="0"/>
          <w:i w:val="0"/>
          <w:color w:val="0F172A"/>
          <w:sz w:val="22"/>
        </w:rPr>
        <w:t>D  Dashboard Route (5d)  — Completed</w:t>
      </w:r>
    </w:p>
    <w:p>
      <w:pPr>
        <w:pStyle w:val="ListBullet"/>
        <w:spacing w:after="40"/>
      </w:pPr>
      <w:r>
        <w:rPr>
          <w:rFonts w:ascii="Arial" w:hAnsi="Arial"/>
          <w:b w:val="0"/>
          <w:i w:val="0"/>
          <w:color w:val="0F172A"/>
          <w:sz w:val="22"/>
        </w:rPr>
        <w:t>E  Resume Checker MVP (8d)  — Completed</w:t>
      </w:r>
    </w:p>
    <w:p>
      <w:pPr>
        <w:pStyle w:val="ListBullet"/>
        <w:spacing w:after="40"/>
      </w:pPr>
      <w:r>
        <w:rPr>
          <w:rFonts w:ascii="Arial" w:hAnsi="Arial"/>
          <w:b w:val="0"/>
          <w:i w:val="0"/>
          <w:color w:val="0F172A"/>
          <w:sz w:val="22"/>
        </w:rPr>
        <w:t>F  Vercel Deployment (4d)  — Completed</w:t>
      </w:r>
    </w:p>
    <w:p>
      <w:pPr>
        <w:pStyle w:val="ListBullet"/>
        <w:spacing w:after="40"/>
      </w:pPr>
      <w:r>
        <w:rPr>
          <w:rFonts w:ascii="Arial" w:hAnsi="Arial"/>
          <w:b w:val="0"/>
          <w:i w:val="0"/>
          <w:color w:val="0F172A"/>
          <w:sz w:val="22"/>
        </w:rPr>
        <w:t>G  Claude API Integration (12d)  — Completed</w:t>
      </w:r>
    </w:p>
    <w:p>
      <w:pPr>
        <w:pStyle w:val="ListBullet"/>
        <w:spacing w:after="40"/>
      </w:pPr>
      <w:r>
        <w:rPr>
          <w:rFonts w:ascii="Arial" w:hAnsi="Arial"/>
          <w:b w:val="0"/>
          <w:i w:val="0"/>
          <w:color w:val="0F172A"/>
          <w:sz w:val="22"/>
        </w:rPr>
        <w:t>I / J / K  Four AI Modules Built (approx. 20d)  — Completed</w:t>
      </w:r>
    </w:p>
    <w:p>
      <w:pPr>
        <w:pStyle w:val="ListBullet"/>
        <w:spacing w:after="40"/>
      </w:pPr>
      <w:r>
        <w:rPr>
          <w:rFonts w:ascii="Arial" w:hAnsi="Arial"/>
          <w:b w:val="0"/>
          <w:i w:val="0"/>
          <w:color w:val="0F172A"/>
          <w:sz w:val="22"/>
        </w:rPr>
        <w:t>Testing &amp; QA (10d)  — In Progress</w:t>
      </w:r>
    </w:p>
    <w:p>
      <w:pPr>
        <w:pStyle w:val="ListBullet"/>
        <w:spacing w:after="40"/>
      </w:pPr>
      <w:r>
        <w:rPr>
          <w:rFonts w:ascii="Arial" w:hAnsi="Arial"/>
          <w:b w:val="0"/>
          <w:i w:val="0"/>
          <w:color w:val="0F172A"/>
          <w:sz w:val="22"/>
        </w:rPr>
        <w:t>L  Final Documentation &amp; Submission (8d)  — In Progress</w:t>
      </w:r>
    </w:p>
    <w:p>
      <w:pPr>
        <w:spacing w:after="160"/>
      </w:pPr>
      <w:r>
        <w:rPr>
          <w:rFonts w:ascii="Arial" w:hAnsi="Arial"/>
          <w:b w:val="0"/>
          <w:i w:val="0"/>
          <w:color w:val="0F172A"/>
          <w:sz w:val="22"/>
        </w:rPr>
        <w:t>The completed and in-progress critical path totals roughly 80 expected days within the 84-day window. The core development is finished ahead of schedule, leaving comfortable float for testing, documentation, and the optional authentication and database work.</w:t>
      </w:r>
    </w:p>
    <w:p>
      <w:pPr>
        <w:spacing w:before="280" w:after="120"/>
      </w:pPr>
      <w:r>
        <w:rPr>
          <w:rFonts w:ascii="Arial" w:hAnsi="Arial"/>
          <w:b/>
          <w:i w:val="0"/>
          <w:color w:val="041336"/>
          <w:sz w:val="32"/>
        </w:rPr>
        <w:t>4. PERT Estimate Table</w:t>
      </w:r>
    </w:p>
    <w:p>
      <w:pPr>
        <w:spacing w:after="160"/>
      </w:pPr>
      <w:r>
        <w:rPr>
          <w:rFonts w:ascii="Arial" w:hAnsi="Arial"/>
          <w:b w:val="0"/>
          <w:i w:val="0"/>
          <w:color w:val="0F172A"/>
          <w:sz w:val="22"/>
        </w:rPr>
        <w:t>Each task is estimated with three scenarios: Optimistic (O), Most Likely (M), and Pessimistic (P). PERT expected time is te = (O + 4M + P) / 6. Status is updated to July 6, 2026.</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val="clear" w:color="auto" w:fill="041336"/>
          </w:tcPr>
          <w:p>
            <w:pPr>
              <w:jc w:val="center"/>
            </w:pPr>
            <w:r>
              <w:rPr>
                <w:rFonts w:ascii="Arial" w:hAnsi="Arial"/>
                <w:b/>
                <w:i w:val="0"/>
                <w:color w:val="FFFFFF"/>
                <w:sz w:val="20"/>
              </w:rPr>
              <w:t>ID</w:t>
            </w:r>
          </w:p>
        </w:tc>
        <w:tc>
          <w:tcPr>
            <w:tcW w:type="dxa" w:w="1378"/>
            <w:shd w:val="clear" w:color="auto" w:fill="041336"/>
          </w:tcPr>
          <w:p>
            <w:pPr>
              <w:jc w:val="center"/>
            </w:pPr>
            <w:r>
              <w:rPr>
                <w:rFonts w:ascii="Arial" w:hAnsi="Arial"/>
                <w:b/>
                <w:i w:val="0"/>
                <w:color w:val="FFFFFF"/>
                <w:sz w:val="20"/>
              </w:rPr>
              <w:t>Task</w:t>
            </w:r>
          </w:p>
        </w:tc>
        <w:tc>
          <w:tcPr>
            <w:tcW w:type="dxa" w:w="1378"/>
            <w:shd w:val="clear" w:color="auto" w:fill="041336"/>
          </w:tcPr>
          <w:p>
            <w:pPr>
              <w:jc w:val="center"/>
            </w:pPr>
            <w:r>
              <w:rPr>
                <w:rFonts w:ascii="Arial" w:hAnsi="Arial"/>
                <w:b/>
                <w:i w:val="0"/>
                <w:color w:val="FFFFFF"/>
                <w:sz w:val="20"/>
              </w:rPr>
              <w:t>O</w:t>
            </w:r>
          </w:p>
        </w:tc>
        <w:tc>
          <w:tcPr>
            <w:tcW w:type="dxa" w:w="1378"/>
            <w:shd w:val="clear" w:color="auto" w:fill="041336"/>
          </w:tcPr>
          <w:p>
            <w:pPr>
              <w:jc w:val="center"/>
            </w:pPr>
            <w:r>
              <w:rPr>
                <w:rFonts w:ascii="Arial" w:hAnsi="Arial"/>
                <w:b/>
                <w:i w:val="0"/>
                <w:color w:val="FFFFFF"/>
                <w:sz w:val="20"/>
              </w:rPr>
              <w:t>M</w:t>
            </w:r>
          </w:p>
        </w:tc>
        <w:tc>
          <w:tcPr>
            <w:tcW w:type="dxa" w:w="1378"/>
            <w:shd w:val="clear" w:color="auto" w:fill="041336"/>
          </w:tcPr>
          <w:p>
            <w:pPr>
              <w:jc w:val="center"/>
            </w:pPr>
            <w:r>
              <w:rPr>
                <w:rFonts w:ascii="Arial" w:hAnsi="Arial"/>
                <w:b/>
                <w:i w:val="0"/>
                <w:color w:val="FFFFFF"/>
                <w:sz w:val="20"/>
              </w:rPr>
              <w:t>P</w:t>
            </w:r>
          </w:p>
        </w:tc>
        <w:tc>
          <w:tcPr>
            <w:tcW w:type="dxa" w:w="1378"/>
            <w:shd w:val="clear" w:color="auto" w:fill="041336"/>
          </w:tcPr>
          <w:p>
            <w:pPr>
              <w:jc w:val="center"/>
            </w:pPr>
            <w:r>
              <w:rPr>
                <w:rFonts w:ascii="Arial" w:hAnsi="Arial"/>
                <w:b/>
                <w:i w:val="0"/>
                <w:color w:val="FFFFFF"/>
                <w:sz w:val="20"/>
              </w:rPr>
              <w:t>te</w:t>
            </w:r>
          </w:p>
        </w:tc>
        <w:tc>
          <w:tcPr>
            <w:tcW w:type="dxa" w:w="1378"/>
            <w:shd w:val="clear" w:color="auto" w:fill="041336"/>
          </w:tcPr>
          <w:p>
            <w:pPr>
              <w:jc w:val="center"/>
            </w:pPr>
            <w:r>
              <w:rPr>
                <w:rFonts w:ascii="Arial" w:hAnsi="Arial"/>
                <w:b/>
                <w:i w:val="0"/>
                <w:color w:val="FFFFFF"/>
                <w:sz w:val="20"/>
              </w:rPr>
              <w:t>Status</w:t>
            </w:r>
          </w:p>
        </w:tc>
      </w:tr>
      <w:tr>
        <w:tc>
          <w:tcPr>
            <w:tcW w:type="dxa" w:w="1378"/>
          </w:tcPr>
          <w:p>
            <w:pPr>
              <w:jc w:val="center"/>
            </w:pPr>
            <w:r>
              <w:rPr>
                <w:rFonts w:ascii="Arial" w:hAnsi="Arial"/>
                <w:b w:val="0"/>
                <w:i w:val="0"/>
                <w:color w:val="0F172A"/>
                <w:sz w:val="20"/>
              </w:rPr>
              <w:t>A</w:t>
            </w:r>
          </w:p>
        </w:tc>
        <w:tc>
          <w:tcPr>
            <w:tcW w:type="dxa" w:w="1378"/>
          </w:tcPr>
          <w:p>
            <w:r>
              <w:rPr>
                <w:rFonts w:ascii="Arial" w:hAnsi="Arial"/>
                <w:b w:val="0"/>
                <w:i w:val="0"/>
                <w:color w:val="0F172A"/>
                <w:sz w:val="20"/>
              </w:rPr>
              <w:t>Requirements &amp; Project Brief</w:t>
            </w:r>
          </w:p>
        </w:tc>
        <w:tc>
          <w:tcPr>
            <w:tcW w:type="dxa" w:w="1378"/>
          </w:tcPr>
          <w:p>
            <w:pPr>
              <w:jc w:val="center"/>
            </w:pPr>
            <w:r>
              <w:rPr>
                <w:rFonts w:ascii="Arial" w:hAnsi="Arial"/>
                <w:b w:val="0"/>
                <w:i w:val="0"/>
                <w:color w:val="0F172A"/>
                <w:sz w:val="20"/>
              </w:rPr>
              <w:t>3</w:t>
            </w:r>
          </w:p>
        </w:tc>
        <w:tc>
          <w:tcPr>
            <w:tcW w:type="dxa" w:w="1378"/>
          </w:tcPr>
          <w:p>
            <w:pPr>
              <w:jc w:val="center"/>
            </w:pPr>
            <w:r>
              <w:rPr>
                <w:rFonts w:ascii="Arial" w:hAnsi="Arial"/>
                <w:b w:val="0"/>
                <w:i w:val="0"/>
                <w:color w:val="0F172A"/>
                <w:sz w:val="20"/>
              </w:rPr>
              <w:t>5</w:t>
            </w:r>
          </w:p>
        </w:tc>
        <w:tc>
          <w:tcPr>
            <w:tcW w:type="dxa" w:w="1378"/>
          </w:tcPr>
          <w:p>
            <w:pPr>
              <w:jc w:val="center"/>
            </w:pPr>
            <w:r>
              <w:rPr>
                <w:rFonts w:ascii="Arial" w:hAnsi="Arial"/>
                <w:b w:val="0"/>
                <w:i w:val="0"/>
                <w:color w:val="0F172A"/>
                <w:sz w:val="20"/>
              </w:rPr>
              <w:t>7</w:t>
            </w:r>
          </w:p>
        </w:tc>
        <w:tc>
          <w:tcPr>
            <w:tcW w:type="dxa" w:w="1378"/>
          </w:tcPr>
          <w:p>
            <w:pPr>
              <w:jc w:val="center"/>
            </w:pPr>
            <w:r>
              <w:rPr>
                <w:rFonts w:ascii="Arial" w:hAnsi="Arial"/>
                <w:b w:val="0"/>
                <w:i w:val="0"/>
                <w:color w:val="0F172A"/>
                <w:sz w:val="20"/>
              </w:rPr>
              <w:t>5.0</w:t>
            </w:r>
          </w:p>
        </w:tc>
        <w:tc>
          <w:tcPr>
            <w:tcW w:type="dxa" w:w="1378"/>
          </w:tcPr>
          <w:p>
            <w:r>
              <w:rPr>
                <w:rFonts w:ascii="Arial" w:hAnsi="Arial"/>
                <w:b/>
                <w:i w:val="0"/>
                <w:color w:val="15803D"/>
                <w:sz w:val="20"/>
              </w:rPr>
              <w:t>Completed</w:t>
            </w:r>
          </w:p>
        </w:tc>
      </w:tr>
      <w:tr>
        <w:tc>
          <w:tcPr>
            <w:tcW w:type="dxa" w:w="1378"/>
            <w:shd w:val="clear" w:color="auto" w:fill="f7f9fc"/>
          </w:tcPr>
          <w:p>
            <w:pPr>
              <w:jc w:val="center"/>
            </w:pPr>
            <w:r>
              <w:rPr>
                <w:rFonts w:ascii="Arial" w:hAnsi="Arial"/>
                <w:b w:val="0"/>
                <w:i w:val="0"/>
                <w:color w:val="0F172A"/>
                <w:sz w:val="20"/>
              </w:rPr>
              <w:t>B</w:t>
            </w:r>
          </w:p>
        </w:tc>
        <w:tc>
          <w:tcPr>
            <w:tcW w:type="dxa" w:w="1378"/>
            <w:shd w:val="clear" w:color="auto" w:fill="f7f9fc"/>
          </w:tcPr>
          <w:p>
            <w:r>
              <w:rPr>
                <w:rFonts w:ascii="Arial" w:hAnsi="Arial"/>
                <w:b w:val="0"/>
                <w:i w:val="0"/>
                <w:color w:val="0F172A"/>
                <w:sz w:val="20"/>
              </w:rPr>
              <w:t>Literature Review &amp; Research</w:t>
            </w:r>
          </w:p>
        </w:tc>
        <w:tc>
          <w:tcPr>
            <w:tcW w:type="dxa" w:w="1378"/>
            <w:shd w:val="clear" w:color="auto" w:fill="f7f9fc"/>
          </w:tcPr>
          <w:p>
            <w:pPr>
              <w:jc w:val="center"/>
            </w:pPr>
            <w:r>
              <w:rPr>
                <w:rFonts w:ascii="Arial" w:hAnsi="Arial"/>
                <w:b w:val="0"/>
                <w:i w:val="0"/>
                <w:color w:val="0F172A"/>
                <w:sz w:val="20"/>
              </w:rPr>
              <w:t>5</w:t>
            </w:r>
          </w:p>
        </w:tc>
        <w:tc>
          <w:tcPr>
            <w:tcW w:type="dxa" w:w="1378"/>
            <w:shd w:val="clear" w:color="auto" w:fill="f7f9fc"/>
          </w:tcPr>
          <w:p>
            <w:pPr>
              <w:jc w:val="center"/>
            </w:pPr>
            <w:r>
              <w:rPr>
                <w:rFonts w:ascii="Arial" w:hAnsi="Arial"/>
                <w:b w:val="0"/>
                <w:i w:val="0"/>
                <w:color w:val="0F172A"/>
                <w:sz w:val="20"/>
              </w:rPr>
              <w:t>7</w:t>
            </w:r>
          </w:p>
        </w:tc>
        <w:tc>
          <w:tcPr>
            <w:tcW w:type="dxa" w:w="1378"/>
            <w:shd w:val="clear" w:color="auto" w:fill="f7f9fc"/>
          </w:tcPr>
          <w:p>
            <w:pPr>
              <w:jc w:val="center"/>
            </w:pPr>
            <w:r>
              <w:rPr>
                <w:rFonts w:ascii="Arial" w:hAnsi="Arial"/>
                <w:b w:val="0"/>
                <w:i w:val="0"/>
                <w:color w:val="0F172A"/>
                <w:sz w:val="20"/>
              </w:rPr>
              <w:t>10</w:t>
            </w:r>
          </w:p>
        </w:tc>
        <w:tc>
          <w:tcPr>
            <w:tcW w:type="dxa" w:w="1378"/>
            <w:shd w:val="clear" w:color="auto" w:fill="f7f9fc"/>
          </w:tcPr>
          <w:p>
            <w:pPr>
              <w:jc w:val="center"/>
            </w:pPr>
            <w:r>
              <w:rPr>
                <w:rFonts w:ascii="Arial" w:hAnsi="Arial"/>
                <w:b w:val="0"/>
                <w:i w:val="0"/>
                <w:color w:val="0F172A"/>
                <w:sz w:val="20"/>
              </w:rPr>
              <w:t>7.2</w:t>
            </w:r>
          </w:p>
        </w:tc>
        <w:tc>
          <w:tcPr>
            <w:tcW w:type="dxa" w:w="1378"/>
            <w:shd w:val="clear" w:color="auto" w:fill="f7f9fc"/>
          </w:tcPr>
          <w:p>
            <w:r>
              <w:rPr>
                <w:rFonts w:ascii="Arial" w:hAnsi="Arial"/>
                <w:b/>
                <w:i w:val="0"/>
                <w:color w:val="15803D"/>
                <w:sz w:val="20"/>
              </w:rPr>
              <w:t>Completed</w:t>
            </w:r>
          </w:p>
        </w:tc>
      </w:tr>
      <w:tr>
        <w:tc>
          <w:tcPr>
            <w:tcW w:type="dxa" w:w="1378"/>
          </w:tcPr>
          <w:p>
            <w:pPr>
              <w:jc w:val="center"/>
            </w:pPr>
            <w:r>
              <w:rPr>
                <w:rFonts w:ascii="Arial" w:hAnsi="Arial"/>
                <w:b w:val="0"/>
                <w:i w:val="0"/>
                <w:color w:val="0F172A"/>
                <w:sz w:val="20"/>
              </w:rPr>
              <w:t>C</w:t>
            </w:r>
          </w:p>
        </w:tc>
        <w:tc>
          <w:tcPr>
            <w:tcW w:type="dxa" w:w="1378"/>
          </w:tcPr>
          <w:p>
            <w:r>
              <w:rPr>
                <w:rFonts w:ascii="Arial" w:hAnsi="Arial"/>
                <w:b w:val="0"/>
                <w:i w:val="0"/>
                <w:color w:val="0F172A"/>
                <w:sz w:val="20"/>
              </w:rPr>
              <w:t>Design &amp; Branding</w:t>
            </w:r>
          </w:p>
        </w:tc>
        <w:tc>
          <w:tcPr>
            <w:tcW w:type="dxa" w:w="1378"/>
          </w:tcPr>
          <w:p>
            <w:pPr>
              <w:jc w:val="center"/>
            </w:pPr>
            <w:r>
              <w:rPr>
                <w:rFonts w:ascii="Arial" w:hAnsi="Arial"/>
                <w:b w:val="0"/>
                <w:i w:val="0"/>
                <w:color w:val="0F172A"/>
                <w:sz w:val="20"/>
              </w:rPr>
              <w:t>5</w:t>
            </w:r>
          </w:p>
        </w:tc>
        <w:tc>
          <w:tcPr>
            <w:tcW w:type="dxa" w:w="1378"/>
          </w:tcPr>
          <w:p>
            <w:pPr>
              <w:jc w:val="center"/>
            </w:pPr>
            <w:r>
              <w:rPr>
                <w:rFonts w:ascii="Arial" w:hAnsi="Arial"/>
                <w:b w:val="0"/>
                <w:i w:val="0"/>
                <w:color w:val="0F172A"/>
                <w:sz w:val="20"/>
              </w:rPr>
              <w:t>8</w:t>
            </w:r>
          </w:p>
        </w:tc>
        <w:tc>
          <w:tcPr>
            <w:tcW w:type="dxa" w:w="1378"/>
          </w:tcPr>
          <w:p>
            <w:pPr>
              <w:jc w:val="center"/>
            </w:pPr>
            <w:r>
              <w:rPr>
                <w:rFonts w:ascii="Arial" w:hAnsi="Arial"/>
                <w:b w:val="0"/>
                <w:i w:val="0"/>
                <w:color w:val="0F172A"/>
                <w:sz w:val="20"/>
              </w:rPr>
              <w:t>12</w:t>
            </w:r>
          </w:p>
        </w:tc>
        <w:tc>
          <w:tcPr>
            <w:tcW w:type="dxa" w:w="1378"/>
          </w:tcPr>
          <w:p>
            <w:pPr>
              <w:jc w:val="center"/>
            </w:pPr>
            <w:r>
              <w:rPr>
                <w:rFonts w:ascii="Arial" w:hAnsi="Arial"/>
                <w:b w:val="0"/>
                <w:i w:val="0"/>
                <w:color w:val="0F172A"/>
                <w:sz w:val="20"/>
              </w:rPr>
              <w:t>8.2</w:t>
            </w:r>
          </w:p>
        </w:tc>
        <w:tc>
          <w:tcPr>
            <w:tcW w:type="dxa" w:w="1378"/>
          </w:tcPr>
          <w:p>
            <w:r>
              <w:rPr>
                <w:rFonts w:ascii="Arial" w:hAnsi="Arial"/>
                <w:b/>
                <w:i w:val="0"/>
                <w:color w:val="15803D"/>
                <w:sz w:val="20"/>
              </w:rPr>
              <w:t>Completed</w:t>
            </w:r>
          </w:p>
        </w:tc>
      </w:tr>
      <w:tr>
        <w:tc>
          <w:tcPr>
            <w:tcW w:type="dxa" w:w="1378"/>
            <w:shd w:val="clear" w:color="auto" w:fill="f7f9fc"/>
          </w:tcPr>
          <w:p>
            <w:pPr>
              <w:jc w:val="center"/>
            </w:pPr>
            <w:r>
              <w:rPr>
                <w:rFonts w:ascii="Arial" w:hAnsi="Arial"/>
                <w:b w:val="0"/>
                <w:i w:val="0"/>
                <w:color w:val="0F172A"/>
                <w:sz w:val="20"/>
              </w:rPr>
              <w:t>D</w:t>
            </w:r>
          </w:p>
        </w:tc>
        <w:tc>
          <w:tcPr>
            <w:tcW w:type="dxa" w:w="1378"/>
            <w:shd w:val="clear" w:color="auto" w:fill="f7f9fc"/>
          </w:tcPr>
          <w:p>
            <w:r>
              <w:rPr>
                <w:rFonts w:ascii="Arial" w:hAnsi="Arial"/>
                <w:b w:val="0"/>
                <w:i w:val="0"/>
                <w:color w:val="0F172A"/>
                <w:sz w:val="20"/>
              </w:rPr>
              <w:t>Dashboard Route</w:t>
            </w:r>
          </w:p>
        </w:tc>
        <w:tc>
          <w:tcPr>
            <w:tcW w:type="dxa" w:w="1378"/>
            <w:shd w:val="clear" w:color="auto" w:fill="f7f9fc"/>
          </w:tcPr>
          <w:p>
            <w:pPr>
              <w:jc w:val="center"/>
            </w:pPr>
            <w:r>
              <w:rPr>
                <w:rFonts w:ascii="Arial" w:hAnsi="Arial"/>
                <w:b w:val="0"/>
                <w:i w:val="0"/>
                <w:color w:val="0F172A"/>
                <w:sz w:val="20"/>
              </w:rPr>
              <w:t>3</w:t>
            </w:r>
          </w:p>
        </w:tc>
        <w:tc>
          <w:tcPr>
            <w:tcW w:type="dxa" w:w="1378"/>
            <w:shd w:val="clear" w:color="auto" w:fill="f7f9fc"/>
          </w:tcPr>
          <w:p>
            <w:pPr>
              <w:jc w:val="center"/>
            </w:pPr>
            <w:r>
              <w:rPr>
                <w:rFonts w:ascii="Arial" w:hAnsi="Arial"/>
                <w:b w:val="0"/>
                <w:i w:val="0"/>
                <w:color w:val="0F172A"/>
                <w:sz w:val="20"/>
              </w:rPr>
              <w:t>5</w:t>
            </w:r>
          </w:p>
        </w:tc>
        <w:tc>
          <w:tcPr>
            <w:tcW w:type="dxa" w:w="1378"/>
            <w:shd w:val="clear" w:color="auto" w:fill="f7f9fc"/>
          </w:tcPr>
          <w:p>
            <w:pPr>
              <w:jc w:val="center"/>
            </w:pPr>
            <w:r>
              <w:rPr>
                <w:rFonts w:ascii="Arial" w:hAnsi="Arial"/>
                <w:b w:val="0"/>
                <w:i w:val="0"/>
                <w:color w:val="0F172A"/>
                <w:sz w:val="20"/>
              </w:rPr>
              <w:t>8</w:t>
            </w:r>
          </w:p>
        </w:tc>
        <w:tc>
          <w:tcPr>
            <w:tcW w:type="dxa" w:w="1378"/>
            <w:shd w:val="clear" w:color="auto" w:fill="f7f9fc"/>
          </w:tcPr>
          <w:p>
            <w:pPr>
              <w:jc w:val="center"/>
            </w:pPr>
            <w:r>
              <w:rPr>
                <w:rFonts w:ascii="Arial" w:hAnsi="Arial"/>
                <w:b w:val="0"/>
                <w:i w:val="0"/>
                <w:color w:val="0F172A"/>
                <w:sz w:val="20"/>
              </w:rPr>
              <w:t>5.2</w:t>
            </w:r>
          </w:p>
        </w:tc>
        <w:tc>
          <w:tcPr>
            <w:tcW w:type="dxa" w:w="1378"/>
            <w:shd w:val="clear" w:color="auto" w:fill="f7f9fc"/>
          </w:tcPr>
          <w:p>
            <w:r>
              <w:rPr>
                <w:rFonts w:ascii="Arial" w:hAnsi="Arial"/>
                <w:b/>
                <w:i w:val="0"/>
                <w:color w:val="15803D"/>
                <w:sz w:val="20"/>
              </w:rPr>
              <w:t>Completed</w:t>
            </w:r>
          </w:p>
        </w:tc>
      </w:tr>
      <w:tr>
        <w:tc>
          <w:tcPr>
            <w:tcW w:type="dxa" w:w="1378"/>
          </w:tcPr>
          <w:p>
            <w:pPr>
              <w:jc w:val="center"/>
            </w:pPr>
            <w:r>
              <w:rPr>
                <w:rFonts w:ascii="Arial" w:hAnsi="Arial"/>
                <w:b w:val="0"/>
                <w:i w:val="0"/>
                <w:color w:val="0F172A"/>
                <w:sz w:val="20"/>
              </w:rPr>
              <w:t>E</w:t>
            </w:r>
          </w:p>
        </w:tc>
        <w:tc>
          <w:tcPr>
            <w:tcW w:type="dxa" w:w="1378"/>
          </w:tcPr>
          <w:p>
            <w:r>
              <w:rPr>
                <w:rFonts w:ascii="Arial" w:hAnsi="Arial"/>
                <w:b w:val="0"/>
                <w:i w:val="0"/>
                <w:color w:val="0F172A"/>
                <w:sz w:val="20"/>
              </w:rPr>
              <w:t>Resume Checker MVP</w:t>
            </w:r>
          </w:p>
        </w:tc>
        <w:tc>
          <w:tcPr>
            <w:tcW w:type="dxa" w:w="1378"/>
          </w:tcPr>
          <w:p>
            <w:pPr>
              <w:jc w:val="center"/>
            </w:pPr>
            <w:r>
              <w:rPr>
                <w:rFonts w:ascii="Arial" w:hAnsi="Arial"/>
                <w:b w:val="0"/>
                <w:i w:val="0"/>
                <w:color w:val="0F172A"/>
                <w:sz w:val="20"/>
              </w:rPr>
              <w:t>5</w:t>
            </w:r>
          </w:p>
        </w:tc>
        <w:tc>
          <w:tcPr>
            <w:tcW w:type="dxa" w:w="1378"/>
          </w:tcPr>
          <w:p>
            <w:pPr>
              <w:jc w:val="center"/>
            </w:pPr>
            <w:r>
              <w:rPr>
                <w:rFonts w:ascii="Arial" w:hAnsi="Arial"/>
                <w:b w:val="0"/>
                <w:i w:val="0"/>
                <w:color w:val="0F172A"/>
                <w:sz w:val="20"/>
              </w:rPr>
              <w:t>8</w:t>
            </w:r>
          </w:p>
        </w:tc>
        <w:tc>
          <w:tcPr>
            <w:tcW w:type="dxa" w:w="1378"/>
          </w:tcPr>
          <w:p>
            <w:pPr>
              <w:jc w:val="center"/>
            </w:pPr>
            <w:r>
              <w:rPr>
                <w:rFonts w:ascii="Arial" w:hAnsi="Arial"/>
                <w:b w:val="0"/>
                <w:i w:val="0"/>
                <w:color w:val="0F172A"/>
                <w:sz w:val="20"/>
              </w:rPr>
              <w:t>12</w:t>
            </w:r>
          </w:p>
        </w:tc>
        <w:tc>
          <w:tcPr>
            <w:tcW w:type="dxa" w:w="1378"/>
          </w:tcPr>
          <w:p>
            <w:pPr>
              <w:jc w:val="center"/>
            </w:pPr>
            <w:r>
              <w:rPr>
                <w:rFonts w:ascii="Arial" w:hAnsi="Arial"/>
                <w:b w:val="0"/>
                <w:i w:val="0"/>
                <w:color w:val="0F172A"/>
                <w:sz w:val="20"/>
              </w:rPr>
              <w:t>8.2</w:t>
            </w:r>
          </w:p>
        </w:tc>
        <w:tc>
          <w:tcPr>
            <w:tcW w:type="dxa" w:w="1378"/>
          </w:tcPr>
          <w:p>
            <w:r>
              <w:rPr>
                <w:rFonts w:ascii="Arial" w:hAnsi="Arial"/>
                <w:b/>
                <w:i w:val="0"/>
                <w:color w:val="15803D"/>
                <w:sz w:val="20"/>
              </w:rPr>
              <w:t>Completed</w:t>
            </w:r>
          </w:p>
        </w:tc>
      </w:tr>
      <w:tr>
        <w:tc>
          <w:tcPr>
            <w:tcW w:type="dxa" w:w="1378"/>
            <w:shd w:val="clear" w:color="auto" w:fill="f7f9fc"/>
          </w:tcPr>
          <w:p>
            <w:pPr>
              <w:jc w:val="center"/>
            </w:pPr>
            <w:r>
              <w:rPr>
                <w:rFonts w:ascii="Arial" w:hAnsi="Arial"/>
                <w:b w:val="0"/>
                <w:i w:val="0"/>
                <w:color w:val="0F172A"/>
                <w:sz w:val="20"/>
              </w:rPr>
              <w:t>F</w:t>
            </w:r>
          </w:p>
        </w:tc>
        <w:tc>
          <w:tcPr>
            <w:tcW w:type="dxa" w:w="1378"/>
            <w:shd w:val="clear" w:color="auto" w:fill="f7f9fc"/>
          </w:tcPr>
          <w:p>
            <w:r>
              <w:rPr>
                <w:rFonts w:ascii="Arial" w:hAnsi="Arial"/>
                <w:b w:val="0"/>
                <w:i w:val="0"/>
                <w:color w:val="0F172A"/>
                <w:sz w:val="20"/>
              </w:rPr>
              <w:t>Vercel Deployment</w:t>
            </w:r>
          </w:p>
        </w:tc>
        <w:tc>
          <w:tcPr>
            <w:tcW w:type="dxa" w:w="1378"/>
            <w:shd w:val="clear" w:color="auto" w:fill="f7f9fc"/>
          </w:tcPr>
          <w:p>
            <w:pPr>
              <w:jc w:val="center"/>
            </w:pPr>
            <w:r>
              <w:rPr>
                <w:rFonts w:ascii="Arial" w:hAnsi="Arial"/>
                <w:b w:val="0"/>
                <w:i w:val="0"/>
                <w:color w:val="0F172A"/>
                <w:sz w:val="20"/>
              </w:rPr>
              <w:t>2</w:t>
            </w:r>
          </w:p>
        </w:tc>
        <w:tc>
          <w:tcPr>
            <w:tcW w:type="dxa" w:w="1378"/>
            <w:shd w:val="clear" w:color="auto" w:fill="f7f9fc"/>
          </w:tcPr>
          <w:p>
            <w:pPr>
              <w:jc w:val="center"/>
            </w:pPr>
            <w:r>
              <w:rPr>
                <w:rFonts w:ascii="Arial" w:hAnsi="Arial"/>
                <w:b w:val="0"/>
                <w:i w:val="0"/>
                <w:color w:val="0F172A"/>
                <w:sz w:val="20"/>
              </w:rPr>
              <w:t>4</w:t>
            </w:r>
          </w:p>
        </w:tc>
        <w:tc>
          <w:tcPr>
            <w:tcW w:type="dxa" w:w="1378"/>
            <w:shd w:val="clear" w:color="auto" w:fill="f7f9fc"/>
          </w:tcPr>
          <w:p>
            <w:pPr>
              <w:jc w:val="center"/>
            </w:pPr>
            <w:r>
              <w:rPr>
                <w:rFonts w:ascii="Arial" w:hAnsi="Arial"/>
                <w:b w:val="0"/>
                <w:i w:val="0"/>
                <w:color w:val="0F172A"/>
                <w:sz w:val="20"/>
              </w:rPr>
              <w:t>7</w:t>
            </w:r>
          </w:p>
        </w:tc>
        <w:tc>
          <w:tcPr>
            <w:tcW w:type="dxa" w:w="1378"/>
            <w:shd w:val="clear" w:color="auto" w:fill="f7f9fc"/>
          </w:tcPr>
          <w:p>
            <w:pPr>
              <w:jc w:val="center"/>
            </w:pPr>
            <w:r>
              <w:rPr>
                <w:rFonts w:ascii="Arial" w:hAnsi="Arial"/>
                <w:b w:val="0"/>
                <w:i w:val="0"/>
                <w:color w:val="0F172A"/>
                <w:sz w:val="20"/>
              </w:rPr>
              <w:t>4.2</w:t>
            </w:r>
          </w:p>
        </w:tc>
        <w:tc>
          <w:tcPr>
            <w:tcW w:type="dxa" w:w="1378"/>
            <w:shd w:val="clear" w:color="auto" w:fill="f7f9fc"/>
          </w:tcPr>
          <w:p>
            <w:r>
              <w:rPr>
                <w:rFonts w:ascii="Arial" w:hAnsi="Arial"/>
                <w:b/>
                <w:i w:val="0"/>
                <w:color w:val="15803D"/>
                <w:sz w:val="20"/>
              </w:rPr>
              <w:t>Completed</w:t>
            </w:r>
          </w:p>
        </w:tc>
      </w:tr>
      <w:tr>
        <w:tc>
          <w:tcPr>
            <w:tcW w:type="dxa" w:w="1378"/>
          </w:tcPr>
          <w:p>
            <w:pPr>
              <w:jc w:val="center"/>
            </w:pPr>
            <w:r>
              <w:rPr>
                <w:rFonts w:ascii="Arial" w:hAnsi="Arial"/>
                <w:b w:val="0"/>
                <w:i w:val="0"/>
                <w:color w:val="0F172A"/>
                <w:sz w:val="20"/>
              </w:rPr>
              <w:t>G</w:t>
            </w:r>
          </w:p>
        </w:tc>
        <w:tc>
          <w:tcPr>
            <w:tcW w:type="dxa" w:w="1378"/>
          </w:tcPr>
          <w:p>
            <w:r>
              <w:rPr>
                <w:rFonts w:ascii="Arial" w:hAnsi="Arial"/>
                <w:b w:val="0"/>
                <w:i w:val="0"/>
                <w:color w:val="0F172A"/>
                <w:sz w:val="20"/>
              </w:rPr>
              <w:t>Claude API Integration</w:t>
            </w:r>
          </w:p>
        </w:tc>
        <w:tc>
          <w:tcPr>
            <w:tcW w:type="dxa" w:w="1378"/>
          </w:tcPr>
          <w:p>
            <w:pPr>
              <w:jc w:val="center"/>
            </w:pPr>
            <w:r>
              <w:rPr>
                <w:rFonts w:ascii="Arial" w:hAnsi="Arial"/>
                <w:b w:val="0"/>
                <w:i w:val="0"/>
                <w:color w:val="0F172A"/>
                <w:sz w:val="20"/>
              </w:rPr>
              <w:t>7</w:t>
            </w:r>
          </w:p>
        </w:tc>
        <w:tc>
          <w:tcPr>
            <w:tcW w:type="dxa" w:w="1378"/>
          </w:tcPr>
          <w:p>
            <w:pPr>
              <w:jc w:val="center"/>
            </w:pPr>
            <w:r>
              <w:rPr>
                <w:rFonts w:ascii="Arial" w:hAnsi="Arial"/>
                <w:b w:val="0"/>
                <w:i w:val="0"/>
                <w:color w:val="0F172A"/>
                <w:sz w:val="20"/>
              </w:rPr>
              <w:t>12</w:t>
            </w:r>
          </w:p>
        </w:tc>
        <w:tc>
          <w:tcPr>
            <w:tcW w:type="dxa" w:w="1378"/>
          </w:tcPr>
          <w:p>
            <w:pPr>
              <w:jc w:val="center"/>
            </w:pPr>
            <w:r>
              <w:rPr>
                <w:rFonts w:ascii="Arial" w:hAnsi="Arial"/>
                <w:b w:val="0"/>
                <w:i w:val="0"/>
                <w:color w:val="0F172A"/>
                <w:sz w:val="20"/>
              </w:rPr>
              <w:t>18</w:t>
            </w:r>
          </w:p>
        </w:tc>
        <w:tc>
          <w:tcPr>
            <w:tcW w:type="dxa" w:w="1378"/>
          </w:tcPr>
          <w:p>
            <w:pPr>
              <w:jc w:val="center"/>
            </w:pPr>
            <w:r>
              <w:rPr>
                <w:rFonts w:ascii="Arial" w:hAnsi="Arial"/>
                <w:b w:val="0"/>
                <w:i w:val="0"/>
                <w:color w:val="0F172A"/>
                <w:sz w:val="20"/>
              </w:rPr>
              <w:t>12.2</w:t>
            </w:r>
          </w:p>
        </w:tc>
        <w:tc>
          <w:tcPr>
            <w:tcW w:type="dxa" w:w="1378"/>
          </w:tcPr>
          <w:p>
            <w:r>
              <w:rPr>
                <w:rFonts w:ascii="Arial" w:hAnsi="Arial"/>
                <w:b/>
                <w:i w:val="0"/>
                <w:color w:val="15803D"/>
                <w:sz w:val="20"/>
              </w:rPr>
              <w:t>Completed</w:t>
            </w:r>
          </w:p>
        </w:tc>
      </w:tr>
      <w:tr>
        <w:tc>
          <w:tcPr>
            <w:tcW w:type="dxa" w:w="1378"/>
            <w:shd w:val="clear" w:color="auto" w:fill="f7f9fc"/>
          </w:tcPr>
          <w:p>
            <w:pPr>
              <w:jc w:val="center"/>
            </w:pPr>
            <w:r>
              <w:rPr>
                <w:rFonts w:ascii="Arial" w:hAnsi="Arial"/>
                <w:b w:val="0"/>
                <w:i w:val="0"/>
                <w:color w:val="0F172A"/>
                <w:sz w:val="20"/>
              </w:rPr>
              <w:t>H</w:t>
            </w:r>
          </w:p>
        </w:tc>
        <w:tc>
          <w:tcPr>
            <w:tcW w:type="dxa" w:w="1378"/>
            <w:shd w:val="clear" w:color="auto" w:fill="f7f9fc"/>
          </w:tcPr>
          <w:p>
            <w:r>
              <w:rPr>
                <w:rFonts w:ascii="Arial" w:hAnsi="Arial"/>
                <w:b w:val="0"/>
                <w:i w:val="0"/>
                <w:color w:val="0F172A"/>
                <w:sz w:val="20"/>
              </w:rPr>
              <w:t>Clerk Auth + NeonDB</w:t>
            </w:r>
          </w:p>
        </w:tc>
        <w:tc>
          <w:tcPr>
            <w:tcW w:type="dxa" w:w="1378"/>
            <w:shd w:val="clear" w:color="auto" w:fill="f7f9fc"/>
          </w:tcPr>
          <w:p>
            <w:pPr>
              <w:jc w:val="center"/>
            </w:pPr>
            <w:r>
              <w:rPr>
                <w:rFonts w:ascii="Arial" w:hAnsi="Arial"/>
                <w:b w:val="0"/>
                <w:i w:val="0"/>
                <w:color w:val="0F172A"/>
                <w:sz w:val="20"/>
              </w:rPr>
              <w:t>7</w:t>
            </w:r>
          </w:p>
        </w:tc>
        <w:tc>
          <w:tcPr>
            <w:tcW w:type="dxa" w:w="1378"/>
            <w:shd w:val="clear" w:color="auto" w:fill="f7f9fc"/>
          </w:tcPr>
          <w:p>
            <w:pPr>
              <w:jc w:val="center"/>
            </w:pPr>
            <w:r>
              <w:rPr>
                <w:rFonts w:ascii="Arial" w:hAnsi="Arial"/>
                <w:b w:val="0"/>
                <w:i w:val="0"/>
                <w:color w:val="0F172A"/>
                <w:sz w:val="20"/>
              </w:rPr>
              <w:t>10</w:t>
            </w:r>
          </w:p>
        </w:tc>
        <w:tc>
          <w:tcPr>
            <w:tcW w:type="dxa" w:w="1378"/>
            <w:shd w:val="clear" w:color="auto" w:fill="f7f9fc"/>
          </w:tcPr>
          <w:p>
            <w:pPr>
              <w:jc w:val="center"/>
            </w:pPr>
            <w:r>
              <w:rPr>
                <w:rFonts w:ascii="Arial" w:hAnsi="Arial"/>
                <w:b w:val="0"/>
                <w:i w:val="0"/>
                <w:color w:val="0F172A"/>
                <w:sz w:val="20"/>
              </w:rPr>
              <w:t>15</w:t>
            </w:r>
          </w:p>
        </w:tc>
        <w:tc>
          <w:tcPr>
            <w:tcW w:type="dxa" w:w="1378"/>
            <w:shd w:val="clear" w:color="auto" w:fill="f7f9fc"/>
          </w:tcPr>
          <w:p>
            <w:pPr>
              <w:jc w:val="center"/>
            </w:pPr>
            <w:r>
              <w:rPr>
                <w:rFonts w:ascii="Arial" w:hAnsi="Arial"/>
                <w:b w:val="0"/>
                <w:i w:val="0"/>
                <w:color w:val="0F172A"/>
                <w:sz w:val="20"/>
              </w:rPr>
              <w:t>10.3</w:t>
            </w:r>
          </w:p>
        </w:tc>
        <w:tc>
          <w:tcPr>
            <w:tcW w:type="dxa" w:w="1378"/>
            <w:shd w:val="clear" w:color="auto" w:fill="f7f9fc"/>
          </w:tcPr>
          <w:p>
            <w:r>
              <w:rPr>
                <w:rFonts w:ascii="Arial" w:hAnsi="Arial"/>
                <w:b/>
                <w:i w:val="0"/>
                <w:color w:val="1D4ED8"/>
                <w:sz w:val="20"/>
              </w:rPr>
              <w:t>Planned</w:t>
            </w:r>
          </w:p>
        </w:tc>
      </w:tr>
      <w:tr>
        <w:tc>
          <w:tcPr>
            <w:tcW w:type="dxa" w:w="1378"/>
          </w:tcPr>
          <w:p>
            <w:pPr>
              <w:jc w:val="center"/>
            </w:pPr>
            <w:r>
              <w:rPr>
                <w:rFonts w:ascii="Arial" w:hAnsi="Arial"/>
                <w:b w:val="0"/>
                <w:i w:val="0"/>
                <w:color w:val="0F172A"/>
                <w:sz w:val="20"/>
              </w:rPr>
              <w:t>I</w:t>
            </w:r>
          </w:p>
        </w:tc>
        <w:tc>
          <w:tcPr>
            <w:tcW w:type="dxa" w:w="1378"/>
          </w:tcPr>
          <w:p>
            <w:r>
              <w:rPr>
                <w:rFonts w:ascii="Arial" w:hAnsi="Arial"/>
                <w:b w:val="0"/>
                <w:i w:val="0"/>
                <w:color w:val="0F172A"/>
                <w:sz w:val="20"/>
              </w:rPr>
              <w:t>Career Path Explorer</w:t>
            </w:r>
          </w:p>
        </w:tc>
        <w:tc>
          <w:tcPr>
            <w:tcW w:type="dxa" w:w="1378"/>
          </w:tcPr>
          <w:p>
            <w:pPr>
              <w:jc w:val="center"/>
            </w:pPr>
            <w:r>
              <w:rPr>
                <w:rFonts w:ascii="Arial" w:hAnsi="Arial"/>
                <w:b w:val="0"/>
                <w:i w:val="0"/>
                <w:color w:val="0F172A"/>
                <w:sz w:val="20"/>
              </w:rPr>
              <w:t>7</w:t>
            </w:r>
          </w:p>
        </w:tc>
        <w:tc>
          <w:tcPr>
            <w:tcW w:type="dxa" w:w="1378"/>
          </w:tcPr>
          <w:p>
            <w:pPr>
              <w:jc w:val="center"/>
            </w:pPr>
            <w:r>
              <w:rPr>
                <w:rFonts w:ascii="Arial" w:hAnsi="Arial"/>
                <w:b w:val="0"/>
                <w:i w:val="0"/>
                <w:color w:val="0F172A"/>
                <w:sz w:val="20"/>
              </w:rPr>
              <w:t>12</w:t>
            </w:r>
          </w:p>
        </w:tc>
        <w:tc>
          <w:tcPr>
            <w:tcW w:type="dxa" w:w="1378"/>
          </w:tcPr>
          <w:p>
            <w:pPr>
              <w:jc w:val="center"/>
            </w:pPr>
            <w:r>
              <w:rPr>
                <w:rFonts w:ascii="Arial" w:hAnsi="Arial"/>
                <w:b w:val="0"/>
                <w:i w:val="0"/>
                <w:color w:val="0F172A"/>
                <w:sz w:val="20"/>
              </w:rPr>
              <w:t>18</w:t>
            </w:r>
          </w:p>
        </w:tc>
        <w:tc>
          <w:tcPr>
            <w:tcW w:type="dxa" w:w="1378"/>
          </w:tcPr>
          <w:p>
            <w:pPr>
              <w:jc w:val="center"/>
            </w:pPr>
            <w:r>
              <w:rPr>
                <w:rFonts w:ascii="Arial" w:hAnsi="Arial"/>
                <w:b w:val="0"/>
                <w:i w:val="0"/>
                <w:color w:val="0F172A"/>
                <w:sz w:val="20"/>
              </w:rPr>
              <w:t>12.2</w:t>
            </w:r>
          </w:p>
        </w:tc>
        <w:tc>
          <w:tcPr>
            <w:tcW w:type="dxa" w:w="1378"/>
          </w:tcPr>
          <w:p>
            <w:r>
              <w:rPr>
                <w:rFonts w:ascii="Arial" w:hAnsi="Arial"/>
                <w:b/>
                <w:i w:val="0"/>
                <w:color w:val="15803D"/>
                <w:sz w:val="20"/>
              </w:rPr>
              <w:t>Completed</w:t>
            </w:r>
          </w:p>
        </w:tc>
      </w:tr>
      <w:tr>
        <w:tc>
          <w:tcPr>
            <w:tcW w:type="dxa" w:w="1378"/>
            <w:shd w:val="clear" w:color="auto" w:fill="f7f9fc"/>
          </w:tcPr>
          <w:p>
            <w:pPr>
              <w:jc w:val="center"/>
            </w:pPr>
            <w:r>
              <w:rPr>
                <w:rFonts w:ascii="Arial" w:hAnsi="Arial"/>
                <w:b w:val="0"/>
                <w:i w:val="0"/>
                <w:color w:val="0F172A"/>
                <w:sz w:val="20"/>
              </w:rPr>
              <w:t>J</w:t>
            </w:r>
          </w:p>
        </w:tc>
        <w:tc>
          <w:tcPr>
            <w:tcW w:type="dxa" w:w="1378"/>
            <w:shd w:val="clear" w:color="auto" w:fill="f7f9fc"/>
          </w:tcPr>
          <w:p>
            <w:r>
              <w:rPr>
                <w:rFonts w:ascii="Arial" w:hAnsi="Arial"/>
                <w:b w:val="0"/>
                <w:i w:val="0"/>
                <w:color w:val="0F172A"/>
                <w:sz w:val="20"/>
              </w:rPr>
              <w:t>Skill Gap Roadmap</w:t>
            </w:r>
          </w:p>
        </w:tc>
        <w:tc>
          <w:tcPr>
            <w:tcW w:type="dxa" w:w="1378"/>
            <w:shd w:val="clear" w:color="auto" w:fill="f7f9fc"/>
          </w:tcPr>
          <w:p>
            <w:pPr>
              <w:jc w:val="center"/>
            </w:pPr>
            <w:r>
              <w:rPr>
                <w:rFonts w:ascii="Arial" w:hAnsi="Arial"/>
                <w:b w:val="0"/>
                <w:i w:val="0"/>
                <w:color w:val="0F172A"/>
                <w:sz w:val="20"/>
              </w:rPr>
              <w:t>7</w:t>
            </w:r>
          </w:p>
        </w:tc>
        <w:tc>
          <w:tcPr>
            <w:tcW w:type="dxa" w:w="1378"/>
            <w:shd w:val="clear" w:color="auto" w:fill="f7f9fc"/>
          </w:tcPr>
          <w:p>
            <w:pPr>
              <w:jc w:val="center"/>
            </w:pPr>
            <w:r>
              <w:rPr>
                <w:rFonts w:ascii="Arial" w:hAnsi="Arial"/>
                <w:b w:val="0"/>
                <w:i w:val="0"/>
                <w:color w:val="0F172A"/>
                <w:sz w:val="20"/>
              </w:rPr>
              <w:t>12</w:t>
            </w:r>
          </w:p>
        </w:tc>
        <w:tc>
          <w:tcPr>
            <w:tcW w:type="dxa" w:w="1378"/>
            <w:shd w:val="clear" w:color="auto" w:fill="f7f9fc"/>
          </w:tcPr>
          <w:p>
            <w:pPr>
              <w:jc w:val="center"/>
            </w:pPr>
            <w:r>
              <w:rPr>
                <w:rFonts w:ascii="Arial" w:hAnsi="Arial"/>
                <w:b w:val="0"/>
                <w:i w:val="0"/>
                <w:color w:val="0F172A"/>
                <w:sz w:val="20"/>
              </w:rPr>
              <w:t>18</w:t>
            </w:r>
          </w:p>
        </w:tc>
        <w:tc>
          <w:tcPr>
            <w:tcW w:type="dxa" w:w="1378"/>
            <w:shd w:val="clear" w:color="auto" w:fill="f7f9fc"/>
          </w:tcPr>
          <w:p>
            <w:pPr>
              <w:jc w:val="center"/>
            </w:pPr>
            <w:r>
              <w:rPr>
                <w:rFonts w:ascii="Arial" w:hAnsi="Arial"/>
                <w:b w:val="0"/>
                <w:i w:val="0"/>
                <w:color w:val="0F172A"/>
                <w:sz w:val="20"/>
              </w:rPr>
              <w:t>12.2</w:t>
            </w:r>
          </w:p>
        </w:tc>
        <w:tc>
          <w:tcPr>
            <w:tcW w:type="dxa" w:w="1378"/>
            <w:shd w:val="clear" w:color="auto" w:fill="f7f9fc"/>
          </w:tcPr>
          <w:p>
            <w:r>
              <w:rPr>
                <w:rFonts w:ascii="Arial" w:hAnsi="Arial"/>
                <w:b/>
                <w:i w:val="0"/>
                <w:color w:val="15803D"/>
                <w:sz w:val="20"/>
              </w:rPr>
              <w:t>Completed</w:t>
            </w:r>
          </w:p>
        </w:tc>
      </w:tr>
      <w:tr>
        <w:tc>
          <w:tcPr>
            <w:tcW w:type="dxa" w:w="1378"/>
          </w:tcPr>
          <w:p>
            <w:pPr>
              <w:jc w:val="center"/>
            </w:pPr>
            <w:r>
              <w:rPr>
                <w:rFonts w:ascii="Arial" w:hAnsi="Arial"/>
                <w:b w:val="0"/>
                <w:i w:val="0"/>
                <w:color w:val="0F172A"/>
                <w:sz w:val="20"/>
              </w:rPr>
              <w:t>K</w:t>
            </w:r>
          </w:p>
        </w:tc>
        <w:tc>
          <w:tcPr>
            <w:tcW w:type="dxa" w:w="1378"/>
          </w:tcPr>
          <w:p>
            <w:r>
              <w:rPr>
                <w:rFonts w:ascii="Arial" w:hAnsi="Arial"/>
                <w:b w:val="0"/>
                <w:i w:val="0"/>
                <w:color w:val="0F172A"/>
                <w:sz w:val="20"/>
              </w:rPr>
              <w:t>Mock Interview Coach</w:t>
            </w:r>
          </w:p>
        </w:tc>
        <w:tc>
          <w:tcPr>
            <w:tcW w:type="dxa" w:w="1378"/>
          </w:tcPr>
          <w:p>
            <w:pPr>
              <w:jc w:val="center"/>
            </w:pPr>
            <w:r>
              <w:rPr>
                <w:rFonts w:ascii="Arial" w:hAnsi="Arial"/>
                <w:b w:val="0"/>
                <w:i w:val="0"/>
                <w:color w:val="0F172A"/>
                <w:sz w:val="20"/>
              </w:rPr>
              <w:t>10</w:t>
            </w:r>
          </w:p>
        </w:tc>
        <w:tc>
          <w:tcPr>
            <w:tcW w:type="dxa" w:w="1378"/>
          </w:tcPr>
          <w:p>
            <w:pPr>
              <w:jc w:val="center"/>
            </w:pPr>
            <w:r>
              <w:rPr>
                <w:rFonts w:ascii="Arial" w:hAnsi="Arial"/>
                <w:b w:val="0"/>
                <w:i w:val="0"/>
                <w:color w:val="0F172A"/>
                <w:sz w:val="20"/>
              </w:rPr>
              <w:t>14</w:t>
            </w:r>
          </w:p>
        </w:tc>
        <w:tc>
          <w:tcPr>
            <w:tcW w:type="dxa" w:w="1378"/>
          </w:tcPr>
          <w:p>
            <w:pPr>
              <w:jc w:val="center"/>
            </w:pPr>
            <w:r>
              <w:rPr>
                <w:rFonts w:ascii="Arial" w:hAnsi="Arial"/>
                <w:b w:val="0"/>
                <w:i w:val="0"/>
                <w:color w:val="0F172A"/>
                <w:sz w:val="20"/>
              </w:rPr>
              <w:t>21</w:t>
            </w:r>
          </w:p>
        </w:tc>
        <w:tc>
          <w:tcPr>
            <w:tcW w:type="dxa" w:w="1378"/>
          </w:tcPr>
          <w:p>
            <w:pPr>
              <w:jc w:val="center"/>
            </w:pPr>
            <w:r>
              <w:rPr>
                <w:rFonts w:ascii="Arial" w:hAnsi="Arial"/>
                <w:b w:val="0"/>
                <w:i w:val="0"/>
                <w:color w:val="0F172A"/>
                <w:sz w:val="20"/>
              </w:rPr>
              <w:t>14.5</w:t>
            </w:r>
          </w:p>
        </w:tc>
        <w:tc>
          <w:tcPr>
            <w:tcW w:type="dxa" w:w="1378"/>
          </w:tcPr>
          <w:p>
            <w:r>
              <w:rPr>
                <w:rFonts w:ascii="Arial" w:hAnsi="Arial"/>
                <w:b/>
                <w:i w:val="0"/>
                <w:color w:val="15803D"/>
                <w:sz w:val="20"/>
              </w:rPr>
              <w:t>Completed</w:t>
            </w:r>
          </w:p>
        </w:tc>
      </w:tr>
      <w:tr>
        <w:tc>
          <w:tcPr>
            <w:tcW w:type="dxa" w:w="1378"/>
            <w:shd w:val="clear" w:color="auto" w:fill="f7f9fc"/>
          </w:tcPr>
          <w:p>
            <w:pPr>
              <w:jc w:val="center"/>
            </w:pPr>
            <w:r>
              <w:rPr>
                <w:rFonts w:ascii="Arial" w:hAnsi="Arial"/>
                <w:b w:val="0"/>
                <w:i w:val="0"/>
                <w:color w:val="0F172A"/>
                <w:sz w:val="20"/>
              </w:rPr>
              <w:t>L</w:t>
            </w:r>
          </w:p>
        </w:tc>
        <w:tc>
          <w:tcPr>
            <w:tcW w:type="dxa" w:w="1378"/>
            <w:shd w:val="clear" w:color="auto" w:fill="f7f9fc"/>
          </w:tcPr>
          <w:p>
            <w:r>
              <w:rPr>
                <w:rFonts w:ascii="Arial" w:hAnsi="Arial"/>
                <w:b w:val="0"/>
                <w:i w:val="0"/>
                <w:color w:val="0F172A"/>
                <w:sz w:val="20"/>
              </w:rPr>
              <w:t>Final Documentation &amp; Submission</w:t>
            </w:r>
          </w:p>
        </w:tc>
        <w:tc>
          <w:tcPr>
            <w:tcW w:type="dxa" w:w="1378"/>
            <w:shd w:val="clear" w:color="auto" w:fill="f7f9fc"/>
          </w:tcPr>
          <w:p>
            <w:pPr>
              <w:jc w:val="center"/>
            </w:pPr>
            <w:r>
              <w:rPr>
                <w:rFonts w:ascii="Arial" w:hAnsi="Arial"/>
                <w:b w:val="0"/>
                <w:i w:val="0"/>
                <w:color w:val="0F172A"/>
                <w:sz w:val="20"/>
              </w:rPr>
              <w:t>5</w:t>
            </w:r>
          </w:p>
        </w:tc>
        <w:tc>
          <w:tcPr>
            <w:tcW w:type="dxa" w:w="1378"/>
            <w:shd w:val="clear" w:color="auto" w:fill="f7f9fc"/>
          </w:tcPr>
          <w:p>
            <w:pPr>
              <w:jc w:val="center"/>
            </w:pPr>
            <w:r>
              <w:rPr>
                <w:rFonts w:ascii="Arial" w:hAnsi="Arial"/>
                <w:b w:val="0"/>
                <w:i w:val="0"/>
                <w:color w:val="0F172A"/>
                <w:sz w:val="20"/>
              </w:rPr>
              <w:t>8</w:t>
            </w:r>
          </w:p>
        </w:tc>
        <w:tc>
          <w:tcPr>
            <w:tcW w:type="dxa" w:w="1378"/>
            <w:shd w:val="clear" w:color="auto" w:fill="f7f9fc"/>
          </w:tcPr>
          <w:p>
            <w:pPr>
              <w:jc w:val="center"/>
            </w:pPr>
            <w:r>
              <w:rPr>
                <w:rFonts w:ascii="Arial" w:hAnsi="Arial"/>
                <w:b w:val="0"/>
                <w:i w:val="0"/>
                <w:color w:val="0F172A"/>
                <w:sz w:val="20"/>
              </w:rPr>
              <w:t>12</w:t>
            </w:r>
          </w:p>
        </w:tc>
        <w:tc>
          <w:tcPr>
            <w:tcW w:type="dxa" w:w="1378"/>
            <w:shd w:val="clear" w:color="auto" w:fill="f7f9fc"/>
          </w:tcPr>
          <w:p>
            <w:pPr>
              <w:jc w:val="center"/>
            </w:pPr>
            <w:r>
              <w:rPr>
                <w:rFonts w:ascii="Arial" w:hAnsi="Arial"/>
                <w:b w:val="0"/>
                <w:i w:val="0"/>
                <w:color w:val="0F172A"/>
                <w:sz w:val="20"/>
              </w:rPr>
              <w:t>8.2</w:t>
            </w:r>
          </w:p>
        </w:tc>
        <w:tc>
          <w:tcPr>
            <w:tcW w:type="dxa" w:w="1378"/>
            <w:shd w:val="clear" w:color="auto" w:fill="f7f9fc"/>
          </w:tcPr>
          <w:p>
            <w:r>
              <w:rPr>
                <w:rFonts w:ascii="Arial" w:hAnsi="Arial"/>
                <w:b/>
                <w:i w:val="0"/>
                <w:color w:val="B45C00"/>
                <w:sz w:val="20"/>
              </w:rPr>
              <w:t>In Progress</w:t>
            </w:r>
          </w:p>
        </w:tc>
      </w:tr>
    </w:tbl>
    <w:p>
      <w:pPr>
        <w:spacing w:after="200"/>
      </w:pPr>
      <w:r>
        <w:rPr>
          <w:rFonts w:ascii="Arial" w:hAnsi="Arial"/>
          <w:b w:val="0"/>
          <w:i w:val="0"/>
          <w:color w:val="64748B"/>
          <w:sz w:val="18"/>
        </w:rPr>
        <w:t>O = Optimistic days  |  M = Most Likely days  |  P = Pessimistic days  |  te = PERT expected time</w:t>
      </w:r>
    </w:p>
    <w:p>
      <w:pPr>
        <w:spacing w:before="280" w:after="120"/>
      </w:pPr>
      <w:r>
        <w:rPr>
          <w:rFonts w:ascii="Arial" w:hAnsi="Arial"/>
          <w:b/>
          <w:i w:val="0"/>
          <w:color w:val="041336"/>
          <w:sz w:val="32"/>
        </w:rPr>
        <w:t>5. PERT Chart</w:t>
      </w:r>
    </w:p>
    <w:p>
      <w:pPr>
        <w:spacing w:after="160"/>
      </w:pPr>
      <w:r>
        <w:rPr>
          <w:rFonts w:ascii="Arial" w:hAnsi="Arial"/>
          <w:b w:val="0"/>
          <w:i w:val="0"/>
          <w:color w:val="0F172A"/>
          <w:sz w:val="22"/>
        </w:rPr>
        <w:t>The PERT chart maps all tasks as nodes in a dependency network. Each node shows the task ID, name, and expected duration (te). Arrows represent dependencies: a task cannot begin until all upstream tasks are complete. As of July 6, every build node is complete; only node H (Auth and Database) remains planned, and it sits on a parallel track.</w:t>
      </w:r>
    </w:p>
    <w:p>
      <w:pPr>
        <w:spacing w:before="120"/>
        <w:jc w:val="center"/>
      </w:pPr>
      <w:r>
        <w:drawing>
          <wp:inline xmlns:a="http://schemas.openxmlformats.org/drawingml/2006/main" xmlns:pic="http://schemas.openxmlformats.org/drawingml/2006/picture">
            <wp:extent cx="6035040" cy="3290572"/>
            <wp:docPr id="3" name="Picture 3"/>
            <wp:cNvGraphicFramePr>
              <a:graphicFrameLocks noChangeAspect="1"/>
            </wp:cNvGraphicFramePr>
            <a:graphic>
              <a:graphicData uri="http://schemas.openxmlformats.org/drawingml/2006/picture">
                <pic:pic>
                  <pic:nvPicPr>
                    <pic:cNvPr id="0" name="pert_updated.png"/>
                    <pic:cNvPicPr/>
                  </pic:nvPicPr>
                  <pic:blipFill>
                    <a:blip r:embed="rId11"/>
                    <a:stretch>
                      <a:fillRect/>
                    </a:stretch>
                  </pic:blipFill>
                  <pic:spPr>
                    <a:xfrm>
                      <a:off x="0" y="0"/>
                      <a:ext cx="6035040" cy="3290572"/>
                    </a:xfrm>
                    <a:prstGeom prst="rect"/>
                  </pic:spPr>
                </pic:pic>
              </a:graphicData>
            </a:graphic>
          </wp:inline>
        </w:drawing>
      </w:r>
    </w:p>
    <w:p>
      <w:pPr>
        <w:spacing w:after="240"/>
        <w:jc w:val="center"/>
      </w:pPr>
      <w:r>
        <w:rPr>
          <w:rFonts w:ascii="Arial" w:hAnsi="Arial"/>
          <w:b w:val="0"/>
          <w:i/>
          <w:color w:val="64748B"/>
          <w:sz w:val="18"/>
        </w:rPr>
        <w:t>Figure 3. Pathway AI PERT Chart (Updated) — May 20 to August 12, 2026</w:t>
      </w:r>
    </w:p>
    <w:p>
      <w:pPr>
        <w:spacing w:after="160"/>
      </w:pPr>
      <w:r>
        <w:rPr>
          <w:rFonts w:ascii="Arial" w:hAnsi="Arial"/>
          <w:b w:val="0"/>
          <w:i w:val="0"/>
          <w:color w:val="0F172A"/>
          <w:sz w:val="22"/>
        </w:rPr>
        <w:t>The two development tracks (frontend and AI integration, A → C → E → G → I → L; and infrastructure, B → D → F → H → K → L) both converge at final submission. With the AI track fully complete, delivery risk now rests almost entirely on documentation and testing, both of which are underway with slack to spare.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