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3" w:type="dxa"/>
        <w:tblLook w:val="04A0" w:firstRow="1" w:lastRow="0" w:firstColumn="1" w:lastColumn="0" w:noHBand="0" w:noVBand="1"/>
      </w:tblPr>
      <w:tblGrid>
        <w:gridCol w:w="9033"/>
      </w:tblGrid>
      <w:tr w:rsidR="00737120" w:rsidRPr="00C63228" w14:paraId="77000544" w14:textId="77777777" w:rsidTr="00F82CB0">
        <w:trPr>
          <w:trHeight w:val="1208"/>
        </w:trPr>
        <w:tc>
          <w:tcPr>
            <w:tcW w:w="9033" w:type="dxa"/>
          </w:tcPr>
          <w:p w14:paraId="1C7E7E61" w14:textId="77777777" w:rsidR="00737120" w:rsidRPr="00C63228" w:rsidRDefault="00737120" w:rsidP="00737120">
            <w:pPr>
              <w:pStyle w:val="NormalWeb"/>
              <w:numPr>
                <w:ilvl w:val="0"/>
                <w:numId w:val="1"/>
              </w:numPr>
              <w:rPr>
                <w:rFonts w:asciiTheme="minorHAnsi" w:hAnsiTheme="minorHAnsi" w:cstheme="minorHAnsi"/>
                <w:sz w:val="22"/>
                <w:szCs w:val="22"/>
              </w:rPr>
            </w:pPr>
            <w:r w:rsidRPr="00C63228">
              <w:rPr>
                <w:rFonts w:asciiTheme="minorHAnsi" w:hAnsiTheme="minorHAnsi" w:cstheme="minorHAnsi"/>
                <w:sz w:val="22"/>
                <w:szCs w:val="22"/>
              </w:rPr>
              <w:t>Do not copy this text.</w:t>
            </w:r>
          </w:p>
          <w:p w14:paraId="3BC3100D" w14:textId="77777777" w:rsidR="00737120" w:rsidRPr="00C63228" w:rsidRDefault="00737120" w:rsidP="00737120">
            <w:pPr>
              <w:pStyle w:val="NormalWeb"/>
              <w:numPr>
                <w:ilvl w:val="0"/>
                <w:numId w:val="1"/>
              </w:numPr>
              <w:rPr>
                <w:rFonts w:asciiTheme="minorHAnsi" w:hAnsiTheme="minorHAnsi" w:cstheme="minorHAnsi"/>
                <w:sz w:val="22"/>
                <w:szCs w:val="22"/>
              </w:rPr>
            </w:pPr>
            <w:r w:rsidRPr="00C63228">
              <w:rPr>
                <w:rFonts w:asciiTheme="minorHAnsi" w:hAnsiTheme="minorHAnsi" w:cstheme="minorHAnsi"/>
                <w:sz w:val="22"/>
                <w:szCs w:val="22"/>
              </w:rPr>
              <w:t>Copy and paste all clauses and insert a “.” on the Arabic side.</w:t>
            </w:r>
          </w:p>
          <w:p w14:paraId="454BA122" w14:textId="77777777" w:rsidR="00737120" w:rsidRPr="00C63228" w:rsidRDefault="00737120" w:rsidP="00737120">
            <w:pPr>
              <w:pStyle w:val="NormalWeb"/>
              <w:numPr>
                <w:ilvl w:val="0"/>
                <w:numId w:val="1"/>
              </w:numPr>
              <w:rPr>
                <w:rFonts w:asciiTheme="minorHAnsi" w:hAnsiTheme="minorHAnsi" w:cstheme="minorHAnsi"/>
                <w:sz w:val="22"/>
                <w:szCs w:val="22"/>
              </w:rPr>
            </w:pPr>
            <w:r w:rsidRPr="00C63228">
              <w:rPr>
                <w:rFonts w:asciiTheme="minorHAnsi" w:hAnsiTheme="minorHAnsi" w:cstheme="minorHAnsi"/>
                <w:sz w:val="22"/>
                <w:szCs w:val="22"/>
              </w:rPr>
              <w:t>Review all clauses and edit all sections highlighted in yellow.</w:t>
            </w:r>
          </w:p>
          <w:p w14:paraId="01716A19" w14:textId="77777777" w:rsidR="00737120" w:rsidRPr="00C63228" w:rsidRDefault="00737120" w:rsidP="00737120">
            <w:pPr>
              <w:pStyle w:val="NormalWeb"/>
              <w:numPr>
                <w:ilvl w:val="0"/>
                <w:numId w:val="1"/>
              </w:numPr>
              <w:rPr>
                <w:rFonts w:asciiTheme="minorHAnsi" w:hAnsiTheme="minorHAnsi" w:cstheme="minorHAnsi"/>
                <w:sz w:val="22"/>
                <w:szCs w:val="22"/>
              </w:rPr>
            </w:pPr>
            <w:r w:rsidRPr="00C63228">
              <w:rPr>
                <w:rFonts w:asciiTheme="minorHAnsi" w:hAnsiTheme="minorHAnsi" w:cstheme="minorHAnsi"/>
                <w:sz w:val="22"/>
                <w:szCs w:val="22"/>
              </w:rPr>
              <w:t>Do not manually number clauses, as numbering is automatic on Dubai Brokers</w:t>
            </w:r>
          </w:p>
        </w:tc>
      </w:tr>
    </w:tbl>
    <w:p w14:paraId="56D6E6C8" w14:textId="77777777" w:rsidR="00737120" w:rsidRPr="00C63228" w:rsidRDefault="00737120" w:rsidP="00737120">
      <w:pPr>
        <w:rPr>
          <w:rFonts w:asciiTheme="minorHAnsi" w:hAnsiTheme="minorHAnsi" w:cstheme="minorHAnsi"/>
          <w:b/>
          <w:sz w:val="22"/>
          <w:szCs w:val="22"/>
        </w:rPr>
      </w:pPr>
    </w:p>
    <w:p w14:paraId="00000003" w14:textId="77777777" w:rsidR="00A34AC8" w:rsidRPr="00C63228" w:rsidRDefault="00A34AC8">
      <w:pPr>
        <w:rPr>
          <w:rFonts w:asciiTheme="minorHAnsi" w:hAnsiTheme="minorHAnsi" w:cstheme="minorHAnsi"/>
          <w:b/>
          <w:sz w:val="22"/>
          <w:szCs w:val="22"/>
        </w:rPr>
      </w:pPr>
    </w:p>
    <w:p w14:paraId="00000004" w14:textId="62F04C65" w:rsidR="00A34AC8" w:rsidRPr="00C63228" w:rsidRDefault="00000000">
      <w:pPr>
        <w:rPr>
          <w:rFonts w:asciiTheme="minorHAnsi" w:hAnsiTheme="minorHAnsi" w:cstheme="minorHAnsi"/>
          <w:sz w:val="22"/>
          <w:szCs w:val="22"/>
        </w:rPr>
      </w:pPr>
      <w:r w:rsidRPr="00C63228">
        <w:rPr>
          <w:rFonts w:asciiTheme="minorHAnsi" w:hAnsiTheme="minorHAnsi" w:cstheme="minorHAnsi"/>
          <w:b/>
          <w:sz w:val="22"/>
          <w:szCs w:val="22"/>
        </w:rPr>
        <w:t>Buyers Additional Obligations</w:t>
      </w:r>
      <w:r w:rsidRPr="00C63228">
        <w:rPr>
          <w:rFonts w:asciiTheme="minorHAnsi" w:hAnsiTheme="minorHAnsi" w:cstheme="minorHAnsi"/>
          <w:sz w:val="22"/>
          <w:szCs w:val="22"/>
        </w:rPr>
        <w:t xml:space="preserve">: Registration Trustee Fee AED 4,200 (Due date of transfer) || Mortgage registration Fee 0.25% of Mortgage amount + AED 290 || Conveyancing Fee AED 7,350 (Due date of transfer) || </w:t>
      </w:r>
    </w:p>
    <w:p w14:paraId="00000005" w14:textId="77777777" w:rsidR="00A34AC8" w:rsidRPr="00C63228" w:rsidRDefault="00A34AC8">
      <w:pPr>
        <w:rPr>
          <w:rFonts w:asciiTheme="minorHAnsi" w:hAnsiTheme="minorHAnsi" w:cstheme="minorHAnsi"/>
          <w:sz w:val="22"/>
          <w:szCs w:val="22"/>
        </w:rPr>
      </w:pPr>
    </w:p>
    <w:p w14:paraId="00000006" w14:textId="5A96E3A2" w:rsidR="00A34AC8" w:rsidRPr="00C63228" w:rsidRDefault="00000000">
      <w:pPr>
        <w:rPr>
          <w:rFonts w:asciiTheme="minorHAnsi" w:hAnsiTheme="minorHAnsi" w:cstheme="minorHAnsi"/>
          <w:sz w:val="22"/>
          <w:szCs w:val="22"/>
        </w:rPr>
      </w:pPr>
      <w:r w:rsidRPr="00C63228">
        <w:rPr>
          <w:rFonts w:asciiTheme="minorHAnsi" w:hAnsiTheme="minorHAnsi" w:cstheme="minorHAnsi"/>
          <w:b/>
          <w:sz w:val="22"/>
          <w:szCs w:val="22"/>
        </w:rPr>
        <w:t>Sellers Additional Obligations:</w:t>
      </w:r>
      <w:r w:rsidRPr="00C63228">
        <w:rPr>
          <w:rFonts w:asciiTheme="minorHAnsi" w:hAnsiTheme="minorHAnsi" w:cstheme="minorHAnsi"/>
          <w:sz w:val="22"/>
          <w:szCs w:val="22"/>
        </w:rPr>
        <w:t xml:space="preserve"> Conveyancing Fee AED </w:t>
      </w:r>
      <w:r w:rsidR="00C04F07" w:rsidRPr="00C63228">
        <w:rPr>
          <w:rFonts w:asciiTheme="minorHAnsi" w:hAnsiTheme="minorHAnsi" w:cstheme="minorHAnsi"/>
          <w:sz w:val="22"/>
          <w:szCs w:val="22"/>
        </w:rPr>
        <w:t xml:space="preserve">5,250 </w:t>
      </w:r>
      <w:r w:rsidRPr="00C63228">
        <w:rPr>
          <w:rFonts w:asciiTheme="minorHAnsi" w:hAnsiTheme="minorHAnsi" w:cstheme="minorHAnsi"/>
          <w:sz w:val="22"/>
          <w:szCs w:val="22"/>
        </w:rPr>
        <w:t xml:space="preserve">(Due date of transfer) || </w:t>
      </w:r>
      <w:r w:rsidR="00C04F07" w:rsidRPr="00C63228">
        <w:rPr>
          <w:rFonts w:asciiTheme="minorHAnsi" w:hAnsiTheme="minorHAnsi" w:cstheme="minorHAnsi"/>
          <w:sz w:val="22"/>
          <w:szCs w:val="22"/>
        </w:rPr>
        <w:t>NOC Fee payable to the Developer</w:t>
      </w:r>
    </w:p>
    <w:p w14:paraId="4407E463" w14:textId="6402CF5F" w:rsidR="00346361" w:rsidRPr="00C63228" w:rsidRDefault="00346361" w:rsidP="00346361">
      <w:pPr>
        <w:autoSpaceDE w:val="0"/>
        <w:autoSpaceDN w:val="0"/>
        <w:adjustRightInd w:val="0"/>
        <w:rPr>
          <w:rFonts w:asciiTheme="minorHAnsi" w:hAnsiTheme="minorHAnsi" w:cstheme="minorHAnsi"/>
          <w:b/>
          <w:bCs/>
          <w:color w:val="020204"/>
          <w:sz w:val="22"/>
          <w:szCs w:val="22"/>
          <w:highlight w:val="yellow"/>
        </w:rPr>
      </w:pPr>
      <w:r w:rsidRPr="00C63228">
        <w:rPr>
          <w:rFonts w:asciiTheme="minorHAnsi" w:hAnsiTheme="minorHAnsi" w:cstheme="minorHAnsi"/>
          <w:sz w:val="22"/>
          <w:szCs w:val="22"/>
        </w:rPr>
        <w:br/>
      </w:r>
      <w:r w:rsidRPr="00C63228">
        <w:rPr>
          <w:rFonts w:asciiTheme="minorHAnsi" w:hAnsiTheme="minorHAnsi" w:cstheme="minorHAnsi"/>
          <w:b/>
          <w:bCs/>
          <w:color w:val="020204"/>
          <w:sz w:val="22"/>
          <w:szCs w:val="22"/>
          <w:highlight w:val="yellow"/>
        </w:rPr>
        <w:t>HANDOVER PROPERTIES – “Properties that are in the process of receiving handover over” – REMOVER THIS IF YOU ARE NOT DEALING WITH HANDOVER PROPERITES</w:t>
      </w:r>
      <w:r w:rsidRPr="00C63228">
        <w:rPr>
          <w:rFonts w:asciiTheme="minorHAnsi" w:hAnsiTheme="minorHAnsi" w:cstheme="minorHAnsi"/>
          <w:b/>
          <w:bCs/>
          <w:color w:val="020204"/>
          <w:sz w:val="22"/>
          <w:szCs w:val="22"/>
          <w:highlight w:val="yellow"/>
        </w:rPr>
        <w:br/>
      </w:r>
    </w:p>
    <w:p w14:paraId="739FD08B" w14:textId="5066CBAC" w:rsidR="00346361" w:rsidRPr="00C63228" w:rsidRDefault="00346361" w:rsidP="00346361">
      <w:pPr>
        <w:autoSpaceDE w:val="0"/>
        <w:autoSpaceDN w:val="0"/>
        <w:adjustRightInd w:val="0"/>
        <w:rPr>
          <w:rFonts w:asciiTheme="minorHAnsi" w:hAnsiTheme="minorHAnsi" w:cstheme="minorHAnsi"/>
          <w:color w:val="020204"/>
          <w:sz w:val="22"/>
          <w:szCs w:val="22"/>
          <w:highlight w:val="yellow"/>
        </w:rPr>
      </w:pPr>
      <w:r w:rsidRPr="00C63228">
        <w:rPr>
          <w:rFonts w:asciiTheme="minorHAnsi" w:hAnsiTheme="minorHAnsi" w:cstheme="minorHAnsi"/>
          <w:color w:val="020204"/>
          <w:sz w:val="22"/>
          <w:szCs w:val="22"/>
          <w:highlight w:val="yellow"/>
        </w:rPr>
        <w:t>Both seller and buyer acknowledge that the Buyer(s) Mortgage Bank may request for the (1) Pre-title deed, (2) Building Completion Certificate and (3) Handover Notice/Certificate. The seller agrees to obtain the documents from the Developer.</w:t>
      </w:r>
      <w:r w:rsidRPr="00C63228">
        <w:rPr>
          <w:rFonts w:asciiTheme="minorHAnsi" w:hAnsiTheme="minorHAnsi" w:cstheme="minorHAnsi"/>
          <w:color w:val="020204"/>
          <w:sz w:val="22"/>
          <w:szCs w:val="22"/>
          <w:highlight w:val="yellow"/>
        </w:rPr>
        <w:br/>
      </w:r>
    </w:p>
    <w:p w14:paraId="1E0EAC0D" w14:textId="4C411862" w:rsidR="00346361" w:rsidRPr="00C63228" w:rsidRDefault="00346361" w:rsidP="00346361">
      <w:pPr>
        <w:autoSpaceDE w:val="0"/>
        <w:autoSpaceDN w:val="0"/>
        <w:adjustRightInd w:val="0"/>
        <w:rPr>
          <w:rFonts w:asciiTheme="minorHAnsi" w:hAnsiTheme="minorHAnsi" w:cstheme="minorHAnsi"/>
          <w:color w:val="020204"/>
          <w:sz w:val="22"/>
          <w:szCs w:val="22"/>
          <w:highlight w:val="yellow"/>
        </w:rPr>
      </w:pPr>
      <w:r w:rsidRPr="00C63228">
        <w:rPr>
          <w:rFonts w:asciiTheme="minorHAnsi" w:hAnsiTheme="minorHAnsi" w:cstheme="minorHAnsi"/>
          <w:color w:val="020204"/>
          <w:sz w:val="22"/>
          <w:szCs w:val="22"/>
          <w:highlight w:val="yellow"/>
        </w:rPr>
        <w:t>The seller agrees not to settle the outstanding payment plan unless agreed in writing, signed by both buyer and seller. The seller further agrees to provide an updated Statement Of Account (SOA) from the developer.</w:t>
      </w:r>
      <w:r w:rsidRPr="00C63228">
        <w:rPr>
          <w:rFonts w:asciiTheme="minorHAnsi" w:hAnsiTheme="minorHAnsi" w:cstheme="minorHAnsi"/>
          <w:color w:val="020204"/>
          <w:sz w:val="22"/>
          <w:szCs w:val="22"/>
          <w:highlight w:val="yellow"/>
        </w:rPr>
        <w:br/>
      </w:r>
    </w:p>
    <w:p w14:paraId="00000007" w14:textId="70AD7221" w:rsidR="00A34AC8" w:rsidRPr="00C63228" w:rsidRDefault="00346361" w:rsidP="00346361">
      <w:pPr>
        <w:autoSpaceDE w:val="0"/>
        <w:autoSpaceDN w:val="0"/>
        <w:adjustRightInd w:val="0"/>
        <w:rPr>
          <w:rFonts w:asciiTheme="minorHAnsi" w:hAnsiTheme="minorHAnsi" w:cstheme="minorHAnsi"/>
          <w:i/>
          <w:iCs/>
          <w:color w:val="020204"/>
          <w:sz w:val="22"/>
          <w:szCs w:val="22"/>
        </w:rPr>
      </w:pPr>
      <w:r w:rsidRPr="00C63228">
        <w:rPr>
          <w:rFonts w:asciiTheme="minorHAnsi" w:hAnsiTheme="minorHAnsi" w:cstheme="minorHAnsi"/>
          <w:color w:val="020204"/>
          <w:sz w:val="22"/>
          <w:szCs w:val="22"/>
          <w:highlight w:val="yellow"/>
        </w:rPr>
        <w:t>Both parties acknowledge that the developer may not allow access to the property for the Property Valuation immediately. The seller agrees to-request for access to the property for Property Valuation within (2) two working days from date of signing the Contract F.</w:t>
      </w:r>
      <w:r w:rsidRPr="00C63228">
        <w:rPr>
          <w:rFonts w:asciiTheme="minorHAnsi" w:hAnsiTheme="minorHAnsi" w:cstheme="minorHAnsi"/>
          <w:sz w:val="22"/>
          <w:szCs w:val="22"/>
        </w:rPr>
        <w:br/>
      </w:r>
    </w:p>
    <w:p w14:paraId="00000008" w14:textId="77777777" w:rsidR="00A34AC8" w:rsidRPr="00C63228" w:rsidRDefault="00000000">
      <w:pPr>
        <w:rPr>
          <w:rFonts w:asciiTheme="minorHAnsi" w:hAnsiTheme="minorHAnsi" w:cstheme="minorHAnsi"/>
          <w:sz w:val="22"/>
          <w:szCs w:val="22"/>
        </w:rPr>
      </w:pPr>
      <w:r w:rsidRPr="00C63228">
        <w:rPr>
          <w:rFonts w:asciiTheme="minorHAnsi" w:hAnsiTheme="minorHAnsi" w:cstheme="minorHAnsi"/>
          <w:sz w:val="22"/>
          <w:szCs w:val="22"/>
        </w:rPr>
        <w:t xml:space="preserve">Agency fees are subject to an additional 5% VAT. The fee’s outlined in this contract are to the best of our knowledge at the time, any changes or discrepancies will not be the responsibility of the Real Estate Broker. </w:t>
      </w:r>
    </w:p>
    <w:p w14:paraId="00000009" w14:textId="77777777" w:rsidR="00A34AC8" w:rsidRPr="00C63228" w:rsidRDefault="00A34AC8">
      <w:pPr>
        <w:rPr>
          <w:rFonts w:asciiTheme="minorHAnsi" w:hAnsiTheme="minorHAnsi" w:cstheme="minorHAnsi"/>
          <w:sz w:val="22"/>
          <w:szCs w:val="22"/>
        </w:rPr>
      </w:pPr>
    </w:p>
    <w:p w14:paraId="0000000A" w14:textId="77777777" w:rsidR="00A34AC8" w:rsidRPr="00C63228" w:rsidRDefault="00000000">
      <w:pPr>
        <w:jc w:val="both"/>
        <w:rPr>
          <w:rFonts w:asciiTheme="minorHAnsi" w:hAnsiTheme="minorHAnsi" w:cstheme="minorHAnsi"/>
          <w:sz w:val="22"/>
          <w:szCs w:val="22"/>
        </w:rPr>
      </w:pPr>
      <w:r w:rsidRPr="00C63228">
        <w:rPr>
          <w:rFonts w:asciiTheme="minorHAnsi" w:hAnsiTheme="minorHAnsi" w:cstheme="minorHAnsi"/>
          <w:sz w:val="22"/>
          <w:szCs w:val="22"/>
        </w:rPr>
        <w:t>Both parties agree to not deal directly with each other and/or any of their associates for this transaction. Both Seller and Buyer agree that any breach of this agreement will not constitute any liability on the part of Paragon Properties nor any of their directors, employees or representative.</w:t>
      </w:r>
    </w:p>
    <w:p w14:paraId="0000000B" w14:textId="77777777" w:rsidR="00A34AC8" w:rsidRPr="00C63228" w:rsidRDefault="00A34AC8">
      <w:pPr>
        <w:rPr>
          <w:rFonts w:asciiTheme="minorHAnsi" w:hAnsiTheme="minorHAnsi" w:cstheme="minorHAnsi"/>
          <w:sz w:val="22"/>
          <w:szCs w:val="22"/>
        </w:rPr>
      </w:pPr>
    </w:p>
    <w:p w14:paraId="0000000C" w14:textId="0DE3F345" w:rsidR="00A34AC8" w:rsidRPr="00C63228" w:rsidRDefault="00000000">
      <w:pPr>
        <w:jc w:val="both"/>
        <w:rPr>
          <w:rFonts w:asciiTheme="minorHAnsi" w:hAnsiTheme="minorHAnsi" w:cstheme="minorHAnsi"/>
          <w:sz w:val="22"/>
          <w:szCs w:val="22"/>
        </w:rPr>
      </w:pPr>
      <w:r w:rsidRPr="00C63228">
        <w:rPr>
          <w:rFonts w:asciiTheme="minorHAnsi" w:hAnsiTheme="minorHAnsi" w:cstheme="minorHAnsi"/>
          <w:sz w:val="22"/>
          <w:szCs w:val="22"/>
        </w:rPr>
        <w:t xml:space="preserve">The property valuation shall not exceed </w:t>
      </w:r>
      <w:r w:rsidR="00C04F07" w:rsidRPr="00C63228">
        <w:rPr>
          <w:rFonts w:asciiTheme="minorHAnsi" w:hAnsiTheme="minorHAnsi" w:cstheme="minorHAnsi"/>
          <w:sz w:val="22"/>
          <w:szCs w:val="22"/>
        </w:rPr>
        <w:t>5</w:t>
      </w:r>
      <w:r w:rsidRPr="00C63228">
        <w:rPr>
          <w:rFonts w:asciiTheme="minorHAnsi" w:hAnsiTheme="minorHAnsi" w:cstheme="minorHAnsi"/>
          <w:sz w:val="22"/>
          <w:szCs w:val="22"/>
        </w:rPr>
        <w:t>% below the Agreed Selling Price. Paragon Properties retains the right to contest the valuation. In the event of a greater variance after contesting the valuation, the Buyer and Seller can renegotiate. If no resolution is reached and no new agreement is made, this contract will be considered null and void, and deposit cheque(s) will be returned without penalty.</w:t>
      </w:r>
    </w:p>
    <w:p w14:paraId="0000000D" w14:textId="77777777" w:rsidR="00A34AC8" w:rsidRPr="00C63228" w:rsidRDefault="00A34AC8" w:rsidP="00A4766C">
      <w:pPr>
        <w:shd w:val="clear" w:color="auto" w:fill="FFFFFF" w:themeFill="background1"/>
        <w:jc w:val="both"/>
        <w:rPr>
          <w:rFonts w:asciiTheme="minorHAnsi" w:hAnsiTheme="minorHAnsi" w:cstheme="minorHAnsi"/>
          <w:sz w:val="22"/>
          <w:szCs w:val="22"/>
        </w:rPr>
      </w:pPr>
    </w:p>
    <w:p w14:paraId="0000000E" w14:textId="77777777" w:rsidR="00A34AC8" w:rsidRPr="00C63228" w:rsidRDefault="00000000" w:rsidP="00A4766C">
      <w:pPr>
        <w:shd w:val="clear" w:color="auto" w:fill="FFFFFF" w:themeFill="background1"/>
        <w:jc w:val="both"/>
        <w:rPr>
          <w:rFonts w:asciiTheme="minorHAnsi" w:hAnsiTheme="minorHAnsi" w:cstheme="minorHAnsi"/>
          <w:sz w:val="22"/>
          <w:szCs w:val="22"/>
        </w:rPr>
      </w:pPr>
      <w:r w:rsidRPr="00C63228">
        <w:rPr>
          <w:rFonts w:asciiTheme="minorHAnsi" w:hAnsiTheme="minorHAnsi" w:cstheme="minorHAnsi"/>
          <w:sz w:val="22"/>
          <w:szCs w:val="22"/>
        </w:rPr>
        <w:t>This Contract is subject to the Buyer obtaining final mortgage approval. Upon receiving final mortgage approval, the Buyer is bound to all conditions within this Contract. If the Buyer fails to obtain final approval, written proof from their bank must be provided. Additionally, the Buyer agrees to collaborate with Apex Solutions Mortgage consultant to explore alternative options in the market. If, after exploring alternative options and still being rejected by the banks, this Contract will be considered null and void without penalty. Deposit checks will be returned to all parties.</w:t>
      </w:r>
    </w:p>
    <w:p w14:paraId="0000000F" w14:textId="77777777" w:rsidR="00A34AC8" w:rsidRPr="00C63228" w:rsidRDefault="00A34AC8">
      <w:pPr>
        <w:jc w:val="both"/>
        <w:rPr>
          <w:rFonts w:asciiTheme="minorHAnsi" w:hAnsiTheme="minorHAnsi" w:cstheme="minorHAnsi"/>
          <w:sz w:val="22"/>
          <w:szCs w:val="22"/>
        </w:rPr>
      </w:pPr>
    </w:p>
    <w:p w14:paraId="00000011" w14:textId="0D017A7E" w:rsidR="00A34AC8" w:rsidRPr="00C63228" w:rsidRDefault="00000000" w:rsidP="00F204E8">
      <w:pPr>
        <w:jc w:val="both"/>
        <w:rPr>
          <w:rFonts w:asciiTheme="minorHAnsi" w:hAnsiTheme="minorHAnsi" w:cstheme="minorHAnsi"/>
          <w:sz w:val="22"/>
          <w:szCs w:val="22"/>
        </w:rPr>
      </w:pPr>
      <w:r w:rsidRPr="00C63228">
        <w:rPr>
          <w:rFonts w:asciiTheme="minorHAnsi" w:hAnsiTheme="minorHAnsi" w:cstheme="minorHAnsi"/>
          <w:sz w:val="22"/>
          <w:szCs w:val="22"/>
          <w:highlight w:val="yellow"/>
        </w:rPr>
        <w:lastRenderedPageBreak/>
        <w:t>The tenant’s security deposit will be handed to the Buyer on the Date of Transfer and will be refunded to the tenants upon their vacating of the property. The Seller will also refund to the Buyer the daily pro-rata rent from the Date of Transfer.</w:t>
      </w:r>
    </w:p>
    <w:p w14:paraId="1EC53E21" w14:textId="77777777" w:rsidR="00C63352" w:rsidRPr="00C63228" w:rsidRDefault="00C63352" w:rsidP="00C63352">
      <w:pPr>
        <w:pStyle w:val="NormalWeb"/>
        <w:rPr>
          <w:rFonts w:asciiTheme="minorHAnsi" w:hAnsiTheme="minorHAnsi" w:cstheme="minorHAnsi"/>
          <w:sz w:val="22"/>
          <w:szCs w:val="22"/>
        </w:rPr>
      </w:pPr>
      <w:r w:rsidRPr="00C63228">
        <w:rPr>
          <w:rFonts w:asciiTheme="minorHAnsi" w:hAnsiTheme="minorHAnsi" w:cstheme="minorHAnsi"/>
          <w:sz w:val="22"/>
          <w:szCs w:val="22"/>
        </w:rPr>
        <w:t xml:space="preserve">If the Buyer(s) withdraws from the agreed sale after signing this Contract and/or defaults on the buyer(s) obligations, the Buyer(s) acknowledges that the deposit will be forfeited due to failure to </w:t>
      </w:r>
      <w:proofErr w:type="spellStart"/>
      <w:r w:rsidRPr="00C63228">
        <w:rPr>
          <w:rFonts w:asciiTheme="minorHAnsi" w:hAnsiTheme="minorHAnsi" w:cstheme="minorHAnsi"/>
          <w:sz w:val="22"/>
          <w:szCs w:val="22"/>
        </w:rPr>
        <w:t>fulfill</w:t>
      </w:r>
      <w:proofErr w:type="spellEnd"/>
      <w:r w:rsidRPr="00C63228">
        <w:rPr>
          <w:rFonts w:asciiTheme="minorHAnsi" w:hAnsiTheme="minorHAnsi" w:cstheme="minorHAnsi"/>
          <w:sz w:val="22"/>
          <w:szCs w:val="22"/>
        </w:rPr>
        <w:t xml:space="preserve"> the contractual obligations herein. Of the forfeited deposit, 80% will be payable to the Seller(s) as compensation, and 20% shall be payable to the Real Estate Agency as professional and administrative fees.</w:t>
      </w:r>
    </w:p>
    <w:p w14:paraId="0FED2CD1" w14:textId="77777777" w:rsidR="00C63352" w:rsidRPr="00C63228" w:rsidRDefault="00C63352" w:rsidP="00C63352">
      <w:pPr>
        <w:pStyle w:val="NormalWeb"/>
        <w:rPr>
          <w:rFonts w:asciiTheme="minorHAnsi" w:hAnsiTheme="minorHAnsi" w:cstheme="minorHAnsi"/>
          <w:sz w:val="22"/>
          <w:szCs w:val="22"/>
        </w:rPr>
      </w:pPr>
      <w:r w:rsidRPr="00C63228">
        <w:rPr>
          <w:rFonts w:asciiTheme="minorHAnsi" w:hAnsiTheme="minorHAnsi" w:cstheme="minorHAnsi"/>
          <w:sz w:val="22"/>
          <w:szCs w:val="22"/>
        </w:rPr>
        <w:t>If the Seller withdraws from the sale after signing this Contract and/or defaults on the seller(s) obligations, the Buyer’s deposit will be refunded in full. In addition, the Seller(s) will be liable to pay a penalty equivalent to the deposit amount, of which 80% will be payable to the Buyer(s) as compensation, and 20% shall be payable to the Real Estate Agency as professional and administrative fees.</w:t>
      </w:r>
    </w:p>
    <w:p w14:paraId="00000013" w14:textId="77777777" w:rsidR="00A34AC8" w:rsidRPr="00C63228" w:rsidRDefault="00A34AC8">
      <w:pPr>
        <w:rPr>
          <w:rFonts w:asciiTheme="minorHAnsi" w:hAnsiTheme="minorHAnsi" w:cstheme="minorHAnsi"/>
          <w:sz w:val="22"/>
          <w:szCs w:val="22"/>
        </w:rPr>
      </w:pPr>
    </w:p>
    <w:p w14:paraId="00000014" w14:textId="77777777" w:rsidR="00A34AC8" w:rsidRPr="00C63228" w:rsidRDefault="00000000">
      <w:pPr>
        <w:rPr>
          <w:rFonts w:asciiTheme="minorHAnsi" w:hAnsiTheme="minorHAnsi" w:cstheme="minorHAnsi"/>
          <w:sz w:val="22"/>
          <w:szCs w:val="22"/>
        </w:rPr>
      </w:pPr>
      <w:r w:rsidRPr="00C63228">
        <w:rPr>
          <w:rFonts w:asciiTheme="minorHAnsi" w:hAnsiTheme="minorHAnsi" w:cstheme="minorHAnsi"/>
          <w:sz w:val="22"/>
          <w:szCs w:val="22"/>
        </w:rPr>
        <w:t xml:space="preserve">The Buyer and Seller have agreed to pay Paragon Properties the above-stated commission for their services, which shall not be refundable for any reason after transfer. Should the Buyer not complete the purchase due to job loss or salary reduction, Paragon Properties are still entitled to their full agency fee. </w:t>
      </w:r>
    </w:p>
    <w:p w14:paraId="00000015" w14:textId="77777777" w:rsidR="00A34AC8" w:rsidRPr="00C63228" w:rsidRDefault="00A34AC8">
      <w:pPr>
        <w:rPr>
          <w:rFonts w:asciiTheme="minorHAnsi" w:hAnsiTheme="minorHAnsi" w:cstheme="minorHAnsi"/>
          <w:sz w:val="22"/>
          <w:szCs w:val="22"/>
        </w:rPr>
      </w:pPr>
    </w:p>
    <w:p w14:paraId="00000016" w14:textId="77777777" w:rsidR="00A34AC8" w:rsidRPr="00C63228" w:rsidRDefault="00000000">
      <w:pPr>
        <w:jc w:val="both"/>
        <w:rPr>
          <w:rFonts w:asciiTheme="minorHAnsi" w:hAnsiTheme="minorHAnsi" w:cstheme="minorHAnsi"/>
          <w:sz w:val="22"/>
          <w:szCs w:val="22"/>
        </w:rPr>
      </w:pPr>
      <w:r w:rsidRPr="00C63228">
        <w:rPr>
          <w:rFonts w:asciiTheme="minorHAnsi" w:hAnsiTheme="minorHAnsi" w:cstheme="minorHAnsi"/>
          <w:color w:val="000000"/>
          <w:sz w:val="22"/>
          <w:szCs w:val="22"/>
        </w:rPr>
        <w:t xml:space="preserve">The Seller will pay all fees and liabilities outstanding on the property prior to the Date of Transfer. The Buyer agrees to refund any payments made by the Seller for charges owed beyond the Date of Transfer, calculated on a daily pro-rata basis and given to the Seller on the Date of Transfer. </w:t>
      </w:r>
    </w:p>
    <w:p w14:paraId="00000017" w14:textId="77777777" w:rsidR="00A34AC8" w:rsidRPr="00C63228" w:rsidRDefault="00A34AC8">
      <w:pPr>
        <w:rPr>
          <w:rFonts w:asciiTheme="minorHAnsi" w:hAnsiTheme="minorHAnsi" w:cstheme="minorHAnsi"/>
          <w:sz w:val="22"/>
          <w:szCs w:val="22"/>
        </w:rPr>
      </w:pPr>
    </w:p>
    <w:p w14:paraId="77FA8E7C" w14:textId="77777777" w:rsidR="00EF6147" w:rsidRPr="00C63228" w:rsidRDefault="00EF6147" w:rsidP="00EF6147">
      <w:pPr>
        <w:autoSpaceDE w:val="0"/>
        <w:autoSpaceDN w:val="0"/>
        <w:adjustRightInd w:val="0"/>
        <w:rPr>
          <w:rFonts w:asciiTheme="minorHAnsi" w:hAnsiTheme="minorHAnsi" w:cstheme="minorHAnsi"/>
          <w:color w:val="020204"/>
          <w:sz w:val="22"/>
          <w:szCs w:val="22"/>
        </w:rPr>
      </w:pPr>
      <w:r w:rsidRPr="00C63228">
        <w:rPr>
          <w:rFonts w:asciiTheme="minorHAnsi" w:hAnsiTheme="minorHAnsi" w:cstheme="minorHAnsi"/>
          <w:color w:val="020204"/>
          <w:sz w:val="22"/>
          <w:szCs w:val="22"/>
        </w:rPr>
        <w:t>If there is any delay beyond the control of either party in the date of transfer due to third parties, including but not limited to the delays by Dubai Land Department, Developers, Banks or Trustee offices - both parties agree to extend the digital Form F (and date of transfer, if necessary) by 30 days.</w:t>
      </w:r>
    </w:p>
    <w:p w14:paraId="623929C0" w14:textId="77777777" w:rsidR="00EF6147" w:rsidRPr="00C63228" w:rsidRDefault="00EF6147" w:rsidP="00EF6147">
      <w:pPr>
        <w:tabs>
          <w:tab w:val="left" w:pos="450"/>
        </w:tabs>
        <w:jc w:val="both"/>
        <w:rPr>
          <w:rFonts w:asciiTheme="minorHAnsi" w:hAnsiTheme="minorHAnsi" w:cstheme="minorHAnsi"/>
          <w:sz w:val="22"/>
          <w:szCs w:val="22"/>
        </w:rPr>
      </w:pPr>
    </w:p>
    <w:p w14:paraId="46038A95" w14:textId="77777777" w:rsidR="00EF6147" w:rsidRPr="00C63228" w:rsidRDefault="00EF6147" w:rsidP="00EF6147">
      <w:pPr>
        <w:tabs>
          <w:tab w:val="left" w:pos="450"/>
        </w:tabs>
        <w:jc w:val="both"/>
        <w:rPr>
          <w:rFonts w:asciiTheme="minorHAnsi" w:hAnsiTheme="minorHAnsi" w:cstheme="minorHAnsi"/>
          <w:sz w:val="22"/>
          <w:szCs w:val="22"/>
        </w:rPr>
      </w:pPr>
      <w:r w:rsidRPr="00C63228">
        <w:rPr>
          <w:rFonts w:asciiTheme="minorHAnsi" w:hAnsiTheme="minorHAnsi" w:cstheme="minorHAnsi"/>
          <w:sz w:val="22"/>
          <w:szCs w:val="22"/>
        </w:rPr>
        <w:t xml:space="preserve">The Seller retains legal ownership of the property until successful transfer. The Seller confirms that the property will be handed over to the Buyer in its current condition and is sold as seen but the sale excludes all furniture and soft fittings. </w:t>
      </w:r>
    </w:p>
    <w:p w14:paraId="5822DAC5" w14:textId="30FF8D04" w:rsidR="00EF6147" w:rsidRPr="00C63228" w:rsidRDefault="00EF6147" w:rsidP="00EF6147">
      <w:pPr>
        <w:autoSpaceDE w:val="0"/>
        <w:autoSpaceDN w:val="0"/>
        <w:adjustRightInd w:val="0"/>
        <w:rPr>
          <w:rFonts w:asciiTheme="minorHAnsi" w:hAnsiTheme="minorHAnsi" w:cstheme="minorHAnsi"/>
          <w:color w:val="020204"/>
          <w:sz w:val="22"/>
          <w:szCs w:val="22"/>
        </w:rPr>
      </w:pPr>
      <w:r w:rsidRPr="00C63228">
        <w:rPr>
          <w:rFonts w:asciiTheme="minorHAnsi" w:hAnsiTheme="minorHAnsi" w:cstheme="minorHAnsi"/>
          <w:color w:val="020204"/>
          <w:sz w:val="22"/>
          <w:szCs w:val="22"/>
        </w:rPr>
        <w:br/>
      </w:r>
      <w:r w:rsidRPr="00C63228">
        <w:rPr>
          <w:rFonts w:asciiTheme="minorHAnsi" w:hAnsiTheme="minorHAnsi" w:cstheme="minorHAnsi"/>
          <w:color w:val="020204"/>
          <w:sz w:val="22"/>
          <w:szCs w:val="22"/>
        </w:rPr>
        <w:br/>
        <w:t>If either party is unavailable or travelling and unable to attend to procedures required for the transfer or completion of the transaction, that party shall arrange a duly notarised Power of Attorney (POA) to ensure the transfer process proceeds without delay.</w:t>
      </w:r>
    </w:p>
    <w:p w14:paraId="4C2F9C7F" w14:textId="77777777" w:rsidR="00EF6147" w:rsidRPr="00C63228" w:rsidRDefault="00EF6147" w:rsidP="00EF6147">
      <w:pPr>
        <w:rPr>
          <w:rFonts w:asciiTheme="minorHAnsi" w:hAnsiTheme="minorHAnsi" w:cstheme="minorHAnsi"/>
          <w:sz w:val="22"/>
          <w:szCs w:val="22"/>
        </w:rPr>
      </w:pPr>
    </w:p>
    <w:p w14:paraId="59938150" w14:textId="77777777" w:rsidR="00EF6147" w:rsidRPr="00C63228" w:rsidRDefault="00EF6147" w:rsidP="00EF6147">
      <w:pPr>
        <w:autoSpaceDE w:val="0"/>
        <w:autoSpaceDN w:val="0"/>
        <w:adjustRightInd w:val="0"/>
        <w:rPr>
          <w:rFonts w:asciiTheme="minorHAnsi" w:hAnsiTheme="minorHAnsi" w:cstheme="minorHAnsi"/>
          <w:color w:val="020204"/>
          <w:sz w:val="22"/>
          <w:szCs w:val="22"/>
        </w:rPr>
      </w:pPr>
      <w:r w:rsidRPr="00C63228">
        <w:rPr>
          <w:rFonts w:asciiTheme="minorHAnsi" w:hAnsiTheme="minorHAnsi" w:cstheme="minorHAnsi"/>
          <w:color w:val="020204"/>
          <w:sz w:val="22"/>
          <w:szCs w:val="22"/>
        </w:rPr>
        <w:t>By signing this Contract, Buyer(s) acknowledge and agree that the transaction is subject to Federal Decree-Law No. (20) of 2018 on Anti-Money Laundering and Cabinet Decision No. (10) of 2019, including Article 20(2), as applicable to the UAE real estate sector. The Buyer and Seller undertake to provide the Broker with all documentation required to comply with AML and applicable Dubai government regulations, including but not limited to proof of address and identification documents, upon request.</w:t>
      </w:r>
    </w:p>
    <w:p w14:paraId="0000001C" w14:textId="77777777" w:rsidR="00A34AC8" w:rsidRDefault="00A34AC8" w:rsidP="00EF6147"/>
    <w:sectPr w:rsidR="00A34AC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C7977"/>
    <w:multiLevelType w:val="multilevel"/>
    <w:tmpl w:val="57F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6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C8"/>
    <w:rsid w:val="00114AAB"/>
    <w:rsid w:val="00346361"/>
    <w:rsid w:val="00375EF2"/>
    <w:rsid w:val="006D594F"/>
    <w:rsid w:val="00737120"/>
    <w:rsid w:val="007F0B28"/>
    <w:rsid w:val="00A34AC8"/>
    <w:rsid w:val="00A4766C"/>
    <w:rsid w:val="00BE6BB8"/>
    <w:rsid w:val="00C04F07"/>
    <w:rsid w:val="00C63228"/>
    <w:rsid w:val="00C63352"/>
    <w:rsid w:val="00EF6147"/>
    <w:rsid w:val="00F204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96A55E7"/>
  <w15:docId w15:val="{2AE3CD46-410E-3D4B-A1FE-763B9F1C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A8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63352"/>
    <w:pPr>
      <w:spacing w:before="100" w:beforeAutospacing="1" w:after="100" w:afterAutospacing="1"/>
    </w:pPr>
    <w:rPr>
      <w:rFonts w:ascii="Times New Roman" w:eastAsia="Times New Roman" w:hAnsi="Times New Roman" w:cs="Times New Roman"/>
      <w:lang w:val="en-ZA"/>
    </w:rPr>
  </w:style>
  <w:style w:type="table" w:styleId="TableGrid">
    <w:name w:val="Table Grid"/>
    <w:basedOn w:val="TableNormal"/>
    <w:uiPriority w:val="39"/>
    <w:rsid w:val="007371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FtsqBTrS05DUfNbnhiJu//iXw==">CgMxLjA4AHIhMUxkRFpKU3hZeGZRTHZRdkhhbl9xYzFaR3dNUnVWcVhL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Amos</dc:creator>
  <cp:lastModifiedBy>Jacques Meintjes</cp:lastModifiedBy>
  <cp:revision>12</cp:revision>
  <dcterms:created xsi:type="dcterms:W3CDTF">2021-08-30T07:59:00Z</dcterms:created>
  <dcterms:modified xsi:type="dcterms:W3CDTF">2026-02-18T06:29:00Z</dcterms:modified>
</cp:coreProperties>
</file>