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rFonts w:ascii="Arial" w:hAnsi="Arial"/>
        </w:rPr>
      </w:pPr>
      <w:r>
        <w:rPr>
          <w:rFonts w:ascii="Arial" w:hAnsi="Arial"/>
          <w:b/>
          <w:bCs/>
        </w:rPr>
        <w:t xml:space="preserve">Keywords: </w:t>
      </w:r>
      <w:r>
        <w:rPr>
          <w:rFonts w:ascii="Arial" w:hAnsi="Arial"/>
        </w:rPr>
        <w:t>Bacteria, Archaea, Eukarya, spatial ecology, Mantel test, macroecology, dispersal limitation</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56WR28I1ZE"/>
      <w:bookmarkStart w:id="1" w:name="Mendeley_Bookmark_JFR7lpwm2U"/>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The relationship quantifies how compositional similarity of communities decays with increasing geographic distance between them, such that communities close together contain more similar species assemblages than those further apart. Distance-decay relationships are of considerable interest to ecologists as they reflect a number of non-mutually exclusive ecological processes. Firstly, d-d relationships can arise through spatially structured niche processes. Communities are often structured by the shared environmental niches of their component species. Consequently, in habitats where spatially structured environmental gradients occur, communities close together in space will experience more similar environmental conditions, thus selecting for more similar communities. Alternatively, d-d relationships may occur due to neutral processes, such as dispersal limitation, even in the absence of niche processes. Species that are dispersal limited will disperse more frequently between communities that are close together, thus resulting in more similar compositions than those far apart.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d-d relationships have been documented in a wide variety of organisms, they have been particularly well studied by microbial ecologists, as microorganisms present several characteristics that may result in unusual or non-existent d-d relationships. Firstly, their small size means that they have exceptional capacity to disperse over very large geographic distances. Passive dispersal mechanisms such as wind, bio-aerosolisation, oceanic currents, migratory animals, and human activity, all have the potential to spread viable microbial propagules over near global scales, thus overcoming dispersal limitation between communities. Additionally, microorganisms often maintain extremely high population densities in the environment. The high density of cells in an area may lead to effective dispersal via “mass effects”, whereby high dispersal rates from areas of high population density maintain populations in less optimal environments (Shmida &amp; Wilson, 1985). Furthermore, many microorganisms are able to enter vegetative states, such as cysts or spores, allowing them to survive in suboptimal environments. This allows them to survive whilst dispersing between suitable habitats, or to persist in an environment until conditions change favourably.</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These properties led to the assumption that microorganisms should be globally dispersed, and that microbial communities would only show d-d relationships under niche processes in spatially structured environments (Baas Becking 1934; Finlay &amp; Fenchel 2004). However, modern molecular evidence refutes this. The rapid development of molecular methods to study microbial communities has resulted in an explosion of studies testing the distance-decay relationship in microbial communities. This body of research has yielded mixed results about the nature of microbial d-d relationships, with considerable discrepencies between studies. A number of studies have found little or no correlation between microbial community composition and distance </w:t>
      </w:r>
      <w:bookmarkStart w:id="2" w:name="Mendeley_Bookmark_03zMBZ1Bam1"/>
      <w:bookmarkStart w:id="3" w:name="Mendeley_Bookmark_eO3mJEqhbk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for a range of scales and taxa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WtZTfmB6kE"/>
      <w:bookmarkStart w:id="5" w:name="Mendeley_Bookmark_4xg16fe0kh"/>
      <w:bookmarkEnd w:id="4"/>
      <w:bookmarkEnd w:id="5"/>
      <w:r>
        <w:rPr>
          <w:rFonts w:ascii="Arial" w:hAnsi="Arial"/>
        </w:rPr>
        <w:t>14, Clark et al. 2017), even after accounting for the spatial structure of the environment (e.g. Green et al.,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variability in reported microbial d-d relationships could be due to the different ecological contexts that in turn, determine the contribution of niche and neutral processes in forming d-d relationships. Different study systems could lead to varying d-d relationships due to differences in connectivity and spatial structuring. Well connected systems in which long distance dispersal is possible, such as oceanic waters, should show weaker distance decay relationships than systems in which dispersal is limited, such as in host-associated communities. Moreover, study systems vary in the spatial structuring of environmental variables. Soils for example, can support strong environmental gradients over relatively small distances geographic distances (e.g. Dumbrell et al. 2010), leading to steep d-d relationships where niche-based processes dominate. In contrast, systems that support diffuse environmental gradients, such as well mixed ocean waters, may show weaker d-d relationships as environmental conditions will be less strongly correlated with geographic distance. Moreover, different study organisms are also likely to yield variable d-d relationships if they have different dispersal abilities. For example, small cell sizes lead to more efficient long distance dispersal, thus organisms with smaller cell sizes, such as Bacteria and Archaea, should disperse further than microbial Eukarya, leading to shallower d-d relationships. Finally, the different spatial scales incorporated by studies could contribute to the variability in d-d relationships. The ability of extent (total spatial scales) and grain (spatial resolution of samples) to influence our perception of ecological relationships has been well documented (). Here, studies that occur over large spatial scales may incorporate more compositionally dissimilar communities, as dispersal frequency is generally assumed to be negatively related to geographic distance. Additionally, large scale studies will incorporate greater environmental heterogeneity, thus more communities will be more dissimilar under niche processes, and stronger d-d relationships will be observed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addition to the vary aspects of ecological context described above, methodological differences between studies could contribute to variability in microbial d-d relationships. The methods employed by microbial ecologists to quantify microbial communities vary considerably in the coverage they offer (Muyzer 1999; Glenn 2011), and therefore in their ability to quantify the rarer species present in microbial communities. Methods that are only able to quantify the most common (and widespread) species (such as morphological, or community fingerprinting methods) are likely to miss the rare, restricted taxa, resulting  in artificially similar communities and weaker distance-decay relationship. </w:t>
      </w:r>
      <w:r>
        <w:rPr>
          <w:rFonts w:ascii="Arial" w:hAnsi="Arial"/>
        </w:rPr>
        <w:commentReference w:id="0"/>
      </w:r>
      <w:r>
        <w:rPr>
          <w:rFonts w:ascii="Arial" w:hAnsi="Arial"/>
        </w:rPr>
        <w:t xml:space="preserve">In addition to the varying quantification methods used by microbial ecologists, different analytical choices could also influence d-d relationships. In particular, the choice of (dis)similarity index may by important. There are an array of indices available to quantify the (dis)similarity between microbial communities, including qualitative (based on presence/absence of species), quantitative (based on composition and abundance of species), and phylogenetic (based on relatedness of communities). These indices have different properties in terms of how they weight rare or common species, how they are influenced by sample sizes or species richness (Baselga 2012; Beck </w:t>
      </w:r>
      <w:r>
        <w:rPr>
          <w:rFonts w:ascii="Arial" w:hAnsi="Arial"/>
          <w:i/>
        </w:rPr>
        <w:t>et al.</w:t>
      </w:r>
      <w:r>
        <w:rPr>
          <w:rFonts w:ascii="Arial" w:hAnsi="Arial"/>
        </w:rPr>
        <w:t xml:space="preserve"> 2</w:t>
      </w:r>
      <w:bookmarkStart w:id="6" w:name="Mendeley_Bookmark_Ngs6l9gsCt"/>
      <w:bookmarkStart w:id="7" w:name="Mendeley_Bookmark_4ynKlu1urw"/>
      <w:bookmarkEnd w:id="6"/>
      <w:bookmarkEnd w:id="7"/>
      <w:r>
        <w:rPr>
          <w:rFonts w:ascii="Arial" w:hAnsi="Arial"/>
        </w:rPr>
        <w:t xml:space="preserve">013), and especially in terms of what they quantify (e.g. phylogenetic similarity versus compositional similarity). For example, phylogenetic indices may result in weaker distance-decay relationships because communities can be phylogenetically closely related, yet dissimilar in operational taxonomic unit (OTU) composition (e.g. Bryant et al., 2008), whilst quantitative indices may reflect more fine scale abundance differences between communities, resulting in more dissimilar compositions and therefore, stronger d-d relationships, than qualitative indices.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related to both ecological context and methodology. However, the influence of these factors remains poorly understood. Therefore, we sought to understand whether methodological or contextual differences between studies influence reported d-d relationships in microbial communities. To do this, we conduct a meta-analysis to synthesise available data on microbial distance-decay relationships, and test whether factors relating to methodological or contextual factors explain the strength of d-d relationships. Specifically, we test the following hypotheses:</w:t>
      </w:r>
    </w:p>
    <w:p>
      <w:pPr>
        <w:pStyle w:val="Normal"/>
        <w:numPr>
          <w:ilvl w:val="0"/>
          <w:numId w:val="1"/>
        </w:numPr>
        <w:spacing w:lineRule="auto" w:line="480"/>
        <w:jc w:val="both"/>
        <w:rPr/>
      </w:pPr>
      <w:r>
        <w:rPr>
          <w:rFonts w:ascii="Arial" w:hAnsi="Arial"/>
        </w:rPr>
        <w:t>H1: Bacteria and Archaea will show stronger d-d relationships than other microbial groups, possibly due to their smaller size and higher population densities.</w:t>
      </w:r>
    </w:p>
    <w:p>
      <w:pPr>
        <w:pStyle w:val="Normal"/>
        <w:numPr>
          <w:ilvl w:val="0"/>
          <w:numId w:val="2"/>
        </w:numPr>
        <w:spacing w:lineRule="auto" w:line="480"/>
        <w:jc w:val="both"/>
        <w:rPr/>
      </w:pPr>
      <w:r>
        <w:rPr>
          <w:rFonts w:ascii="Arial" w:hAnsi="Arial"/>
        </w:rPr>
        <w:t>H2: Soils and host-associated study systems will show stronger d-d relationships than other systems, due to their ability to maintain steep physicochemical gradients or limited host range size, respectively.</w:t>
      </w:r>
    </w:p>
    <w:p>
      <w:pPr>
        <w:pStyle w:val="Normal"/>
        <w:numPr>
          <w:ilvl w:val="0"/>
          <w:numId w:val="2"/>
        </w:numPr>
        <w:spacing w:lineRule="auto" w:line="480"/>
        <w:jc w:val="both"/>
        <w:rPr/>
      </w:pPr>
      <w:r>
        <w:rPr>
          <w:rFonts w:ascii="Arial" w:hAnsi="Arial"/>
        </w:rPr>
        <w:t>H3: The spatial extent of a study will be positively related to the strength of a d-d relationship, as larger scale studies incorporate greater environmental heterogeneity and lower dispersal rates between communities.</w:t>
      </w:r>
    </w:p>
    <w:p>
      <w:pPr>
        <w:pStyle w:val="Normal"/>
        <w:numPr>
          <w:ilvl w:val="0"/>
          <w:numId w:val="2"/>
        </w:numPr>
        <w:spacing w:lineRule="auto" w:line="480"/>
        <w:jc w:val="both"/>
        <w:rPr>
          <w:rFonts w:ascii="Arial" w:hAnsi="Arial"/>
        </w:rPr>
      </w:pPr>
      <w:r>
        <w:rPr>
          <w:rFonts w:ascii="Arial" w:hAnsi="Arial"/>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rFonts w:ascii="Arial" w:hAnsi="Arial"/>
        </w:rPr>
      </w:pPr>
      <w:r>
        <w:rPr>
          <w:rFonts w:ascii="Arial" w:hAnsi="Arial"/>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rFonts w:ascii="Arial" w:hAnsi="Arial"/>
        </w:rPr>
        <w:t>H6: The strength of d-d relationships will vary between similarity indices, and  phylogenetic methods will result in weaker d-d relationships as phylogenetic similarity is often greater than compositional metrics.</w:t>
      </w:r>
      <w:r>
        <w:rPr>
          <w:rFonts w:ascii="Arial" w:hAnsi="Arial"/>
        </w:rPr>
        <w:commentReference w:id="1"/>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hypotheses 1-6, we first gathered all available information on microbial distance-decay relationships via a systematic literature search. To do this, five search terms were designed to detect relevant studies, whilst minimising studies of “macroorganisms” (Table 1). All literature searches were conducted using the Web of Science search portal on 08/06/2017, and search results published between  1900-2017 were retained. In order to further narrow down the dataset to studies suitable for testing our hypotheses, search results were downloaded and manually screened using the “metagear” (version 0.4; Lajeunesse 2016) package in R (version 3.4.1; R Development Core Team 2016). Here, suitable studies were those that tested the relationship between community dissimilarity 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We used the Mantel correlation coefficient as an effect size measure of d-d relationships. Mantel tests are used to test for correlation between two distance matrices (i.e. community dissimilarity and geographic distance), and the Mantel correlation coefficient is an ideal effect size measure for. Firstly, the Mantel correlation test is the most frequently used method for testing the statistical significance of d-d relationships in microbial ecology (e.g. Ramette, 2007; Franklin &amp; Mills, 2007), despite its suitability for this purpose being debated (Legende et al., 2015). Secondly, as the Mantel coefficient is a standard correlation coefficient (i.e. is bound by -1 and 1), it provides an easily interpretable measure of effect size (Harrison, 2010). Any correlation coefficients based on similarity, instead of dissimilarity, were multiplied by -1 so that the direction of correlation was consistent across studies. For clarity, here a Mantel correlation coefficient of 1 indicates a strong d-d relationship. It is possible that Mantel correlation coefficients can be negative in cases where more distant communities are similar to each other. There are ecological reasons why this might occur (e.g. frequent long distance-dispersal, or environmental heterogeneity), and so they are included within our analysis. Partial Mantel statistics (which are able to test for correlation between two matrices whilst controlling for a third) were excluded as they may be heavily influenced by which other variables are included in the test, and are therefore not easily comparable between studies.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In order to test our hypotheses, several variables relating to the ecological context and methodology of each d-d relationship were recorded. Full details of these variables, and the relevant hypothesis each is used to address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In order to determine whether d-d relationships varied between categoric variables (as in H1, H2, H4, and H6), we used ANOVA tests. In tests where significant differences between groups were found, Tukey’s Honest Significant Difference (HSD) tests were used to determine which groups were different. To test hypotheses 3 and 5, linear regressions were used to test relationships. The variables scale and sequence depth were log transformed prior to analysis to aid model fitting, as they spanned several orders of magnitude.</w:t>
      </w:r>
    </w:p>
    <w:p>
      <w:pPr>
        <w:pStyle w:val="Normal"/>
        <w:spacing w:lineRule="auto" w:line="480"/>
        <w:jc w:val="both"/>
        <w:rPr>
          <w:rFonts w:ascii="Arial" w:hAnsi="Arial"/>
          <w:b/>
          <w:b/>
          <w:bCs/>
        </w:rPr>
      </w:pPr>
      <w:r>
        <w:rPr>
          <w:rFonts w:ascii="Arial" w:hAnsi="Arial"/>
          <w:b/>
          <w:bCs/>
        </w:rPr>
      </w:r>
    </w:p>
    <w:p>
      <w:pPr>
        <w:pStyle w:val="Normal"/>
        <w:spacing w:lineRule="auto" w:line="480"/>
        <w:jc w:val="both"/>
        <w:rPr/>
      </w:pPr>
      <w:r>
        <w:rPr>
          <w:rFonts w:ascii="Arial" w:hAnsi="Arial"/>
          <w:b/>
          <w:bCs/>
        </w:rPr>
        <w:t>Results</w:t>
      </w:r>
    </w:p>
    <w:p>
      <w:pPr>
        <w:pStyle w:val="Normal"/>
        <w:spacing w:lineRule="auto" w:line="480"/>
        <w:jc w:val="both"/>
        <w:rPr/>
      </w:pPr>
      <w:r>
        <w:rPr>
          <w:rFonts w:ascii="Arial" w:hAnsi="Arial"/>
        </w:rPr>
        <w:t>The Web of Science searches resulted in 2,250 search hits (Table 1). Removal of duplicate hits (i.e. studies that appeared in multiple searches) and manual screening of abstracts further reduced this number to 547 studies that were deemed to be potentially suitable for use in this analysis. A total of 287 Mantel correlation coefficients were obtained from 108 studies,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r>
        <w:rPr>
          <w:rFonts w:ascii="Arial" w:hAnsi="Arial"/>
          <w:i/>
          <w:iCs/>
        </w:rPr>
        <w:t xml:space="preserve">Influence of </w:t>
      </w:r>
      <w:r>
        <w:rPr>
          <w:rFonts w:ascii="Arial" w:hAnsi="Arial"/>
          <w:i/>
          <w:iCs/>
        </w:rPr>
        <w:t>Ec</w:t>
      </w:r>
      <w:r>
        <w:rPr>
          <w:rFonts w:ascii="Arial" w:hAnsi="Arial"/>
          <w:i/>
          <w:iCs/>
        </w:rPr>
        <w:t xml:space="preserve">ological </w:t>
      </w:r>
      <w:r>
        <w:rPr>
          <w:rFonts w:ascii="Arial" w:hAnsi="Arial"/>
          <w:i/>
          <w:iCs/>
        </w:rPr>
        <w:t>C</w:t>
      </w:r>
      <w:r>
        <w:rPr>
          <w:rFonts w:ascii="Arial" w:hAnsi="Arial"/>
          <w:i/>
          <w:iCs/>
        </w:rPr>
        <w:t>ontext on D</w:t>
      </w:r>
      <w:r>
        <w:rPr>
          <w:rFonts w:ascii="Arial" w:hAnsi="Arial"/>
          <w:i/>
          <w:iCs/>
        </w:rPr>
        <w:t>istance-</w:t>
      </w:r>
      <w:r>
        <w:rPr>
          <w:rFonts w:ascii="Arial" w:hAnsi="Arial"/>
          <w:i/>
          <w:iCs/>
        </w:rPr>
        <w:t>D</w:t>
      </w:r>
      <w:r>
        <w:rPr>
          <w:rFonts w:ascii="Arial" w:hAnsi="Arial"/>
          <w:i/>
          <w:iCs/>
        </w:rPr>
        <w:t>ecay</w:t>
      </w:r>
      <w:r>
        <w:rPr>
          <w:rFonts w:ascii="Arial" w:hAnsi="Arial"/>
          <w:i/>
          <w:iCs/>
        </w:rPr>
        <w:t xml:space="preserve"> </w:t>
      </w:r>
      <w:r>
        <w:rPr>
          <w:rFonts w:ascii="Arial" w:hAnsi="Arial"/>
          <w:i/>
          <w:iCs/>
        </w:rPr>
        <w:t>R</w:t>
      </w:r>
      <w:r>
        <w:rPr>
          <w:rFonts w:ascii="Arial" w:hAnsi="Arial"/>
          <w:i/>
          <w:iCs/>
        </w:rPr>
        <w:t>elationship</w:t>
      </w:r>
      <w:r>
        <w:rPr>
          <w:rFonts w:ascii="Arial" w:hAnsi="Arial"/>
          <w:i/>
          <w:iCs/>
        </w:rPr>
        <w:t>s</w:t>
      </w:r>
    </w:p>
    <w:p>
      <w:pPr>
        <w:pStyle w:val="Normal"/>
        <w:spacing w:lineRule="auto" w:line="480"/>
        <w:jc w:val="both"/>
        <w:rPr/>
      </w:pPr>
      <w:r>
        <w:rPr>
          <w:rFonts w:ascii="Arial" w:hAnsi="Arial"/>
          <w:i w:val="false"/>
          <w:iCs w:val="false"/>
        </w:rPr>
        <w:t xml:space="preserve">In order to determine whether </w:t>
      </w:r>
      <w:r>
        <w:rPr>
          <w:rFonts w:ascii="Arial" w:hAnsi="Arial"/>
          <w:i w:val="false"/>
          <w:iCs w:val="false"/>
        </w:rPr>
        <w:t xml:space="preserve">microbial d-d relationships depend on ecological context, we tested for differences in reported </w:t>
      </w:r>
      <w:r>
        <w:rPr>
          <w:rFonts w:ascii="Arial" w:hAnsi="Arial"/>
          <w:i w:val="false"/>
          <w:iCs w:val="false"/>
        </w:rPr>
        <w:t>Mantel correlation coefficients (from d-d relationships)</w:t>
      </w:r>
      <w:r>
        <w:rPr>
          <w:rFonts w:ascii="Arial" w:hAnsi="Arial"/>
          <w:i w:val="false"/>
          <w:iCs w:val="false"/>
        </w:rPr>
        <w:t xml:space="preserve"> between different study organisms, study systems, and spatial scales. </w:t>
      </w:r>
      <w:r>
        <w:rPr>
          <w:rFonts w:ascii="Arial" w:hAnsi="Arial"/>
          <w:i w:val="false"/>
          <w:iCs w:val="false"/>
        </w:rPr>
        <w:t xml:space="preserve">Within the dataset, the most </w:t>
      </w:r>
      <w:r>
        <w:rPr>
          <w:rFonts w:ascii="Arial" w:hAnsi="Arial"/>
          <w:i w:val="false"/>
          <w:iCs w:val="false"/>
        </w:rPr>
        <w:t>frequently</w:t>
      </w:r>
      <w:r>
        <w:rPr>
          <w:rFonts w:ascii="Arial" w:hAnsi="Arial"/>
          <w:i w:val="false"/>
          <w:iCs w:val="false"/>
        </w:rPr>
        <w:t xml:space="preserve"> studied taxa were Bacteria, followed by Fungi, microbial Eukaryotes, and Archaea. </w:t>
      </w:r>
      <w:r>
        <w:rPr>
          <w:rFonts w:ascii="Arial" w:hAnsi="Arial"/>
          <w:i w:val="false"/>
          <w:iCs w:val="false"/>
        </w:rPr>
        <w:t>In disagreement with our hypothesis (H1), Mantel correlation coefficients did not significantly differ between study taxa</w:t>
      </w:r>
      <w:r>
        <w:rPr>
          <w:rFonts w:ascii="Arial" w:hAnsi="Arial"/>
          <w:i w:val="false"/>
          <w:iCs w:val="false"/>
        </w:rPr>
        <w:t xml:space="preserve">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w:t>
      </w:r>
      <w:r>
        <w:rPr>
          <w:rFonts w:ascii="Arial" w:hAnsi="Arial"/>
          <w:i w:val="false"/>
          <w:iCs w:val="false"/>
        </w:rPr>
        <w:t>Furthermore, when considering only statistically significant d-d relationships, only marginally significant differences emerged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jointly considering bacteria and fungi showing significantly weaker d-d relationships than studies of archaeal communities (Tukey HSD; </w:t>
      </w:r>
      <w:r>
        <w:rPr>
          <w:rFonts w:ascii="Arial" w:hAnsi="Arial"/>
          <w:i/>
          <w:iCs/>
        </w:rPr>
        <w:t>P</w:t>
      </w:r>
      <w:r>
        <w:rPr>
          <w:rFonts w:ascii="Arial" w:hAnsi="Arial"/>
          <w:i w:val="false"/>
          <w:iCs w:val="false"/>
        </w:rPr>
        <w:t xml:space="preserve"> &lt; 0.05). </w:t>
      </w:r>
      <w:r>
        <w:rPr>
          <w:rFonts w:ascii="Arial" w:hAnsi="Arial"/>
          <w:i w:val="false"/>
          <w:iCs w:val="false"/>
        </w:rPr>
        <w:t xml:space="preserve">Finally, when only studies that had tested multiple taxa (n = 14 studies, 57 Mantel coefficients) were examined, </w:t>
      </w:r>
      <w:r>
        <w:rPr>
          <w:rFonts w:ascii="Arial" w:hAnsi="Arial"/>
          <w:i w:val="false"/>
          <w:iCs w:val="false"/>
        </w:rPr>
        <w:t>there were still no significant differences between study taxa (</w:t>
      </w:r>
      <w:r>
        <w:rPr>
          <w:rFonts w:ascii="Arial" w:hAnsi="Arial"/>
          <w:i/>
          <w:iCs/>
        </w:rPr>
        <w:t>F</w:t>
      </w:r>
      <w:r>
        <w:rPr>
          <w:rFonts w:ascii="Arial" w:hAnsi="Arial"/>
          <w:i w:val="false"/>
          <w:iCs w:val="false"/>
          <w:vertAlign w:val="subscript"/>
        </w:rPr>
        <w:t xml:space="preserve"> 4, 52</w:t>
      </w:r>
      <w:r>
        <w:rPr>
          <w:rFonts w:ascii="Arial" w:hAnsi="Arial"/>
          <w:i w:val="false"/>
          <w:iCs w:val="false"/>
          <w:position w:val="0"/>
          <w:sz w:val="24"/>
          <w:vertAlign w:val="baseline"/>
        </w:rPr>
        <w:t xml:space="preserve"> = 1.76, </w:t>
      </w:r>
      <w:r>
        <w:rPr>
          <w:rFonts w:ascii="Arial" w:hAnsi="Arial"/>
          <w:i/>
          <w:iCs/>
          <w:position w:val="0"/>
          <w:sz w:val="24"/>
          <w:vertAlign w:val="baseline"/>
        </w:rPr>
        <w:t>P</w:t>
      </w:r>
      <w:r>
        <w:rPr>
          <w:rFonts w:ascii="Arial" w:hAnsi="Arial"/>
          <w:i w:val="false"/>
          <w:iCs w:val="false"/>
          <w:position w:val="0"/>
          <w:sz w:val="24"/>
          <w:vertAlign w:val="baseline"/>
        </w:rPr>
        <w:t xml:space="preserve"> = 0.15)..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The 287 recorded d-d relationships were classified into</w:t>
      </w:r>
      <w:r>
        <w:rPr>
          <w:rFonts w:ascii="Arial" w:hAnsi="Arial"/>
          <w:i w:val="false"/>
          <w:iCs w:val="false"/>
        </w:rPr>
        <w:t xml:space="preserve"> 20 different biomes recorded. </w:t>
      </w:r>
      <w:r>
        <w:rPr>
          <w:rFonts w:ascii="Arial" w:hAnsi="Arial"/>
          <w:i w:val="false"/>
          <w:iCs w:val="false"/>
        </w:rPr>
        <w:t>Of these,</w:t>
      </w:r>
      <w:r>
        <w:rPr>
          <w:rFonts w:ascii="Arial" w:hAnsi="Arial"/>
          <w:i w:val="false"/>
          <w:iCs w:val="false"/>
        </w:rPr>
        <w:t xml:space="preserve"> 11 </w:t>
      </w:r>
      <w:r>
        <w:rPr>
          <w:rFonts w:ascii="Arial" w:hAnsi="Arial"/>
          <w:i w:val="false"/>
          <w:iCs w:val="false"/>
        </w:rPr>
        <w:t>biomes</w:t>
      </w:r>
      <w:r>
        <w:rPr>
          <w:rFonts w:ascii="Arial" w:hAnsi="Arial"/>
          <w:i w:val="false"/>
          <w:iCs w:val="false"/>
        </w:rPr>
        <w:t xml:space="preserve"> had fewer than three d-d relationships, and </w:t>
      </w:r>
      <w:r>
        <w:rPr>
          <w:rFonts w:ascii="Arial" w:hAnsi="Arial"/>
          <w:i w:val="false"/>
          <w:iCs w:val="false"/>
        </w:rPr>
        <w:t xml:space="preserve">were therefore excluded from </w:t>
      </w:r>
      <w:r>
        <w:rPr>
          <w:rFonts w:ascii="Arial" w:hAnsi="Arial"/>
          <w:i w:val="false"/>
          <w:iCs w:val="false"/>
        </w:rPr>
        <w:t>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w:t>
      </w:r>
      <w:r>
        <w:rPr>
          <w:rFonts w:ascii="Arial" w:hAnsi="Arial"/>
          <w:i w:val="false"/>
          <w:iCs w:val="false"/>
        </w:rPr>
        <w:t>f</w:t>
      </w:r>
      <w:r>
        <w:rPr>
          <w:rFonts w:ascii="Arial" w:hAnsi="Arial"/>
          <w:i w:val="false"/>
          <w:iCs w:val="false"/>
        </w:rPr>
        <w:t xml:space="preserve">orest, lake, ocean, river, sediment, and sponge. Tukey HSD; </w:t>
      </w:r>
      <w:r>
        <w:rPr>
          <w:rFonts w:ascii="Arial" w:hAnsi="Arial"/>
          <w:i/>
          <w:iCs/>
        </w:rPr>
        <w:t xml:space="preserve">P </w:t>
      </w:r>
      <w:r>
        <w:rPr>
          <w:rFonts w:ascii="Arial" w:hAnsi="Arial"/>
          <w:i w:val="false"/>
          <w:iCs w:val="false"/>
        </w:rPr>
        <w:t xml:space="preserve">&lt; 0.05 in all cases). </w:t>
      </w:r>
      <w:r>
        <w:rPr>
          <w:rFonts w:ascii="Arial" w:hAnsi="Arial"/>
          <w:i w:val="false"/>
          <w:iCs w:val="false"/>
        </w:rPr>
        <w:t xml:space="preserve">Additionally, </w:t>
      </w:r>
      <w:r>
        <w:rPr>
          <w:rFonts w:ascii="Arial" w:hAnsi="Arial"/>
          <w:i w:val="false"/>
          <w:iCs w:val="false"/>
        </w:rPr>
        <w:t>the</w:t>
      </w:r>
      <w:r>
        <w:rPr>
          <w:rFonts w:ascii="Arial" w:hAnsi="Arial"/>
          <w:i w:val="false"/>
          <w:iCs w:val="false"/>
        </w:rPr>
        <w:t>re were significant</w:t>
      </w:r>
      <w:r>
        <w:rPr>
          <w:rFonts w:ascii="Arial" w:hAnsi="Arial"/>
          <w:i w:val="false"/>
          <w:iCs w:val="false"/>
        </w:rPr>
        <w:t xml:space="preserve"> differen</w:t>
      </w:r>
      <w:r>
        <w:rPr>
          <w:rFonts w:ascii="Arial" w:hAnsi="Arial"/>
          <w:i w:val="false"/>
          <w:iCs w:val="false"/>
        </w:rPr>
        <w:t xml:space="preserve">ces between Mantel coefficients from various </w:t>
      </w:r>
      <w:r>
        <w:rPr>
          <w:rFonts w:ascii="Arial" w:hAnsi="Arial"/>
          <w:i w:val="false"/>
          <w:iCs w:val="false"/>
        </w:rPr>
        <w:t xml:space="preserve"> </w:t>
      </w:r>
      <w:r>
        <w:rPr>
          <w:rFonts w:ascii="Arial" w:hAnsi="Arial"/>
          <w:i w:val="false"/>
          <w:iCs w:val="false"/>
        </w:rPr>
        <w:t>micro-</w:t>
      </w:r>
      <w:r>
        <w:rPr>
          <w:rFonts w:ascii="Arial" w:hAnsi="Arial"/>
          <w:i w:val="false"/>
          <w:iCs w:val="false"/>
        </w:rPr>
        <w:t>environment</w:t>
      </w:r>
      <w:r>
        <w:rPr>
          <w:rFonts w:ascii="Arial" w:hAnsi="Arial"/>
          <w:i w:val="false"/>
          <w:iCs w:val="false"/>
        </w:rPr>
        <w:t xml:space="preserve">s studied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w:t>
      </w:r>
      <w:r>
        <w:rPr>
          <w:rFonts w:ascii="Arial" w:hAnsi="Arial"/>
          <w:i w:val="false"/>
          <w:iCs w:val="false"/>
        </w:rPr>
        <w:t xml:space="preserve">. </w:t>
      </w:r>
      <w:r>
        <w:rPr>
          <w:rFonts w:ascii="Arial" w:hAnsi="Arial"/>
          <w:i w:val="false"/>
          <w:iCs w:val="false"/>
        </w:rPr>
        <w:t xml:space="preserve">Against our expectation (H2), </w:t>
      </w:r>
      <w:r>
        <w:rPr>
          <w:rFonts w:ascii="Arial" w:hAnsi="Arial"/>
          <w:i w:val="false"/>
          <w:iCs w:val="false"/>
        </w:rPr>
        <w:t xml:space="preserve">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 xml:space="preserve">The </w:t>
      </w:r>
      <w:r>
        <w:rPr>
          <w:rFonts w:ascii="Arial" w:hAnsi="Arial"/>
          <w:i w:val="false"/>
          <w:iCs w:val="false"/>
        </w:rPr>
        <w:t>spatial extent o</w:t>
      </w:r>
      <w:r>
        <w:rPr>
          <w:rFonts w:ascii="Arial" w:hAnsi="Arial"/>
          <w:i w:val="false"/>
          <w:iCs w:val="false"/>
        </w:rPr>
        <w:t xml:space="preserve">f the studies recorded here spanned between </w:t>
      </w:r>
      <w:r>
        <w:rPr>
          <w:rFonts w:ascii="Arial" w:hAnsi="Arial"/>
          <w:i w:val="false"/>
          <w:iCs w:val="false"/>
        </w:rPr>
        <w:t>10 cm and 18,700 km. In agreement with our hypothesis (H3), Mantel correlation coefficients were significantly and positively related to the (log) spatial extent of studies (</w:t>
      </w:r>
      <w:r>
        <w:rPr>
          <w:rFonts w:ascii="Arial" w:hAnsi="Arial"/>
          <w:i w:val="false"/>
          <w:iCs w:val="false"/>
        </w:rPr>
        <w:t xml:space="preserve">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showing that studies with larger spatial extents tend to find stronger </w:t>
      </w:r>
      <w:r>
        <w:rPr>
          <w:rFonts w:ascii="Arial" w:hAnsi="Arial"/>
          <w:i w:val="false"/>
          <w:iCs w:val="false"/>
        </w:rPr>
        <w:t xml:space="preserve">d-d relationships. To confirm that this relationship was not caused by increased sampling effort of studies at larger spatial extents, we tested the relationship between spatial extent and sampling effort, and found no significant relationship between these variables (Pearson’s ρ = 0.03, </w:t>
      </w:r>
      <w:r>
        <w:rPr>
          <w:rFonts w:ascii="Arial" w:hAnsi="Arial"/>
          <w:i/>
          <w:iCs/>
        </w:rPr>
        <w:t>P</w:t>
      </w:r>
      <w:r>
        <w:rPr>
          <w:rFonts w:ascii="Arial" w:hAnsi="Arial"/>
          <w:i w:val="false"/>
          <w:iCs w:val="false"/>
        </w:rPr>
        <w:t xml:space="preserve"> = 0.64). Furthermore, when we included sampling effort as a covariate in our spatial extent model, the relationship between Mantel coefficients and spatial extent did not change </w:t>
      </w:r>
      <w:r>
        <w:rPr>
          <w:rFonts w:ascii="Arial" w:hAnsi="Arial"/>
          <w:i w:val="false"/>
          <w:iCs w:val="false"/>
        </w:rPr>
        <w:t xml:space="preserve">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w:t>
      </w:r>
    </w:p>
    <w:p>
      <w:pPr>
        <w:pStyle w:val="Normal"/>
        <w:spacing w:lineRule="auto" w:line="480"/>
        <w:jc w:val="both"/>
        <w:rPr>
          <w:rFonts w:ascii="Arial" w:hAnsi="Arial"/>
          <w:i/>
          <w:i/>
          <w:iCs/>
        </w:rPr>
      </w:pPr>
      <w:r>
        <w:rPr>
          <w:rFonts w:ascii="Arial" w:hAnsi="Arial"/>
          <w:i/>
          <w:iCs/>
        </w:rPr>
      </w:r>
    </w:p>
    <w:p>
      <w:pPr>
        <w:pStyle w:val="Normal"/>
        <w:spacing w:lineRule="auto" w:line="480"/>
        <w:jc w:val="both"/>
        <w:rPr/>
      </w:pPr>
      <w:r>
        <w:rPr>
          <w:rFonts w:ascii="Arial" w:hAnsi="Arial"/>
          <w:i/>
          <w:iCs/>
        </w:rPr>
        <w:t xml:space="preserve">Influence of </w:t>
      </w:r>
      <w:r>
        <w:rPr>
          <w:rFonts w:ascii="Arial" w:hAnsi="Arial"/>
          <w:i/>
          <w:iCs/>
        </w:rPr>
        <w:t>M</w:t>
      </w:r>
      <w:r>
        <w:rPr>
          <w:rFonts w:ascii="Arial" w:hAnsi="Arial"/>
          <w:i/>
          <w:iCs/>
        </w:rPr>
        <w:t>ethodolog</w:t>
      </w:r>
      <w:r>
        <w:rPr>
          <w:rFonts w:ascii="Arial" w:hAnsi="Arial"/>
          <w:i/>
          <w:iCs/>
        </w:rPr>
        <w:t>y</w:t>
      </w:r>
      <w:r>
        <w:rPr>
          <w:rFonts w:ascii="Arial" w:hAnsi="Arial"/>
          <w:i/>
          <w:iCs/>
        </w:rPr>
        <w:t xml:space="preserve"> on </w:t>
      </w:r>
      <w:r>
        <w:rPr>
          <w:rFonts w:ascii="Arial" w:hAnsi="Arial"/>
          <w:i/>
          <w:iCs/>
        </w:rPr>
        <w:t>D</w:t>
      </w:r>
      <w:r>
        <w:rPr>
          <w:rFonts w:ascii="Arial" w:hAnsi="Arial"/>
          <w:i/>
          <w:iCs/>
        </w:rPr>
        <w:t>istance-</w:t>
      </w:r>
      <w:r>
        <w:rPr>
          <w:rFonts w:ascii="Arial" w:hAnsi="Arial"/>
          <w:i/>
          <w:iCs/>
        </w:rPr>
        <w:t>D</w:t>
      </w:r>
      <w:r>
        <w:rPr>
          <w:rFonts w:ascii="Arial" w:hAnsi="Arial"/>
          <w:i/>
          <w:iCs/>
        </w:rPr>
        <w:t xml:space="preserve">ecay </w:t>
      </w:r>
      <w:r>
        <w:rPr>
          <w:rFonts w:ascii="Arial" w:hAnsi="Arial"/>
          <w:i/>
          <w:iCs/>
        </w:rPr>
        <w:t>R</w:t>
      </w:r>
      <w:r>
        <w:rPr>
          <w:rFonts w:ascii="Arial" w:hAnsi="Arial"/>
          <w:i/>
          <w:iCs/>
        </w:rPr>
        <w:t>elationship</w:t>
      </w:r>
      <w:r>
        <w:rPr>
          <w:rFonts w:ascii="Arial" w:hAnsi="Arial"/>
          <w:i/>
          <w:iCs/>
        </w:rPr>
        <w:t>s</w:t>
      </w:r>
    </w:p>
    <w:p>
      <w:pPr>
        <w:pStyle w:val="Normal"/>
        <w:spacing w:lineRule="auto" w:line="480"/>
        <w:jc w:val="both"/>
        <w:rPr/>
      </w:pPr>
      <w:r>
        <w:rPr>
          <w:rFonts w:ascii="Arial" w:hAnsi="Arial"/>
        </w:rPr>
        <w:t xml:space="preserve">We also tested whether specific methodological differences (relating to community characterisation method, sampling depth, and community (dis)similarity index) between studies could explain variability in microbial d-d relationships. </w:t>
      </w:r>
      <w:r>
        <w:rPr>
          <w:rFonts w:ascii="Arial" w:hAnsi="Arial"/>
        </w:rPr>
        <w:t xml:space="preserve">Studies were classified into “high-throughout sequencing” </w:t>
      </w:r>
      <w:r>
        <w:rPr>
          <w:rFonts w:ascii="Arial" w:hAnsi="Arial"/>
        </w:rPr>
        <w:t>(HTS)</w:t>
      </w:r>
      <w:r>
        <w:rPr>
          <w:rFonts w:ascii="Arial" w:hAnsi="Arial"/>
        </w:rPr>
        <w:t xml:space="preserve">, “fingerprinting”, or “other” according to the method used to quantify microbial community composition. Within our dataset, high-throughput sequencing was the most frequently used approach to quantifying microbial communities (n = 174), ahead of fingerprinting (n = 76), and other approaches (n = 37). </w:t>
      </w:r>
      <w:r>
        <w:rPr>
          <w:rFonts w:ascii="Arial" w:hAnsi="Arial"/>
        </w:rPr>
        <w:t xml:space="preserve">In disagreement with our hypothesis (H4), HTS did not result in stronger d-d relationships, as Mantel coefficients did not significantly differ across community quantification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w:t>
      </w:r>
      <w:r>
        <w:rPr>
          <w:rFonts w:ascii="Arial" w:hAnsi="Arial"/>
        </w:rPr>
        <w:t xml:space="preserve">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partial support of our hypothesis that higher sampling depth studies would result in stronger d-d relationships (H5), a weak but significant relationship between (log) sampling depth and Mantel coefficients was detected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As with our examination of spatial extent, we tested whether this relationship was independent of sampling effort. Sampling depth was not correlated with sampling effort (Pearson’s ρ = 0.03, </w:t>
      </w:r>
      <w:r>
        <w:rPr>
          <w:rFonts w:ascii="Arial" w:hAnsi="Arial"/>
          <w:i/>
          <w:iCs/>
        </w:rPr>
        <w:t>P</w:t>
      </w:r>
      <w:r>
        <w:rPr>
          <w:rFonts w:ascii="Arial" w:hAnsi="Arial"/>
        </w:rPr>
        <w:t xml:space="preserve"> = 0.64), s</w:t>
      </w:r>
      <w:r>
        <w:rPr>
          <w:rFonts w:ascii="Arial" w:hAnsi="Arial"/>
        </w:rPr>
        <w:t xml:space="preserve">uggesting that these variables are not confounding. Furthermore, including sampling effort alongside sampling depth as a model covariate did not change the modeled relationship between Mantel coefficient and sampling depth (slope = 0.02, </w:t>
      </w:r>
      <w:r>
        <w:rPr>
          <w:rFonts w:ascii="Arial" w:hAnsi="Arial"/>
          <w:i/>
          <w:iCs/>
        </w:rPr>
        <w:t>P</w:t>
      </w:r>
      <w:r>
        <w:rPr>
          <w:rFonts w:ascii="Arial" w:hAnsi="Arial"/>
          <w:i w:val="false"/>
          <w:iCs w:val="false"/>
        </w:rPr>
        <w:t xml:space="preserve"> &lt; 0.05, adj-</w:t>
      </w:r>
      <w:r>
        <w:rPr>
          <w:rFonts w:ascii="Arial" w:hAnsi="Arial"/>
          <w:i/>
          <w:iCs/>
        </w:rPr>
        <w:t>R</w:t>
      </w:r>
      <w:r>
        <w:rPr>
          <w:rFonts w:ascii="Arial" w:hAnsi="Arial"/>
          <w:i/>
          <w:iCs/>
          <w:vertAlign w:val="superscript"/>
        </w:rPr>
        <w:t>2</w:t>
      </w:r>
      <w:r>
        <w:rPr>
          <w:rFonts w:ascii="Arial" w:hAnsi="Arial"/>
          <w:i w:val="false"/>
          <w:iCs w:val="false"/>
          <w:position w:val="0"/>
          <w:sz w:val="24"/>
          <w:vertAlign w:val="baseline"/>
        </w:rPr>
        <w:t xml:space="preserve"> = 0.03</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Finally, we examined whether different community (dis)similarity indices resulted in consistently stronger or weaker Mantel coefficients (H6). We recorded 16 different metrics within our dataset, yet 80% of d-d relationships were calculated with only 4 metrics (Bray-Curtis, Unifrac, Sorensen, and Jaccard).</w:t>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8" w:name="Mendeley_Bookmark_Mj8zDwFxn5"/>
      <w:bookmarkStart w:id="9" w:name="Mendeley_Bookmark_3BXrkgx6EP"/>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8"/>
      <w:bookmarkEnd w:id="9"/>
      <w:r>
        <w:rPr>
          <w:rFonts w:ascii="Arial" w:hAnsi="Arial"/>
        </w:rPr>
        <w:t xml:space="preserve">. The tremendous sequencing depth of HTS platforms allows them to illuminate the “rare biosphere” </w:t>
      </w:r>
      <w:bookmarkStart w:id="10" w:name="Mendeley_Bookmark_9b4GUC0Swf"/>
      <w:bookmarkStart w:id="11" w:name="Mendeley_Bookmark_wl0kwDMBTt"/>
      <w:r>
        <w:rPr>
          <w:rFonts w:ascii="Arial" w:hAnsi="Arial"/>
        </w:rPr>
        <w:t>(Caporaso et al., 2012)</w:t>
      </w:r>
      <w:bookmarkEnd w:id="10"/>
      <w:bookmarkEnd w:id="11"/>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2" w:name="Mendeley_Bookmark_laQED42dLu"/>
      <w:bookmarkStart w:id="13" w:name="Mendeley_Bookmark_39EncOGb7Z"/>
      <w:r>
        <w:rPr>
          <w:rFonts w:ascii="Arial" w:hAnsi="Arial"/>
        </w:rPr>
        <w:t xml:space="preserve">(van Dorst </w:t>
      </w:r>
      <w:r>
        <w:rPr>
          <w:rFonts w:ascii="Arial" w:hAnsi="Arial"/>
          <w:i/>
        </w:rPr>
        <w:t>et al.</w:t>
      </w:r>
      <w:r>
        <w:rPr>
          <w:rFonts w:ascii="Arial" w:hAnsi="Arial"/>
        </w:rPr>
        <w:t xml:space="preserve"> 2014)</w:t>
      </w:r>
      <w:bookmarkEnd w:id="12"/>
      <w:bookmarkEnd w:id="13"/>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4" w:name="Mendeley_Bookmark_g50YTmAYaR"/>
      <w:bookmarkStart w:id="15" w:name="Mendeley_Bookmark_sHG8D4brRB"/>
      <w:r>
        <w:rPr>
          <w:rFonts w:ascii="Arial" w:hAnsi="Arial"/>
        </w:rPr>
        <w:t xml:space="preserve">(Gobet </w:t>
      </w:r>
      <w:r>
        <w:rPr>
          <w:rFonts w:ascii="Arial" w:hAnsi="Arial"/>
          <w:i/>
        </w:rPr>
        <w:t>et al.</w:t>
      </w:r>
      <w:r>
        <w:rPr>
          <w:rFonts w:ascii="Arial" w:hAnsi="Arial"/>
        </w:rPr>
        <w:t xml:space="preserve"> 2014)</w:t>
      </w:r>
      <w:bookmarkEnd w:id="14"/>
      <w:bookmarkEnd w:id="15"/>
      <w:r>
        <w:rPr>
          <w:rFonts w:ascii="Arial" w:hAnsi="Arial"/>
        </w:rPr>
        <w:t xml:space="preserve">. Fingerprinting methods are therefore limited in that they may not detect compositional differences between communities at increasingly fine taxonomic resolutions </w:t>
      </w:r>
      <w:bookmarkStart w:id="16" w:name="Mendeley_Bookmark_lUqLCAIcZ0"/>
      <w:bookmarkStart w:id="17" w:name="Mendeley_Bookmark_XJhjEIrUwS"/>
      <w:r>
        <w:rPr>
          <w:rFonts w:ascii="Arial" w:hAnsi="Arial"/>
        </w:rPr>
        <w:t xml:space="preserve">(Ramette &amp; Tiedje 2007; Bissett </w:t>
      </w:r>
      <w:r>
        <w:rPr>
          <w:rFonts w:ascii="Arial" w:hAnsi="Arial"/>
          <w:i/>
        </w:rPr>
        <w:t>et al.</w:t>
      </w:r>
      <w:r>
        <w:rPr>
          <w:rFonts w:ascii="Arial" w:hAnsi="Arial"/>
        </w:rPr>
        <w:t xml:space="preserve"> 2010)</w:t>
      </w:r>
      <w:bookmarkEnd w:id="16"/>
      <w:bookmarkEnd w:id="17"/>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18" w:name="Mendeley_Bookmark_0Mks5PCUbt"/>
      <w:bookmarkStart w:id="19" w:name="Mendeley_Bookmark_8bkTVbTQuk"/>
      <w:r>
        <w:rPr>
          <w:rFonts w:ascii="Arial" w:hAnsi="Arial"/>
        </w:rPr>
        <w:t xml:space="preserve">(Soininen &amp; Heino 2005; Liu </w:t>
      </w:r>
      <w:r>
        <w:rPr>
          <w:rFonts w:ascii="Arial" w:hAnsi="Arial"/>
          <w:i/>
        </w:rPr>
        <w:t>et al.</w:t>
      </w:r>
      <w:r>
        <w:rPr>
          <w:rFonts w:ascii="Arial" w:hAnsi="Arial"/>
        </w:rPr>
        <w:t xml:space="preserve"> 2015)</w:t>
      </w:r>
      <w:bookmarkEnd w:id="18"/>
      <w:bookmarkEnd w:id="19"/>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0" w:name="Mendeley_Bookmark_3QhnhKDZdL"/>
      <w:bookmarkStart w:id="21" w:name="Mendeley_Bookmark_Q5JMuTPxkc"/>
      <w:r>
        <w:rPr>
          <w:rFonts w:ascii="Arial" w:hAnsi="Arial"/>
        </w:rPr>
        <w:t>(Heino &amp; Soininen 2010)</w:t>
      </w:r>
      <w:bookmarkEnd w:id="20"/>
      <w:bookmarkEnd w:id="21"/>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2" w:name="Mendeley_Bookmark_cvGAgebOra"/>
      <w:bookmarkStart w:id="23"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2"/>
      <w:bookmarkEnd w:id="23"/>
      <w:r>
        <w:rPr>
          <w:rFonts w:ascii="Arial" w:hAnsi="Arial"/>
        </w:rPr>
        <w:t xml:space="preserve">. Therefore, it is likely that in microbial communities, common species alone may not adequately reflect patterns in spatial turnover </w:t>
      </w:r>
      <w:bookmarkStart w:id="24" w:name="Mendeley_Bookmark_LJ2QNzhkh4"/>
      <w:bookmarkStart w:id="25" w:name="Mendeley_Bookmark_6Lgce0yTIZ"/>
      <w:r>
        <w:rPr>
          <w:rFonts w:ascii="Arial" w:hAnsi="Arial"/>
        </w:rPr>
        <w:t xml:space="preserve">(Galand </w:t>
      </w:r>
      <w:r>
        <w:rPr>
          <w:rFonts w:ascii="Arial" w:hAnsi="Arial"/>
          <w:i/>
        </w:rPr>
        <w:t>et al.</w:t>
      </w:r>
      <w:r>
        <w:rPr>
          <w:rFonts w:ascii="Arial" w:hAnsi="Arial"/>
        </w:rPr>
        <w:t xml:space="preserve"> 2009)</w:t>
      </w:r>
      <w:bookmarkEnd w:id="24"/>
      <w:bookmarkEnd w:id="25"/>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6" w:name="Mendeley_Bookmark_i9ghjL70Ly"/>
      <w:bookmarkStart w:id="27" w:name="Mendeley_Bookmark_bZEMfyuGgh"/>
      <w:r>
        <w:rPr>
          <w:rFonts w:ascii="Arial" w:hAnsi="Arial"/>
        </w:rPr>
        <w:t xml:space="preserve">(Anderson </w:t>
      </w:r>
      <w:r>
        <w:rPr>
          <w:rFonts w:ascii="Arial" w:hAnsi="Arial"/>
          <w:i/>
        </w:rPr>
        <w:t>et al.</w:t>
      </w:r>
      <w:r>
        <w:rPr>
          <w:rFonts w:ascii="Arial" w:hAnsi="Arial"/>
        </w:rPr>
        <w:t xml:space="preserve"> 2011)</w:t>
      </w:r>
      <w:bookmarkEnd w:id="26"/>
      <w:bookmarkEnd w:id="27"/>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28" w:name="Mendeley_Bookmark_0GOZAUGMXg"/>
      <w:bookmarkStart w:id="29" w:name="Mendeley_Bookmark_P1ENn1dtxB"/>
      <w:r>
        <w:rPr>
          <w:rFonts w:ascii="Arial" w:hAnsi="Arial"/>
        </w:rPr>
        <w:t xml:space="preserve">(Martiny </w:t>
      </w:r>
      <w:r>
        <w:rPr>
          <w:rFonts w:ascii="Arial" w:hAnsi="Arial"/>
          <w:i/>
        </w:rPr>
        <w:t>et al.</w:t>
      </w:r>
      <w:r>
        <w:rPr>
          <w:rFonts w:ascii="Arial" w:hAnsi="Arial"/>
        </w:rPr>
        <w:t xml:space="preserve"> 2011)</w:t>
      </w:r>
      <w:bookmarkEnd w:id="28"/>
      <w:bookmarkEnd w:id="29"/>
      <w:r>
        <w:rPr>
          <w:rFonts w:ascii="Arial" w:hAnsi="Arial"/>
        </w:rPr>
        <w:t xml:space="preserve">, and result in similar estimations of d-d relationships </w:t>
      </w:r>
      <w:bookmarkStart w:id="30" w:name="Mendeley_Bookmark_bAgBzCiLDz"/>
      <w:bookmarkStart w:id="31" w:name="Mendeley_Bookmark_BqRINj5G80"/>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0"/>
      <w:bookmarkEnd w:id="31"/>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2" w:name="Mendeley_Bookmark_vTKhdJb4Nj"/>
      <w:bookmarkStart w:id="33" w:name="Mendeley_Bookmark_JkR28l0wbG"/>
      <w:r>
        <w:rPr>
          <w:rFonts w:ascii="Arial" w:hAnsi="Arial"/>
        </w:rPr>
        <w:t xml:space="preserve">(Schmidt </w:t>
      </w:r>
      <w:r>
        <w:rPr>
          <w:rFonts w:ascii="Arial" w:hAnsi="Arial"/>
          <w:i/>
        </w:rPr>
        <w:t>et al.</w:t>
      </w:r>
      <w:r>
        <w:rPr>
          <w:rFonts w:ascii="Arial" w:hAnsi="Arial"/>
        </w:rPr>
        <w:t xml:space="preserve"> 2017)</w:t>
      </w:r>
      <w:bookmarkEnd w:id="32"/>
      <w:bookmarkEnd w:id="33"/>
      <w:r>
        <w:rPr>
          <w:rFonts w:ascii="Arial" w:hAnsi="Arial"/>
        </w:rPr>
        <w:t xml:space="preserve">. Additionally, many indices rely on equal sample sizes, and are sensitive to differences in species richness </w:t>
      </w:r>
      <w:bookmarkStart w:id="34" w:name="Mendeley_Bookmark_PggCJuCZMi"/>
      <w:bookmarkStart w:id="35" w:name="Mendeley_Bookmark_chZHqCfsrL"/>
      <w:r>
        <w:rPr>
          <w:rFonts w:ascii="Arial" w:hAnsi="Arial"/>
        </w:rPr>
        <w:t>(Green &amp; Bohannan 2006)</w:t>
      </w:r>
      <w:bookmarkEnd w:id="34"/>
      <w:bookmarkEnd w:id="35"/>
      <w:r>
        <w:rPr>
          <w:rFonts w:ascii="Arial" w:hAnsi="Arial"/>
        </w:rPr>
        <w:t xml:space="preserve">, with potentially confounding effects on d-d relationships </w:t>
      </w:r>
      <w:bookmarkStart w:id="36" w:name="Mendeley_Bookmark_ymics14zv0"/>
      <w:bookmarkStart w:id="37" w:name="Mendeley_Bookmark_GQgKnwVbNj"/>
      <w:r>
        <w:rPr>
          <w:rFonts w:ascii="Arial" w:hAnsi="Arial"/>
        </w:rPr>
        <w:t>(Baselga 2007)</w:t>
      </w:r>
      <w:bookmarkEnd w:id="36"/>
      <w:bookmarkEnd w:id="37"/>
      <w:r>
        <w:rPr>
          <w:rFonts w:ascii="Arial" w:hAnsi="Arial"/>
        </w:rPr>
        <w:t xml:space="preserve">. </w:t>
      </w:r>
      <w:bookmarkStart w:id="38" w:name="Mendeley_Bookmark_AH10UGIOoY"/>
      <w:bookmarkStart w:id="39" w:name="Mendeley_Bookmark_mhaDYXX0oP"/>
      <w:r>
        <w:rPr>
          <w:rFonts w:ascii="Arial" w:hAnsi="Arial"/>
        </w:rPr>
        <w:t xml:space="preserve">Chao </w:t>
      </w:r>
      <w:r>
        <w:rPr>
          <w:rFonts w:ascii="Arial" w:hAnsi="Arial"/>
          <w:i/>
        </w:rPr>
        <w:t>et al</w:t>
      </w:r>
      <w:r>
        <w:rPr>
          <w:rFonts w:ascii="Arial" w:hAnsi="Arial"/>
        </w:rPr>
        <w:t>. (2005)</w:t>
      </w:r>
      <w:bookmarkEnd w:id="38"/>
      <w:bookmarkEnd w:id="39"/>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0" w:name="Mendeley_Bookmark_qZnPui9rem"/>
      <w:bookmarkStart w:id="41" w:name="Mendeley_Bookmark_BM9zBGDE59"/>
      <w:r>
        <w:rPr>
          <w:rFonts w:ascii="Arial" w:hAnsi="Arial"/>
        </w:rPr>
        <w:t>(McMurdie &amp; Holmes 2014)</w:t>
      </w:r>
      <w:bookmarkEnd w:id="40"/>
      <w:bookmarkEnd w:id="41"/>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2" w:name="Mendeley_Bookmark_OR2I8mzNcQ"/>
      <w:bookmarkStart w:id="43" w:name="Mendeley_Bookmark_27Ya1Jqyo7"/>
      <w:r>
        <w:rPr>
          <w:rFonts w:ascii="Arial" w:hAnsi="Arial"/>
        </w:rPr>
        <w:t>(Baselga 2010, 2013; Podani &amp; Schmera 2011)</w:t>
      </w:r>
      <w:bookmarkEnd w:id="42"/>
      <w:bookmarkEnd w:id="43"/>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4" w:name="Mendeley_Bookmark_0UsuLen39s"/>
      <w:bookmarkStart w:id="45" w:name="Mendeley_Bookmark_kGbDp2deCk"/>
      <w:r>
        <w:rPr>
          <w:rFonts w:ascii="Arial" w:hAnsi="Arial"/>
        </w:rPr>
        <w:t>Baselga and Orme 201</w:t>
      </w:r>
      <w:bookmarkEnd w:id="44"/>
      <w:bookmarkEnd w:id="45"/>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6" w:name="Mendeley_Bookmark_KkzpFMMjlJ"/>
      <w:bookmarkStart w:id="47" w:name="Mendeley_Bookmark_x0Rl87wFfL"/>
      <w:r>
        <w:rPr>
          <w:rFonts w:ascii="Arial" w:hAnsi="Arial"/>
        </w:rPr>
        <w:t xml:space="preserve">(Warmink </w:t>
      </w:r>
      <w:r>
        <w:rPr>
          <w:rFonts w:ascii="Arial" w:hAnsi="Arial"/>
          <w:i/>
        </w:rPr>
        <w:t>et al.</w:t>
      </w:r>
      <w:r>
        <w:rPr>
          <w:rFonts w:ascii="Arial" w:hAnsi="Arial"/>
        </w:rPr>
        <w:t xml:space="preserve"> 2011)</w:t>
      </w:r>
      <w:bookmarkEnd w:id="46"/>
      <w:bookmarkEnd w:id="47"/>
      <w:r>
        <w:rPr>
          <w:rFonts w:ascii="Arial" w:hAnsi="Arial"/>
        </w:rPr>
        <w:t xml:space="preserve">, migratory species such as birds (Bisson et al., 2007), wind blown soil particles </w:t>
      </w:r>
      <w:bookmarkStart w:id="48" w:name="Mendeley_Bookmark_doyw07HACo"/>
      <w:bookmarkStart w:id="49" w:name="Mendeley_Bookmark_XFlDVRjZo8"/>
      <w:r>
        <w:rPr>
          <w:rFonts w:ascii="Arial" w:hAnsi="Arial"/>
        </w:rPr>
        <w:t xml:space="preserve">(Kellogg &amp; Griffin 2006; Favet </w:t>
      </w:r>
      <w:r>
        <w:rPr>
          <w:rFonts w:ascii="Arial" w:hAnsi="Arial"/>
          <w:i/>
        </w:rPr>
        <w:t>et al.</w:t>
      </w:r>
      <w:r>
        <w:rPr>
          <w:rFonts w:ascii="Arial" w:hAnsi="Arial"/>
        </w:rPr>
        <w:t xml:space="preserve"> 2013)</w:t>
      </w:r>
      <w:bookmarkEnd w:id="48"/>
      <w:bookmarkEnd w:id="49"/>
      <w:r>
        <w:rPr>
          <w:rFonts w:ascii="Arial" w:hAnsi="Arial"/>
        </w:rPr>
        <w:t xml:space="preserve">, or via bioaerosols </w:t>
      </w:r>
      <w:bookmarkStart w:id="50" w:name="Mendeley_Bookmark_nlcqJg60bq"/>
      <w:bookmarkStart w:id="51" w:name="Mendeley_Bookmark_afvS5ouz0a"/>
      <w:r>
        <w:rPr>
          <w:rFonts w:ascii="Arial" w:hAnsi="Arial"/>
        </w:rPr>
        <w:t xml:space="preserve">(Joung </w:t>
      </w:r>
      <w:r>
        <w:rPr>
          <w:rFonts w:ascii="Arial" w:hAnsi="Arial"/>
          <w:i/>
        </w:rPr>
        <w:t>et al.</w:t>
      </w:r>
      <w:r>
        <w:rPr>
          <w:rFonts w:ascii="Arial" w:hAnsi="Arial"/>
        </w:rPr>
        <w:t xml:space="preserve"> 2017)</w:t>
      </w:r>
      <w:bookmarkEnd w:id="50"/>
      <w:bookmarkEnd w:id="51"/>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2" w:name="Mendeley_Bookmark_bkt1iiLqfB"/>
      <w:bookmarkStart w:id="53"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2"/>
      <w:bookmarkEnd w:id="53"/>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4" w:name="Mendeley_Bookmark_TT2e3eJ6qE"/>
      <w:bookmarkStart w:id="55" w:name="Mendeley_Bookmark_hvQE3pXExS"/>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4"/>
      <w:bookmarkEnd w:id="55"/>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6" w:name="Mendeley_Bookmark_pLBfjZee9t"/>
      <w:bookmarkStart w:id="57" w:name="Mendeley_Bookmark_hFI8qjJqc5"/>
      <w:r>
        <w:rPr>
          <w:rFonts w:ascii="Arial" w:hAnsi="Arial"/>
        </w:rPr>
        <w:t>(Nekola &amp; White 1999)</w:t>
      </w:r>
      <w:bookmarkEnd w:id="56"/>
      <w:bookmarkEnd w:id="57"/>
      <w:r>
        <w:rPr>
          <w:rFonts w:ascii="Arial" w:hAnsi="Arial"/>
        </w:rPr>
        <w:t xml:space="preserve">. Furthermore, dispersal limitation itself is not solely a property of ecological neutrality. Dispersal limitation may be stochastic as predicted by neutral theory </w:t>
      </w:r>
      <w:bookmarkStart w:id="58" w:name="Mendeley_Bookmark_0AtjJmJIRc"/>
      <w:bookmarkStart w:id="59" w:name="Mendeley_Bookmark_GDc7MKCx3E"/>
      <w:r>
        <w:rPr>
          <w:rFonts w:ascii="Arial" w:hAnsi="Arial"/>
        </w:rPr>
        <w:t>(Chave 2004)</w:t>
      </w:r>
      <w:bookmarkEnd w:id="58"/>
      <w:bookmarkEnd w:id="59"/>
      <w:r>
        <w:rPr>
          <w:rFonts w:ascii="Arial" w:hAnsi="Arial"/>
        </w:rPr>
        <w:t xml:space="preserve">, but also by asymmetric dispersal abilities between organisms </w:t>
      </w:r>
      <w:bookmarkStart w:id="60" w:name="Mendeley_Bookmark_Wdm9CgZppu"/>
      <w:bookmarkStart w:id="61" w:name="Mendeley_Bookmark_2059mnrnUR"/>
      <w:r>
        <w:rPr>
          <w:rFonts w:ascii="Arial" w:hAnsi="Arial"/>
        </w:rPr>
        <w:t xml:space="preserve">(Salomon </w:t>
      </w:r>
      <w:r>
        <w:rPr>
          <w:rFonts w:ascii="Arial" w:hAnsi="Arial"/>
          <w:i/>
        </w:rPr>
        <w:t>et al.</w:t>
      </w:r>
      <w:r>
        <w:rPr>
          <w:rFonts w:ascii="Arial" w:hAnsi="Arial"/>
        </w:rPr>
        <w:t xml:space="preserve"> 2010; Liu &amp; Zhou 2011)</w:t>
      </w:r>
      <w:bookmarkEnd w:id="60"/>
      <w:bookmarkEnd w:id="61"/>
      <w:r>
        <w:rPr>
          <w:rFonts w:ascii="Arial" w:hAnsi="Arial"/>
        </w:rPr>
        <w:t xml:space="preserve">, thus violating the central tenet of neutral theory; that organisms are ecologically equivalent </w:t>
      </w:r>
      <w:bookmarkStart w:id="62" w:name="Mendeley_Bookmark_oK0YtKVIqE"/>
      <w:bookmarkStart w:id="63" w:name="Mendeley_Bookmark_EC4m6aaUgF"/>
      <w:r>
        <w:rPr>
          <w:rFonts w:ascii="Arial" w:hAnsi="Arial"/>
        </w:rPr>
        <w:t>(Hubbell 2001)</w:t>
      </w:r>
      <w:bookmarkEnd w:id="62"/>
      <w:bookmarkEnd w:id="63"/>
      <w:r>
        <w:rPr>
          <w:rFonts w:ascii="Arial" w:hAnsi="Arial"/>
        </w:rPr>
        <w:t xml:space="preserve">. Thus we suggest caution in attributing distance-decay relationships to either niche or neutral processes without further evidence, for example from examining species-abundance distributions </w:t>
      </w:r>
      <w:bookmarkStart w:id="64" w:name="Mendeley_Bookmark_c785j0GBNg"/>
      <w:bookmarkStart w:id="65" w:name="Mendeley_Bookmark_GAlG8pJD7r"/>
      <w:r>
        <w:rPr>
          <w:rFonts w:ascii="Arial" w:hAnsi="Arial"/>
        </w:rPr>
        <w:t xml:space="preserve">(e.g. Dumbrell </w:t>
      </w:r>
      <w:r>
        <w:rPr>
          <w:rFonts w:ascii="Arial" w:hAnsi="Arial"/>
          <w:i/>
        </w:rPr>
        <w:t>et al</w:t>
      </w:r>
      <w:r>
        <w:rPr>
          <w:rFonts w:ascii="Arial" w:hAnsi="Arial"/>
        </w:rPr>
        <w:t>. 2010)</w:t>
      </w:r>
      <w:bookmarkEnd w:id="64"/>
      <w:bookmarkEnd w:id="65"/>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6" w:name="Mendeley_Bookmark_XYW8Ipmi8P"/>
      <w:bookmarkStart w:id="67" w:name="Mendeley_Bookmark_oWrey5XdC0"/>
      <w:r>
        <w:rPr>
          <w:rFonts w:ascii="Arial" w:hAnsi="Arial"/>
        </w:rPr>
        <w:t>(Nekola &amp; White 1999)</w:t>
      </w:r>
      <w:bookmarkEnd w:id="66"/>
      <w:bookmarkEnd w:id="67"/>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68" w:name="Mendeley_Bookmark_HcoD4C9Way"/>
      <w:bookmarkStart w:id="69" w:name="Mendeley_Bookmark_IOem02q758"/>
      <w:r>
        <w:rPr>
          <w:rFonts w:ascii="Arial" w:hAnsi="Arial"/>
          <w:i/>
          <w:iCs/>
        </w:rPr>
        <w:t>(</w:t>
      </w:r>
      <w:r>
        <w:rPr>
          <w:rFonts w:ascii="Arial" w:hAnsi="Arial"/>
          <w:i w:val="false"/>
          <w:iCs w:val="false"/>
        </w:rPr>
        <w:t>Declerck et al. 2013; Vannette et al. 2016)</w:t>
      </w:r>
      <w:bookmarkEnd w:id="68"/>
      <w:bookmarkEnd w:id="69"/>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0" w:name="Mendeley_Bookmark_cv0ZPfiVxB"/>
      <w:bookmarkStart w:id="71" w:name="Mendeley_Bookmark_9BdIhI0932"/>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2" w:name="_GoBack"/>
      <w:bookmarkEnd w:id="72"/>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0"/>
      <w:bookmarkEnd w:id="71"/>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28T22:58:56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Talk about seq depth</w:t>
      </w:r>
    </w:p>
  </w:comment>
  <w:comment w:id="1" w:author="Unknown Author" w:date="2017-10-28T23:09:27Z" w:initials="">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Application>LibreOffice/5.1.6.2$Linux_X86_64 LibreOffice_project/10m0$Build-2</Application>
  <Pages>28</Pages>
  <Words>7593</Words>
  <Characters>45681</Characters>
  <CharactersWithSpaces>53069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2017-11-12T17:34:37Z</dcterms:modified>
  <cp:revision>154</cp:revision>
  <dc:subject/>
  <dc:title/>
</cp:coreProperties>
</file>