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rFonts w:ascii="Arial" w:hAnsi="Arial"/>
        </w:rPr>
      </w:pPr>
      <w:r>
        <w:rPr>
          <w:rFonts w:ascii="Arial" w:hAnsi="Arial"/>
          <w:b/>
          <w:bCs/>
        </w:rPr>
        <w:t xml:space="preserve">Keywords: </w:t>
      </w:r>
      <w:r>
        <w:rPr>
          <w:rFonts w:ascii="Arial" w:hAnsi="Arial"/>
        </w:rPr>
        <w:t>Bacteria, Archaea, Eukarya, spatial ecology, Mantel test, macroecology, dispersal limitation</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JFR7lpwm2U"/>
      <w:bookmarkStart w:id="1" w:name="Mendeley_Bookmark_56WR28I1ZE"/>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The relationship quantifies how the compositional similarity of communities decays with increasing geographic distance between them, such that communities close together contain more similar species assemblages than those further apart. Distance-decay relationships are of considerable interest to ecologists as they reflect a number of non-mutually exclusive ecological processes. Firstly, d-d relationships can arise through spatially structured niche processes. Communities are often structured by the shared environmental niches of their component species. Consequently, in habitats where spatially structured environmental gradients occur, communities close together in space will experience more similar environmental conditions, thus selecting for more similar communities. Alternatively, d-d relationships may occur due to neutral processes, such as dispersal limitation, even in the absence of niche processes. Species that are dispersal limited will disperse more frequently between communities that are close together, thus resulting in more similar compositions than those far apart.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Whilst d-d relationships have been documented in a wide variety of organisms, they have been particularly well studied by microbial ecologists, as microorganisms present several characteristics that may result in unusual or non-existent d-d relationships. Firstly, their small size means that they have exceptional capacity to disperse over very large geographic distances. Passive dispersal mechanisms such as wind, bio-aerosolisation, oceanic currents, migratory animals, and human activity, all have the potential to spread viable microbial propagules over near global scales, thus overcoming dispersal limitation between communities. In addition to small size, microorganisms can often maintain extremely high population densities in the environment. </w:t>
      </w:r>
      <w:r>
        <w:rPr>
          <w:rFonts w:ascii="Arial" w:hAnsi="Arial"/>
        </w:rPr>
        <w:t xml:space="preserve">The high density of cells in an area may lead to effective dispersal via “mass effects”, whereby high dispersal rates from areas of high population density maintain populations in less optimal environments (Shmida &amp; Wilson, 1985). </w:t>
      </w:r>
      <w:r>
        <w:rPr>
          <w:rFonts w:ascii="Arial" w:hAnsi="Arial"/>
        </w:rPr>
        <w:t>Furthermore, many microorganisms are able to enter vegetative states, such as cysts or spores, allowing them to survive in suboptimal environments. This allows them to survive whilst dispersing between suitable habitats, or to persist in an environment until conditions change favourably.</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These properties led to the assumption that microorganisms should be globally dispersed, and that microbial communities would only show d-d relationships under niche processes in spatially structured environments (Baas Becking 1934; Finlay &amp; Fenchel 2004). </w:t>
      </w:r>
      <w:r>
        <w:rPr>
          <w:rFonts w:ascii="Arial" w:hAnsi="Arial"/>
        </w:rPr>
        <w:t xml:space="preserve">However, modern molecular evidence refutes this. The rapid development of molecular methods to study microbial communities has resulted in an explosion of studies testing the distance-decay relationship in microbial communities. </w:t>
      </w:r>
      <w:r>
        <w:rPr>
          <w:rFonts w:ascii="Arial" w:hAnsi="Arial"/>
        </w:rPr>
        <w:t xml:space="preserve">This body of research has yielded rather mixed results about the nature of microbial d-d relationships, with few unifying principles emerging. </w:t>
      </w:r>
      <w:r>
        <w:rPr>
          <w:rFonts w:ascii="Arial" w:hAnsi="Arial"/>
        </w:rPr>
        <w:t xml:space="preserve">A number of studies have found </w:t>
      </w:r>
      <w:r>
        <w:rPr>
          <w:rFonts w:ascii="Arial" w:hAnsi="Arial"/>
        </w:rPr>
        <w:t xml:space="preserve">little or </w:t>
      </w:r>
      <w:r>
        <w:rPr>
          <w:rFonts w:ascii="Arial" w:hAnsi="Arial"/>
        </w:rPr>
        <w:t xml:space="preserve">no correlation between microbial community composition and distance </w:t>
      </w:r>
      <w:bookmarkStart w:id="2" w:name="Mendeley_Bookmark_eO3mJEqhbk1"/>
      <w:bookmarkStart w:id="3" w:name="Mendeley_Bookmark_03zMBZ1Bam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t>
      </w:r>
      <w:r>
        <w:rPr>
          <w:rFonts w:ascii="Arial" w:hAnsi="Arial"/>
        </w:rPr>
        <w:t xml:space="preserve">whereas others reported </w:t>
      </w:r>
      <w:r>
        <w:rPr>
          <w:rFonts w:ascii="Arial" w:hAnsi="Arial"/>
        </w:rPr>
        <w:t xml:space="preserve">relationships, varying in steepness, between microbial community composition and geographic distance for a range of scales and taxa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4xg16fe0kh"/>
      <w:bookmarkStart w:id="5" w:name="Mendeley_Bookmark_WtZTfmB6kE"/>
      <w:bookmarkEnd w:id="4"/>
      <w:bookmarkEnd w:id="5"/>
      <w:r>
        <w:rPr>
          <w:rFonts w:ascii="Arial" w:hAnsi="Arial"/>
        </w:rPr>
        <w:t>14), even when the spatial structure of the environment has been accounted for (e.g. Green et al., 2004).</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The variability in reported microbial d-d relationships could be due to the different </w:t>
      </w:r>
      <w:r>
        <w:rPr>
          <w:rFonts w:ascii="Arial" w:hAnsi="Arial"/>
        </w:rPr>
        <w:t xml:space="preserve">ecological contexts that in turn, determine the relative contribution of niche and neutral processes to d-d relationships. </w:t>
      </w:r>
      <w:r>
        <w:rPr>
          <w:rFonts w:ascii="Arial" w:hAnsi="Arial"/>
        </w:rPr>
        <w:t>The</w:t>
      </w:r>
      <w:r>
        <w:rPr>
          <w:rFonts w:ascii="Arial" w:hAnsi="Arial"/>
        </w:rPr>
        <w:t xml:space="preserve"> different study systems </w:t>
      </w:r>
      <w:r>
        <w:rPr>
          <w:rFonts w:ascii="Arial" w:hAnsi="Arial"/>
        </w:rPr>
        <w:t>present in microbial ecology studies</w:t>
      </w:r>
      <w:r>
        <w:rPr>
          <w:rFonts w:ascii="Arial" w:hAnsi="Arial"/>
        </w:rPr>
        <w:t xml:space="preserve"> will </w:t>
      </w:r>
      <w:r>
        <w:rPr>
          <w:rFonts w:ascii="Arial" w:hAnsi="Arial"/>
        </w:rPr>
        <w:t>vary in their</w:t>
      </w:r>
      <w:r>
        <w:rPr>
          <w:rFonts w:ascii="Arial" w:hAnsi="Arial"/>
        </w:rPr>
        <w:t xml:space="preserve"> connectivity between communities, thus facilitating or hindering dispersal between communities. </w:t>
      </w:r>
      <w:r>
        <w:rPr>
          <w:rFonts w:ascii="Arial" w:hAnsi="Arial"/>
        </w:rPr>
        <w:t xml:space="preserve">Well connected </w:t>
      </w:r>
      <w:r>
        <w:rPr>
          <w:rFonts w:ascii="Arial" w:hAnsi="Arial"/>
        </w:rPr>
        <w:t xml:space="preserve">systems in which long distance dispersal is possible, such as oceanic waters, should therefore show weaker distance decay relationships than systems in which dispersal is limited, such as in host-associated communities. </w:t>
      </w:r>
      <w:r>
        <w:rPr>
          <w:rFonts w:ascii="Arial" w:hAnsi="Arial"/>
        </w:rPr>
        <w:t xml:space="preserve">Moreover, study systems will vary in the spatial structuring of environmental variables. Soils for example, </w:t>
      </w:r>
      <w:r>
        <w:rPr>
          <w:rFonts w:ascii="Arial" w:hAnsi="Arial"/>
        </w:rPr>
        <w:t>can</w:t>
      </w:r>
      <w:r>
        <w:rPr>
          <w:rFonts w:ascii="Arial" w:hAnsi="Arial"/>
        </w:rPr>
        <w:t xml:space="preserve"> support strong environmental gradients over relatively </w:t>
      </w:r>
      <w:r>
        <w:rPr>
          <w:rFonts w:ascii="Arial" w:hAnsi="Arial"/>
        </w:rPr>
        <w:t>small</w:t>
      </w:r>
      <w:r>
        <w:rPr>
          <w:rFonts w:ascii="Arial" w:hAnsi="Arial"/>
        </w:rPr>
        <w:t xml:space="preserve"> distances </w:t>
      </w:r>
      <w:r>
        <w:rPr>
          <w:rFonts w:ascii="Arial" w:hAnsi="Arial"/>
        </w:rPr>
        <w:t>geographic distances (e.g. ), leading to steep d-d relationships where niche-based processes dominate. In contrast, systems that support diffuse environmental gradients, such as well mixed ocean waters, will should show weaker d-d relationships as communities separated by large distance may still experience similar environmental conditions.</w:t>
      </w:r>
    </w:p>
    <w:p>
      <w:pPr>
        <w:pStyle w:val="Normal"/>
        <w:spacing w:lineRule="auto" w:line="480"/>
        <w:jc w:val="both"/>
        <w:rPr>
          <w:rFonts w:ascii="Arial" w:hAnsi="Arial"/>
        </w:rPr>
      </w:pPr>
      <w:r>
        <w:rPr/>
      </w:r>
    </w:p>
    <w:p>
      <w:pPr>
        <w:pStyle w:val="Normal"/>
        <w:spacing w:lineRule="auto" w:line="480"/>
        <w:jc w:val="both"/>
        <w:rPr/>
      </w:pPr>
      <w:r>
        <w:rPr>
          <w:rFonts w:ascii="Arial" w:hAnsi="Arial"/>
        </w:rPr>
        <w:t>Differences in the organisms studied may also result in variable d-d relationships, as they will differ in their ability to disperse between communities. For example, it has been shown that smaller cell sizes lead to more efficient long distance dispersal, suggesting that organisms such as Bacteria and Archaea, will disperse further than microbial Eukarya, leading to shallower d-d relationships. In addition, the ability of some microorganism to form vegetative spores or cysts is likely to facilitate their dispersal over larger distances by passive means, than those cells that are not able to enter a vegetative state.</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The different spatial scales incorporated by studies are also likely to yield different d-d relationships. Studies that occur over very large spatial scales are likely to incorporate communities that experience little dispersal between them, potentially resulting in stronger d-d relationships than smaller-scale studies. Additionally, large scale studies will incorporate greater environmental heterogeneity, thus more communities will be more dissimilar under niche processes, and stronger d-d relationships will be observed (Martiny </w:t>
      </w:r>
      <w:r>
        <w:rPr>
          <w:rFonts w:ascii="Arial" w:hAnsi="Arial"/>
          <w:i/>
        </w:rPr>
        <w:t>et al.</w:t>
      </w:r>
      <w:r>
        <w:rPr>
          <w:rFonts w:ascii="Arial" w:hAnsi="Arial"/>
        </w:rPr>
        <w:t xml:space="preserve"> 2011). </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 </w:t>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rFonts w:ascii="Arial" w:hAnsi="Arial"/>
        </w:rPr>
      </w:pPr>
      <w:r>
        <w:rPr>
          <w:rFonts w:ascii="Arial" w:hAnsi="Arial"/>
        </w:rPr>
        <w:t xml:space="preserve">On the other hand, methodological differences between studies may contribute to variability in microbial distance-decay relationships. From serially sequencing clone libraries, through community fingerprinting methods, and most recently high-throughput sequencing, previous research into the microbial d-d relationship is based upon a plethora of methods with varying degrees of taxonomic resolution and community coverage </w:t>
      </w:r>
      <w:bookmarkStart w:id="6" w:name="Mendeley_Bookmark_Kpoz7OP0sx"/>
      <w:bookmarkStart w:id="7" w:name="Mendeley_Bookmark_ftneEgV33W"/>
      <w:r>
        <w:rPr>
          <w:rFonts w:ascii="Arial" w:hAnsi="Arial"/>
        </w:rPr>
        <w:t>(Muyzer 1999; Glenn 2011)</w:t>
      </w:r>
      <w:bookmarkEnd w:id="6"/>
      <w:bookmarkEnd w:id="7"/>
      <w:r>
        <w:rPr>
          <w:rFonts w:ascii="Arial" w:hAnsi="Arial"/>
        </w:rPr>
        <w:t xml:space="preserve">. These methodologies differ markedly in their ability to quantify microbial communities, and in particular the rare species that form the majority of a microbial community. Methods that are only able to quantify the most common (and widespread) species (such as morphological, or community fingerprinting methods) are likely to miss the rare, restricted taxa. The result of this is that communities will appear artificially similar, resulting in a weaker distance-decay relationship. In contrast, methods that adequately quantify the “rare biosphere”, such as high-throughput sequencing, will be able to better detect the species that differ between communities, and therefore more accurately quantify the community similarity, resulting in stronger d-d relationships. In addition to the varying methods used to quantify microbial communities, there are now an array of indices available to quantify the (dis)similarity between microbial communities, including qualitative (based on presence/absence of species), quantitative (based on composition and abundance of species), and phylogenetic (based on relatedness of communities). Such indices have different properties in terms of how they weight rare or common species, and in how they are influenced by sample sizes or species richness </w:t>
      </w:r>
      <w:bookmarkStart w:id="8" w:name="Mendeley_Bookmark_4ynKlu1urw"/>
      <w:bookmarkStart w:id="9" w:name="Mendeley_Bookmark_Ngs6l9gsCt"/>
      <w:r>
        <w:rPr>
          <w:rFonts w:ascii="Arial" w:hAnsi="Arial"/>
        </w:rPr>
        <w:t xml:space="preserve">(Baselga 2012; Beck </w:t>
      </w:r>
      <w:r>
        <w:rPr>
          <w:rFonts w:ascii="Arial" w:hAnsi="Arial"/>
          <w:i/>
        </w:rPr>
        <w:t>et al.</w:t>
      </w:r>
      <w:r>
        <w:rPr>
          <w:rFonts w:ascii="Arial" w:hAnsi="Arial"/>
        </w:rPr>
        <w:t xml:space="preserve"> 2013)</w:t>
      </w:r>
      <w:bookmarkEnd w:id="8"/>
      <w:bookmarkEnd w:id="9"/>
      <w:r>
        <w:rPr>
          <w:rFonts w:ascii="Arial" w:hAnsi="Arial"/>
        </w:rPr>
        <w:t>, as well as what they quantify (e.g. phylogenetic similarity versus compositional similarity). The use of different indices could contribute to the strength of a distance-decay relationship. For example, phylogenetic indices may result in weaker distance-decay relationships because communities can be phylogenetically closely related, but may differ at the operational taxonomic unit (OTU) level (e.g. Bryant et al., 2008).</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Given the variability in microbial d-d relationships reported in the literature, I sought to understand whether methodological or contextual differences between studies may influence reported d-d relationships in microbial communities. To do this, I conduct a meta-analysis to synthesise available data on the microbial distance-decay relationship, and test whether factors relating to methodological or contextual aspects of each study influence this relationship. Specifically, I test the following hypotheses:</w:t>
      </w:r>
    </w:p>
    <w:p>
      <w:pPr>
        <w:pStyle w:val="Normal"/>
        <w:numPr>
          <w:ilvl w:val="0"/>
          <w:numId w:val="1"/>
        </w:numPr>
        <w:spacing w:lineRule="auto" w:line="480"/>
        <w:jc w:val="both"/>
        <w:rPr>
          <w:rFonts w:ascii="Arial" w:hAnsi="Arial"/>
        </w:rPr>
      </w:pPr>
      <w:r>
        <w:rPr>
          <w:rFonts w:ascii="Arial" w:hAnsi="Arial"/>
        </w:rPr>
        <w:t>H1: Bacteria will show stronger d-d relationships than other microbial groups due to their smaller size and higher population densities.</w:t>
      </w:r>
    </w:p>
    <w:p>
      <w:pPr>
        <w:pStyle w:val="Normal"/>
        <w:numPr>
          <w:ilvl w:val="0"/>
          <w:numId w:val="2"/>
        </w:numPr>
        <w:spacing w:lineRule="auto" w:line="480"/>
        <w:jc w:val="both"/>
        <w:rPr>
          <w:rFonts w:ascii="Arial" w:hAnsi="Arial"/>
        </w:rPr>
      </w:pPr>
      <w:r>
        <w:rPr>
          <w:rFonts w:ascii="Arial" w:hAnsi="Arial"/>
        </w:rPr>
        <w:t>H2: Soils and host-associated study systems will show stronger d-d relationships than other systems due to their ability to maintain steep physicochemical gradients, or limited range size of the host taxon, respectively.</w:t>
      </w:r>
    </w:p>
    <w:p>
      <w:pPr>
        <w:pStyle w:val="Normal"/>
        <w:numPr>
          <w:ilvl w:val="0"/>
          <w:numId w:val="2"/>
        </w:numPr>
        <w:spacing w:lineRule="auto" w:line="480"/>
        <w:jc w:val="both"/>
        <w:rPr>
          <w:rFonts w:ascii="Arial" w:hAnsi="Arial"/>
        </w:rPr>
      </w:pPr>
      <w:r>
        <w:rPr>
          <w:rFonts w:ascii="Arial" w:hAnsi="Arial"/>
        </w:rPr>
        <w:t>H3: The spatial extent of a study will be positively related to the strength of a d-d relationship, as larger scale studies will incorporate greater environmental heterogeneity, and lower dispersal between the most distant communities.</w:t>
      </w:r>
    </w:p>
    <w:p>
      <w:pPr>
        <w:pStyle w:val="Normal"/>
        <w:numPr>
          <w:ilvl w:val="0"/>
          <w:numId w:val="2"/>
        </w:numPr>
        <w:spacing w:lineRule="auto" w:line="480"/>
        <w:jc w:val="both"/>
        <w:rPr>
          <w:rFonts w:ascii="Arial" w:hAnsi="Arial"/>
        </w:rPr>
      </w:pPr>
      <w:r>
        <w:rPr>
          <w:rFonts w:ascii="Arial" w:hAnsi="Arial"/>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rFonts w:ascii="Arial" w:hAnsi="Arial"/>
        </w:rPr>
      </w:pPr>
      <w:r>
        <w:rPr>
          <w:rFonts w:ascii="Arial" w:hAnsi="Arial"/>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rFonts w:ascii="Arial" w:hAnsi="Arial"/>
        </w:rPr>
      </w:pPr>
      <w:r>
        <w:rPr>
          <w:rFonts w:ascii="Arial" w:hAnsi="Arial"/>
        </w:rPr>
        <w:t xml:space="preserve">H6: The strength of d-d relationships will vary between similarity indices, and in phylogenetic methods will result in weaker d-d relationships than compositional metrics. </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rFonts w:ascii="Arial" w:hAnsi="Arial"/>
        </w:rPr>
      </w:pPr>
      <w:r>
        <w:rPr>
          <w:rFonts w:ascii="Arial" w:hAnsi="Arial"/>
        </w:rPr>
        <w:t xml:space="preserve">In order to test the effects of ecological context and methodology on the microbial d-d relationship, I first conducted a systematic literature search using the Web of Science search portal. To do this, I designed five different search terms in order to maximise the size of the resulting dataset, whilst minimising irrelevant (e.g. studies of “macroorganisms”) studies (Table 1). All five searches were conducted on 08/06/2017, and all search results published between 1900-2017 were retained. I downloaded all search results from Web of Science and used the “metagear” package (version 0.4) in R (version 3.4.1) to manually screen abstracts for suitability for inclusion in our study </w:t>
      </w:r>
      <w:bookmarkStart w:id="10" w:name="Mendeley_Bookmark_jvRFFxRMBr"/>
      <w:bookmarkStart w:id="11" w:name="Mendeley_Bookmark_epNaJEqAdR"/>
      <w:r>
        <w:rPr>
          <w:rFonts w:ascii="Arial" w:hAnsi="Arial"/>
        </w:rPr>
        <w:t>(R Development Core Team 2016; Lajeunesse 2016)</w:t>
      </w:r>
      <w:bookmarkEnd w:id="10"/>
      <w:bookmarkEnd w:id="11"/>
      <w:r>
        <w:rPr>
          <w:rFonts w:ascii="Arial" w:hAnsi="Arial"/>
        </w:rPr>
        <w:t>. Suitable studies were defined as those that indicated a test of the relationship between spatial or geographic distance. I focussed on studies that had tested the distance-decay relationship using the Mantel correlation test, as this is the most common method of testing this relationship in microbial ecology (Ramette, 2007; Lisboa et al., 2014), and provides an easily intepretable effect size measure (Harrison, 2010). The Mantel test is used to test for correlation between two distance matrices (i.e. community dissimilarity and geographic distance). Mantel correlation coefficients vary between -1 and 1, with values of 1 indicating strong positive correlation, 0 indicates no/weak correlation, and -1 shows strong negative correlation. To standardise correlation coefficients between studies that had used similarity matrices, rather than dissimilarity matrices, I multiplied the former by -1, so that all correlation coefficients reflect the correlation between dissimilarity and geographic distance. For clarity, here a Mantel correlation coefficient of 1 indicates a strong d-d relationship. Partial Mantel statistics (which are able to test for correlation between two matrices whilst controlling for a third) were excluded as they may be heavily influenced by which other variables are included in the test, and are therefore not easily comparable between studies. In order to test our hypotheses, I recorded several variables relating to the ecological context of each study, as well as the methods used (Table 2).</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rFonts w:ascii="Arial" w:hAnsi="Arial"/>
        </w:rPr>
      </w:pPr>
      <w:r>
        <w:rPr>
          <w:rFonts w:ascii="Arial" w:hAnsi="Arial"/>
        </w:rPr>
        <w:t>In order to determine whether d-d relationships varied between categoric variables (as in H1, H2, H4, and H6), I used ANOVA tests. To test hypotheses 3 and 5, I used linear regressions. I first log transformed both study scale and sequencing depth as these variables spanned several orders of magnitude.</w:t>
      </w:r>
    </w:p>
    <w:p>
      <w:pPr>
        <w:pStyle w:val="Normal"/>
        <w:spacing w:lineRule="auto" w:line="480"/>
        <w:jc w:val="both"/>
        <w:rPr>
          <w:rFonts w:ascii="Arial" w:hAnsi="Arial"/>
          <w:i/>
          <w:i/>
          <w:iCs/>
        </w:rPr>
      </w:pPr>
      <w:r>
        <w:rPr>
          <w:rFonts w:ascii="Arial" w:hAnsi="Arial"/>
          <w:i/>
          <w:iCs/>
        </w:rPr>
      </w:r>
    </w:p>
    <w:p>
      <w:pPr>
        <w:pStyle w:val="Normal"/>
        <w:spacing w:lineRule="auto" w:line="480"/>
        <w:jc w:val="both"/>
        <w:rPr>
          <w:b/>
          <w:b/>
          <w:bCs/>
        </w:rPr>
      </w:pPr>
      <w:r>
        <w:rPr>
          <w:rFonts w:ascii="Arial" w:hAnsi="Arial"/>
          <w:b/>
          <w:bCs/>
        </w:rPr>
        <w:t>Results</w:t>
      </w:r>
    </w:p>
    <w:p>
      <w:pPr>
        <w:pStyle w:val="Normal"/>
        <w:spacing w:lineRule="auto" w:line="480"/>
        <w:jc w:val="both"/>
        <w:rPr>
          <w:rFonts w:ascii="Arial" w:hAnsi="Arial"/>
        </w:rPr>
      </w:pPr>
      <w:r>
        <w:rPr>
          <w:rFonts w:ascii="Arial" w:hAnsi="Arial"/>
        </w:rPr>
        <w:t>The Web of Science searches resulted in 2,250 search hits (Table 1). After removing duplicate hits (i.e. studies that appeared in multiple searches), this number decreased to 2,031 hits. Manual screening of the abstracts yielded 547 studies that were deemed to be potentially suitable for use in this analysis. A total of 287 Mantel correlation coefficients were successfully obtained from 108 studies represented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biological context on D-D relationship</w:t>
      </w:r>
    </w:p>
    <w:p>
      <w:pPr>
        <w:pStyle w:val="Normal"/>
        <w:spacing w:lineRule="auto" w:line="480"/>
        <w:jc w:val="both"/>
        <w:rPr>
          <w:i w:val="false"/>
          <w:i w:val="false"/>
          <w:iCs w:val="false"/>
        </w:rPr>
      </w:pPr>
      <w:r>
        <w:rPr>
          <w:rFonts w:ascii="Arial" w:hAnsi="Arial"/>
          <w:i w:val="false"/>
          <w:iCs w:val="false"/>
        </w:rPr>
        <w:t>In order to determine whether different ecological contexts can influence the strength of d-d relationships, I tested the influence of ecological factors including study taxa, study system, and spatial scale. Within the dataset, the most commonly studied taxa were Bacteria, followed by Fungi, microbial Eukaryotes, and Archaea. No significant difference was found in the Mantel coefficients associated with each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in disagreement with H1. Examining only statistically significant Mantel coefficients revealed marginally significant differences between taxa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incorporating both bacteria and fungi (</w:t>
      </w:r>
      <w:r>
        <w:rPr>
          <w:rFonts w:ascii="Arial" w:hAnsi="Arial"/>
          <w:i/>
          <w:iCs/>
        </w:rPr>
        <w:t>n</w:t>
      </w:r>
      <w:r>
        <w:rPr>
          <w:rFonts w:ascii="Arial" w:hAnsi="Arial"/>
          <w:i w:val="false"/>
          <w:iCs w:val="false"/>
        </w:rPr>
        <w:t xml:space="preserve"> = 3) simultaneously, being significantly lower than studies on Archaea (Tukey HSD; </w:t>
      </w:r>
      <w:r>
        <w:rPr>
          <w:rFonts w:ascii="Arial" w:hAnsi="Arial"/>
          <w:i/>
          <w:iCs/>
        </w:rPr>
        <w:t>P</w:t>
      </w:r>
      <w:r>
        <w:rPr>
          <w:rFonts w:ascii="Arial" w:hAnsi="Arial"/>
          <w:i w:val="false"/>
          <w:iCs w:val="false"/>
        </w:rPr>
        <w:t xml:space="preserve"> &lt; 0.05).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Of the 20 different biomes recorded, 11 had fewer than three d-d relationships, and these biomes were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Furthermore, the different types of environmental materials sampled showed significant differences in Mantel coefficients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Surprisingly, 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 in contrast with H2.</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 xml:space="preserve">Finally, concordant with H3, there was a significant, positive relationship between the (log) spatial scale and the Mantel coefficient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 Sampling effort was not correlated with spatial scale (Pearson’s ρ = 0.03, </w:t>
      </w:r>
      <w:r>
        <w:rPr>
          <w:rFonts w:ascii="Arial" w:hAnsi="Arial"/>
          <w:i/>
          <w:iCs/>
        </w:rPr>
        <w:t>P</w:t>
      </w:r>
      <w:r>
        <w:rPr>
          <w:rFonts w:ascii="Arial" w:hAnsi="Arial"/>
          <w:i w:val="false"/>
          <w:iCs w:val="false"/>
        </w:rPr>
        <w:t xml:space="preserve"> = 0.64), showing that studies that incorporate larger spatial scales, do not necessarily incorporate more samples.</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methodological factors on the distance-decay relationship</w:t>
      </w:r>
    </w:p>
    <w:p>
      <w:pPr>
        <w:pStyle w:val="Normal"/>
        <w:spacing w:lineRule="auto" w:line="480"/>
        <w:jc w:val="both"/>
        <w:rPr>
          <w:rFonts w:ascii="Arial" w:hAnsi="Arial"/>
        </w:rPr>
      </w:pPr>
      <w:r>
        <w:rPr>
          <w:rFonts w:ascii="Arial" w:hAnsi="Arial"/>
        </w:rPr>
        <w:t xml:space="preserve">To determine whether the microbial distance-decay relationship may be influenced by methodological factors, I tested whether the method of community characterisation, sampling depth, or choice of community similarity index influence the Mantel correlation coefficient. In contrast to H4, high-throughput sequencing methods (HTS) did not result in significantly higher Mantel coefficients compared to fingerprinting methods, or other low resolution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Sequencing depth was also significantly and positively related to the Mantel coefficient, albeit with a small effect size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supporting the hypothesis (H5) that greater sequencing depth would result in stronger d-d relationships. Sequencing depth was not correlated to sampling effort (Pearson’s ρ = 0.03, </w:t>
      </w:r>
      <w:r>
        <w:rPr>
          <w:rFonts w:ascii="Arial" w:hAnsi="Arial"/>
          <w:i/>
          <w:iCs/>
        </w:rPr>
        <w:t>P</w:t>
      </w:r>
      <w:r>
        <w:rPr>
          <w:rFonts w:ascii="Arial" w:hAnsi="Arial"/>
        </w:rPr>
        <w:t xml:space="preserve"> = 0.64), showing that studies with greater sequencing depth did not necessarily incorporate more samples.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12" w:name="Mendeley_Bookmark_3BXrkgx6EP"/>
      <w:bookmarkStart w:id="13" w:name="Mendeley_Bookmark_Mj8zDwFxn5"/>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12"/>
      <w:bookmarkEnd w:id="13"/>
      <w:r>
        <w:rPr>
          <w:rFonts w:ascii="Arial" w:hAnsi="Arial"/>
        </w:rPr>
        <w:t xml:space="preserve">. The tremendous sequencing depth of HTS platforms allows them to illuminate the “rare biosphere” </w:t>
      </w:r>
      <w:bookmarkStart w:id="14" w:name="Mendeley_Bookmark_wl0kwDMBTt"/>
      <w:bookmarkStart w:id="15" w:name="Mendeley_Bookmark_9b4GUC0Swf"/>
      <w:r>
        <w:rPr>
          <w:rFonts w:ascii="Arial" w:hAnsi="Arial"/>
        </w:rPr>
        <w:t>(Caporaso et al., 2012)</w:t>
      </w:r>
      <w:bookmarkEnd w:id="14"/>
      <w:bookmarkEnd w:id="15"/>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6" w:name="Mendeley_Bookmark_39EncOGb7Z"/>
      <w:bookmarkStart w:id="17" w:name="Mendeley_Bookmark_laQED42dLu"/>
      <w:r>
        <w:rPr>
          <w:rFonts w:ascii="Arial" w:hAnsi="Arial"/>
        </w:rPr>
        <w:t xml:space="preserve">(van Dorst </w:t>
      </w:r>
      <w:r>
        <w:rPr>
          <w:rFonts w:ascii="Arial" w:hAnsi="Arial"/>
          <w:i/>
        </w:rPr>
        <w:t>et al.</w:t>
      </w:r>
      <w:r>
        <w:rPr>
          <w:rFonts w:ascii="Arial" w:hAnsi="Arial"/>
        </w:rPr>
        <w:t xml:space="preserve"> 2014)</w:t>
      </w:r>
      <w:bookmarkEnd w:id="16"/>
      <w:bookmarkEnd w:id="17"/>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8" w:name="Mendeley_Bookmark_sHG8D4brRB"/>
      <w:bookmarkStart w:id="19" w:name="Mendeley_Bookmark_g50YTmAYaR"/>
      <w:r>
        <w:rPr>
          <w:rFonts w:ascii="Arial" w:hAnsi="Arial"/>
        </w:rPr>
        <w:t xml:space="preserve">(Gobet </w:t>
      </w:r>
      <w:r>
        <w:rPr>
          <w:rFonts w:ascii="Arial" w:hAnsi="Arial"/>
          <w:i/>
        </w:rPr>
        <w:t>et al.</w:t>
      </w:r>
      <w:r>
        <w:rPr>
          <w:rFonts w:ascii="Arial" w:hAnsi="Arial"/>
        </w:rPr>
        <w:t xml:space="preserve"> 2014)</w:t>
      </w:r>
      <w:bookmarkEnd w:id="18"/>
      <w:bookmarkEnd w:id="19"/>
      <w:r>
        <w:rPr>
          <w:rFonts w:ascii="Arial" w:hAnsi="Arial"/>
        </w:rPr>
        <w:t xml:space="preserve">. Fingerprinting methods are therefore limited in that they may not detect compositional differences between communities at increasingly fine taxonomic resolutions </w:t>
      </w:r>
      <w:bookmarkStart w:id="20" w:name="Mendeley_Bookmark_XJhjEIrUwS"/>
      <w:bookmarkStart w:id="21" w:name="Mendeley_Bookmark_lUqLCAIcZ0"/>
      <w:r>
        <w:rPr>
          <w:rFonts w:ascii="Arial" w:hAnsi="Arial"/>
        </w:rPr>
        <w:t xml:space="preserve">(Ramette &amp; Tiedje 2007; Bissett </w:t>
      </w:r>
      <w:r>
        <w:rPr>
          <w:rFonts w:ascii="Arial" w:hAnsi="Arial"/>
          <w:i/>
        </w:rPr>
        <w:t>et al.</w:t>
      </w:r>
      <w:r>
        <w:rPr>
          <w:rFonts w:ascii="Arial" w:hAnsi="Arial"/>
        </w:rPr>
        <w:t xml:space="preserve"> 2010)</w:t>
      </w:r>
      <w:bookmarkEnd w:id="20"/>
      <w:bookmarkEnd w:id="21"/>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22" w:name="Mendeley_Bookmark_8bkTVbTQuk"/>
      <w:bookmarkStart w:id="23" w:name="Mendeley_Bookmark_0Mks5PCUbt"/>
      <w:r>
        <w:rPr>
          <w:rFonts w:ascii="Arial" w:hAnsi="Arial"/>
        </w:rPr>
        <w:t xml:space="preserve">(Soininen &amp; Heino 2005; Liu </w:t>
      </w:r>
      <w:r>
        <w:rPr>
          <w:rFonts w:ascii="Arial" w:hAnsi="Arial"/>
          <w:i/>
        </w:rPr>
        <w:t>et al.</w:t>
      </w:r>
      <w:r>
        <w:rPr>
          <w:rFonts w:ascii="Arial" w:hAnsi="Arial"/>
        </w:rPr>
        <w:t xml:space="preserve"> 2015)</w:t>
      </w:r>
      <w:bookmarkEnd w:id="22"/>
      <w:bookmarkEnd w:id="23"/>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4" w:name="Mendeley_Bookmark_Q5JMuTPxkc"/>
      <w:bookmarkStart w:id="25" w:name="Mendeley_Bookmark_3QhnhKDZdL"/>
      <w:r>
        <w:rPr>
          <w:rFonts w:ascii="Arial" w:hAnsi="Arial"/>
        </w:rPr>
        <w:t>(Heino &amp; Soininen 2010)</w:t>
      </w:r>
      <w:bookmarkEnd w:id="24"/>
      <w:bookmarkEnd w:id="25"/>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6" w:name="Mendeley_Bookmark_kWdNdmHzWe"/>
      <w:bookmarkStart w:id="27" w:name="Mendeley_Bookmark_cvGAgebOra"/>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6"/>
      <w:bookmarkEnd w:id="27"/>
      <w:r>
        <w:rPr>
          <w:rFonts w:ascii="Arial" w:hAnsi="Arial"/>
        </w:rPr>
        <w:t xml:space="preserve">. Therefore, it is likely that in microbial communities, common species alone may not adequately reflect patterns in spatial turnover </w:t>
      </w:r>
      <w:bookmarkStart w:id="28" w:name="Mendeley_Bookmark_6Lgce0yTIZ"/>
      <w:bookmarkStart w:id="29" w:name="Mendeley_Bookmark_LJ2QNzhkh4"/>
      <w:r>
        <w:rPr>
          <w:rFonts w:ascii="Arial" w:hAnsi="Arial"/>
        </w:rPr>
        <w:t xml:space="preserve">(Galand </w:t>
      </w:r>
      <w:r>
        <w:rPr>
          <w:rFonts w:ascii="Arial" w:hAnsi="Arial"/>
          <w:i/>
        </w:rPr>
        <w:t>et al.</w:t>
      </w:r>
      <w:r>
        <w:rPr>
          <w:rFonts w:ascii="Arial" w:hAnsi="Arial"/>
        </w:rPr>
        <w:t xml:space="preserve"> 2009)</w:t>
      </w:r>
      <w:bookmarkEnd w:id="28"/>
      <w:bookmarkEnd w:id="29"/>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30" w:name="Mendeley_Bookmark_bZEMfyuGgh"/>
      <w:bookmarkStart w:id="31" w:name="Mendeley_Bookmark_i9ghjL70Ly"/>
      <w:r>
        <w:rPr>
          <w:rFonts w:ascii="Arial" w:hAnsi="Arial"/>
        </w:rPr>
        <w:t xml:space="preserve">(Anderson </w:t>
      </w:r>
      <w:r>
        <w:rPr>
          <w:rFonts w:ascii="Arial" w:hAnsi="Arial"/>
          <w:i/>
        </w:rPr>
        <w:t>et al.</w:t>
      </w:r>
      <w:r>
        <w:rPr>
          <w:rFonts w:ascii="Arial" w:hAnsi="Arial"/>
        </w:rPr>
        <w:t xml:space="preserve"> 2011)</w:t>
      </w:r>
      <w:bookmarkEnd w:id="30"/>
      <w:bookmarkEnd w:id="31"/>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32" w:name="Mendeley_Bookmark_P1ENn1dtxB"/>
      <w:bookmarkStart w:id="33" w:name="Mendeley_Bookmark_0GOZAUGMXg"/>
      <w:r>
        <w:rPr>
          <w:rFonts w:ascii="Arial" w:hAnsi="Arial"/>
        </w:rPr>
        <w:t xml:space="preserve">(Martiny </w:t>
      </w:r>
      <w:r>
        <w:rPr>
          <w:rFonts w:ascii="Arial" w:hAnsi="Arial"/>
          <w:i/>
        </w:rPr>
        <w:t>et al.</w:t>
      </w:r>
      <w:r>
        <w:rPr>
          <w:rFonts w:ascii="Arial" w:hAnsi="Arial"/>
        </w:rPr>
        <w:t xml:space="preserve"> 2011)</w:t>
      </w:r>
      <w:bookmarkEnd w:id="32"/>
      <w:bookmarkEnd w:id="33"/>
      <w:r>
        <w:rPr>
          <w:rFonts w:ascii="Arial" w:hAnsi="Arial"/>
        </w:rPr>
        <w:t xml:space="preserve">, and result in similar estimations of d-d relationships </w:t>
      </w:r>
      <w:bookmarkStart w:id="34" w:name="Mendeley_Bookmark_BqRINj5G80"/>
      <w:bookmarkStart w:id="35" w:name="Mendeley_Bookmark_bAgBzCiLDz"/>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4"/>
      <w:bookmarkEnd w:id="35"/>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6" w:name="Mendeley_Bookmark_JkR28l0wbG"/>
      <w:bookmarkStart w:id="37" w:name="Mendeley_Bookmark_vTKhdJb4Nj"/>
      <w:r>
        <w:rPr>
          <w:rFonts w:ascii="Arial" w:hAnsi="Arial"/>
        </w:rPr>
        <w:t xml:space="preserve">(Schmidt </w:t>
      </w:r>
      <w:r>
        <w:rPr>
          <w:rFonts w:ascii="Arial" w:hAnsi="Arial"/>
          <w:i/>
        </w:rPr>
        <w:t>et al.</w:t>
      </w:r>
      <w:r>
        <w:rPr>
          <w:rFonts w:ascii="Arial" w:hAnsi="Arial"/>
        </w:rPr>
        <w:t xml:space="preserve"> 2017)</w:t>
      </w:r>
      <w:bookmarkEnd w:id="36"/>
      <w:bookmarkEnd w:id="37"/>
      <w:r>
        <w:rPr>
          <w:rFonts w:ascii="Arial" w:hAnsi="Arial"/>
        </w:rPr>
        <w:t xml:space="preserve">. Additionally, many indices rely on equal sample sizes, and are sensitive to differences in species richness </w:t>
      </w:r>
      <w:bookmarkStart w:id="38" w:name="Mendeley_Bookmark_chZHqCfsrL"/>
      <w:bookmarkStart w:id="39" w:name="Mendeley_Bookmark_PggCJuCZMi"/>
      <w:r>
        <w:rPr>
          <w:rFonts w:ascii="Arial" w:hAnsi="Arial"/>
        </w:rPr>
        <w:t>(Green &amp; Bohannan 2006)</w:t>
      </w:r>
      <w:bookmarkEnd w:id="38"/>
      <w:bookmarkEnd w:id="39"/>
      <w:r>
        <w:rPr>
          <w:rFonts w:ascii="Arial" w:hAnsi="Arial"/>
        </w:rPr>
        <w:t xml:space="preserve">, with potentially confounding effects on d-d relationships </w:t>
      </w:r>
      <w:bookmarkStart w:id="40" w:name="Mendeley_Bookmark_GQgKnwVbNj"/>
      <w:bookmarkStart w:id="41" w:name="Mendeley_Bookmark_ymics14zv0"/>
      <w:r>
        <w:rPr>
          <w:rFonts w:ascii="Arial" w:hAnsi="Arial"/>
        </w:rPr>
        <w:t>(Baselga 2007)</w:t>
      </w:r>
      <w:bookmarkEnd w:id="40"/>
      <w:bookmarkEnd w:id="41"/>
      <w:r>
        <w:rPr>
          <w:rFonts w:ascii="Arial" w:hAnsi="Arial"/>
        </w:rPr>
        <w:t xml:space="preserve">. </w:t>
      </w:r>
      <w:bookmarkStart w:id="42" w:name="Mendeley_Bookmark_mhaDYXX0oP"/>
      <w:bookmarkStart w:id="43" w:name="Mendeley_Bookmark_AH10UGIOoY"/>
      <w:r>
        <w:rPr>
          <w:rFonts w:ascii="Arial" w:hAnsi="Arial"/>
        </w:rPr>
        <w:t xml:space="preserve">Chao </w:t>
      </w:r>
      <w:r>
        <w:rPr>
          <w:rFonts w:ascii="Arial" w:hAnsi="Arial"/>
          <w:i/>
        </w:rPr>
        <w:t>et al</w:t>
      </w:r>
      <w:r>
        <w:rPr>
          <w:rFonts w:ascii="Arial" w:hAnsi="Arial"/>
        </w:rPr>
        <w:t>. (2005)</w:t>
      </w:r>
      <w:bookmarkEnd w:id="42"/>
      <w:bookmarkEnd w:id="43"/>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4" w:name="Mendeley_Bookmark_BM9zBGDE59"/>
      <w:bookmarkStart w:id="45" w:name="Mendeley_Bookmark_qZnPui9rem"/>
      <w:r>
        <w:rPr>
          <w:rFonts w:ascii="Arial" w:hAnsi="Arial"/>
        </w:rPr>
        <w:t>(McMurdie &amp; Holmes 2014)</w:t>
      </w:r>
      <w:bookmarkEnd w:id="44"/>
      <w:bookmarkEnd w:id="45"/>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6" w:name="Mendeley_Bookmark_27Ya1Jqyo7"/>
      <w:bookmarkStart w:id="47" w:name="Mendeley_Bookmark_OR2I8mzNcQ"/>
      <w:r>
        <w:rPr>
          <w:rFonts w:ascii="Arial" w:hAnsi="Arial"/>
        </w:rPr>
        <w:t>(Baselga 2010, 2013; Podani &amp; Schmera 2011)</w:t>
      </w:r>
      <w:bookmarkEnd w:id="46"/>
      <w:bookmarkEnd w:id="47"/>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8" w:name="Mendeley_Bookmark_kGbDp2deCk"/>
      <w:bookmarkStart w:id="49" w:name="Mendeley_Bookmark_0UsuLen39s"/>
      <w:r>
        <w:rPr>
          <w:rFonts w:ascii="Arial" w:hAnsi="Arial"/>
        </w:rPr>
        <w:t>Baselga and Orme 201</w:t>
      </w:r>
      <w:bookmarkEnd w:id="48"/>
      <w:bookmarkEnd w:id="49"/>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50" w:name="Mendeley_Bookmark_x0Rl87wFfL"/>
      <w:bookmarkStart w:id="51" w:name="Mendeley_Bookmark_KkzpFMMjlJ"/>
      <w:r>
        <w:rPr>
          <w:rFonts w:ascii="Arial" w:hAnsi="Arial"/>
        </w:rPr>
        <w:t xml:space="preserve">(Warmink </w:t>
      </w:r>
      <w:r>
        <w:rPr>
          <w:rFonts w:ascii="Arial" w:hAnsi="Arial"/>
          <w:i/>
        </w:rPr>
        <w:t>et al.</w:t>
      </w:r>
      <w:r>
        <w:rPr>
          <w:rFonts w:ascii="Arial" w:hAnsi="Arial"/>
        </w:rPr>
        <w:t xml:space="preserve"> 2011)</w:t>
      </w:r>
      <w:bookmarkEnd w:id="50"/>
      <w:bookmarkEnd w:id="51"/>
      <w:r>
        <w:rPr>
          <w:rFonts w:ascii="Arial" w:hAnsi="Arial"/>
        </w:rPr>
        <w:t xml:space="preserve">, migratory species such as birds (Bisson et al., 2007), wind blown soil particles </w:t>
      </w:r>
      <w:bookmarkStart w:id="52" w:name="Mendeley_Bookmark_XFlDVRjZo8"/>
      <w:bookmarkStart w:id="53" w:name="Mendeley_Bookmark_doyw07HACo"/>
      <w:r>
        <w:rPr>
          <w:rFonts w:ascii="Arial" w:hAnsi="Arial"/>
        </w:rPr>
        <w:t xml:space="preserve">(Kellogg &amp; Griffin 2006; Favet </w:t>
      </w:r>
      <w:r>
        <w:rPr>
          <w:rFonts w:ascii="Arial" w:hAnsi="Arial"/>
          <w:i/>
        </w:rPr>
        <w:t>et al.</w:t>
      </w:r>
      <w:r>
        <w:rPr>
          <w:rFonts w:ascii="Arial" w:hAnsi="Arial"/>
        </w:rPr>
        <w:t xml:space="preserve"> 2013)</w:t>
      </w:r>
      <w:bookmarkEnd w:id="52"/>
      <w:bookmarkEnd w:id="53"/>
      <w:r>
        <w:rPr>
          <w:rFonts w:ascii="Arial" w:hAnsi="Arial"/>
        </w:rPr>
        <w:t xml:space="preserve">, or via bioaerosols </w:t>
      </w:r>
      <w:bookmarkStart w:id="54" w:name="Mendeley_Bookmark_afvS5ouz0a"/>
      <w:bookmarkStart w:id="55" w:name="Mendeley_Bookmark_nlcqJg60bq"/>
      <w:r>
        <w:rPr>
          <w:rFonts w:ascii="Arial" w:hAnsi="Arial"/>
        </w:rPr>
        <w:t xml:space="preserve">(Joung </w:t>
      </w:r>
      <w:r>
        <w:rPr>
          <w:rFonts w:ascii="Arial" w:hAnsi="Arial"/>
          <w:i/>
        </w:rPr>
        <w:t>et al.</w:t>
      </w:r>
      <w:r>
        <w:rPr>
          <w:rFonts w:ascii="Arial" w:hAnsi="Arial"/>
        </w:rPr>
        <w:t xml:space="preserve"> 2017)</w:t>
      </w:r>
      <w:bookmarkEnd w:id="54"/>
      <w:bookmarkEnd w:id="55"/>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6" w:name="Mendeley_Bookmark_V2D4UmrDZp"/>
      <w:bookmarkStart w:id="57" w:name="Mendeley_Bookmark_bkt1iiLqfB"/>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6"/>
      <w:bookmarkEnd w:id="57"/>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8" w:name="Mendeley_Bookmark_hvQE3pXExS"/>
      <w:bookmarkStart w:id="59" w:name="Mendeley_Bookmark_TT2e3eJ6qE"/>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8"/>
      <w:bookmarkEnd w:id="59"/>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60" w:name="Mendeley_Bookmark_hFI8qjJqc5"/>
      <w:bookmarkStart w:id="61" w:name="Mendeley_Bookmark_pLBfjZee9t"/>
      <w:r>
        <w:rPr>
          <w:rFonts w:ascii="Arial" w:hAnsi="Arial"/>
        </w:rPr>
        <w:t>(Nekola &amp; White 1999)</w:t>
      </w:r>
      <w:bookmarkEnd w:id="60"/>
      <w:bookmarkEnd w:id="61"/>
      <w:r>
        <w:rPr>
          <w:rFonts w:ascii="Arial" w:hAnsi="Arial"/>
        </w:rPr>
        <w:t xml:space="preserve">. Furthermore, dispersal limitation itself is not solely a property of ecological neutrality. Dispersal limitation may be stochastic as predicted by neutral theory </w:t>
      </w:r>
      <w:bookmarkStart w:id="62" w:name="Mendeley_Bookmark_GDc7MKCx3E"/>
      <w:bookmarkStart w:id="63" w:name="Mendeley_Bookmark_0AtjJmJIRc"/>
      <w:r>
        <w:rPr>
          <w:rFonts w:ascii="Arial" w:hAnsi="Arial"/>
        </w:rPr>
        <w:t>(Chave 2004)</w:t>
      </w:r>
      <w:bookmarkEnd w:id="62"/>
      <w:bookmarkEnd w:id="63"/>
      <w:r>
        <w:rPr>
          <w:rFonts w:ascii="Arial" w:hAnsi="Arial"/>
        </w:rPr>
        <w:t xml:space="preserve">, but also by asymmetric dispersal abilities between organisms </w:t>
      </w:r>
      <w:bookmarkStart w:id="64" w:name="Mendeley_Bookmark_2059mnrnUR"/>
      <w:bookmarkStart w:id="65" w:name="Mendeley_Bookmark_Wdm9CgZppu"/>
      <w:r>
        <w:rPr>
          <w:rFonts w:ascii="Arial" w:hAnsi="Arial"/>
        </w:rPr>
        <w:t xml:space="preserve">(Salomon </w:t>
      </w:r>
      <w:r>
        <w:rPr>
          <w:rFonts w:ascii="Arial" w:hAnsi="Arial"/>
          <w:i/>
        </w:rPr>
        <w:t>et al.</w:t>
      </w:r>
      <w:r>
        <w:rPr>
          <w:rFonts w:ascii="Arial" w:hAnsi="Arial"/>
        </w:rPr>
        <w:t xml:space="preserve"> 2010; Liu &amp; Zhou 2011)</w:t>
      </w:r>
      <w:bookmarkEnd w:id="64"/>
      <w:bookmarkEnd w:id="65"/>
      <w:r>
        <w:rPr>
          <w:rFonts w:ascii="Arial" w:hAnsi="Arial"/>
        </w:rPr>
        <w:t xml:space="preserve">, thus violating the central tenet of neutral theory; that organisms are ecologically equivalent </w:t>
      </w:r>
      <w:bookmarkStart w:id="66" w:name="Mendeley_Bookmark_EC4m6aaUgF"/>
      <w:bookmarkStart w:id="67" w:name="Mendeley_Bookmark_oK0YtKVIqE"/>
      <w:r>
        <w:rPr>
          <w:rFonts w:ascii="Arial" w:hAnsi="Arial"/>
        </w:rPr>
        <w:t>(Hubbell 2001)</w:t>
      </w:r>
      <w:bookmarkEnd w:id="66"/>
      <w:bookmarkEnd w:id="67"/>
      <w:r>
        <w:rPr>
          <w:rFonts w:ascii="Arial" w:hAnsi="Arial"/>
        </w:rPr>
        <w:t xml:space="preserve">. Thus we suggest caution in attributing distance-decay relationships to either niche or neutral processes without further evidence, for example from examining species-abundance distributions </w:t>
      </w:r>
      <w:bookmarkStart w:id="68" w:name="Mendeley_Bookmark_GAlG8pJD7r"/>
      <w:bookmarkStart w:id="69" w:name="Mendeley_Bookmark_c785j0GBNg"/>
      <w:r>
        <w:rPr>
          <w:rFonts w:ascii="Arial" w:hAnsi="Arial"/>
        </w:rPr>
        <w:t xml:space="preserve">(e.g. Dumbrell </w:t>
      </w:r>
      <w:r>
        <w:rPr>
          <w:rFonts w:ascii="Arial" w:hAnsi="Arial"/>
          <w:i/>
        </w:rPr>
        <w:t>et al</w:t>
      </w:r>
      <w:r>
        <w:rPr>
          <w:rFonts w:ascii="Arial" w:hAnsi="Arial"/>
        </w:rPr>
        <w:t>. 2010)</w:t>
      </w:r>
      <w:bookmarkEnd w:id="68"/>
      <w:bookmarkEnd w:id="69"/>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70" w:name="Mendeley_Bookmark_oWrey5XdC0"/>
      <w:bookmarkStart w:id="71" w:name="Mendeley_Bookmark_XYW8Ipmi8P"/>
      <w:r>
        <w:rPr>
          <w:rFonts w:ascii="Arial" w:hAnsi="Arial"/>
        </w:rPr>
        <w:t>(Nekola &amp; White 1999)</w:t>
      </w:r>
      <w:bookmarkEnd w:id="70"/>
      <w:bookmarkEnd w:id="71"/>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72" w:name="Mendeley_Bookmark_IOem02q758"/>
      <w:bookmarkStart w:id="73" w:name="Mendeley_Bookmark_HcoD4C9Way"/>
      <w:r>
        <w:rPr>
          <w:rFonts w:ascii="Arial" w:hAnsi="Arial"/>
          <w:i/>
          <w:iCs/>
        </w:rPr>
        <w:t>(</w:t>
      </w:r>
      <w:r>
        <w:rPr>
          <w:rFonts w:ascii="Arial" w:hAnsi="Arial"/>
          <w:i w:val="false"/>
          <w:iCs w:val="false"/>
        </w:rPr>
        <w:t>Declerck et al. 2013; Vannette et al. 2016)</w:t>
      </w:r>
      <w:bookmarkEnd w:id="72"/>
      <w:bookmarkEnd w:id="73"/>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4" w:name="Mendeley_Bookmark_9BdIhI0932"/>
      <w:bookmarkStart w:id="75" w:name="Mendeley_Bookmark_cv0ZPfiVxB"/>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6" w:name="_GoBack"/>
      <w:bookmarkEnd w:id="76"/>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4"/>
      <w:bookmarkEnd w:id="75"/>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Application>LibreOffice/5.1.6.2$Linux_X86_64 LibreOffice_project/10m0$Build-2</Application>
  <Pages>28</Pages>
  <Words>7345</Words>
  <Characters>44000</Characters>
  <CharactersWithSpaces>51136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2017-10-23T17:52:29Z</dcterms:modified>
  <cp:revision>142</cp:revision>
  <dc:subject/>
  <dc:title/>
</cp:coreProperties>
</file>