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ind w:left="0" w:right="0" w:hanging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bookmarkStart w:id="0" w:name="docs-internal-guid-89a537fe-7fff-8693-c610-b2894cb5491a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Supplementary Information</w:t>
      </w:r>
    </w:p>
    <w:p>
      <w:pPr>
        <w:pStyle w:val="TextBody"/>
        <w:bidi w:val="0"/>
        <w:spacing w:lineRule="auto" w:line="288" w:before="0" w:after="0"/>
        <w:ind w:left="0" w:right="0" w:hanging="0"/>
        <w:jc w:val="left"/>
        <w:rPr/>
      </w:pPr>
      <w:bookmarkStart w:id="1" w:name="docs-internal-guid-4f885b6f-7fff-4238-59a6-b74b175feef3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Title: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What drives study-dependent differences in distance-decay relationships of microbial communities?</w:t>
      </w:r>
    </w:p>
    <w:p>
      <w:pPr>
        <w:pStyle w:val="TextBody"/>
        <w:bidi w:val="0"/>
        <w:spacing w:lineRule="auto" w:line="288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ind w:left="0" w:right="0" w:hanging="72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bidi w:val="0"/>
        <w:spacing w:lineRule="auto" w:line="480" w:before="240" w:after="0"/>
        <w:jc w:val="both"/>
        <w:rPr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/>
        <w:drawing>
          <wp:inline distT="0" distB="0" distL="0" distR="0">
            <wp:extent cx="5734050" cy="22479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480" w:before="240" w:after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Figure S1. (A) The number of distance-decay relationships obtained from each journal. Only journals with five or more distance-decay relationships are shown for clarity. (B) The cumulative total of suitable studies (circles) and distance-decay relationships (triangles) according to publication year.</w:t>
      </w:r>
    </w:p>
    <w:p>
      <w:pPr>
        <w:pStyle w:val="TextBody"/>
        <w:bidi w:val="0"/>
        <w:spacing w:lineRule="auto" w:line="480" w:before="240" w:after="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0060" cy="302006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F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igure S2. A comparison of the strength of microbial distance-decay relationships from studies conducted within single lakes compared to those across multiple lakes.</w:t>
      </w:r>
    </w:p>
    <w:p>
      <w:pPr>
        <w:pStyle w:val="TextBody"/>
        <w:bidi w:val="0"/>
        <w:spacing w:lineRule="auto" w:line="480" w:before="240" w:after="0"/>
        <w:jc w:val="both"/>
        <w:rPr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/>
        <w:drawing>
          <wp:inline distT="0" distB="0" distL="0" distR="0">
            <wp:extent cx="5734050" cy="35814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480" w:before="240" w:after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Figure S3. Mantel correlation coefficients of distance-decay relationships where the microbial community was characterised using molecular or morphological methods of varying resolution. High Mantel correlation coefficients indicate a stronger distance-decay relationship. Abbreviated molecular techniques are defined as follows: (TRFLP = Terminal Restriction Fragment Length Polymorphism; ARISA = Automated Ribosomal Intergenic Spacer Analysis; DGGE = Denaturing Gradient Gel Electrophoresis; PLFA = PhosphoLipid Fatty Acid analysis).</w:t>
      </w:r>
    </w:p>
    <w:p>
      <w:pPr>
        <w:pStyle w:val="Normal"/>
        <w:bidi w:val="0"/>
        <w:spacing w:lineRule="auto" w:line="480" w:before="240" w:after="0"/>
        <w:jc w:val="both"/>
        <w:rPr/>
      </w:pPr>
      <w:bookmarkStart w:id="2" w:name="docs-internal-guid-90fe0b1d-7fff-bef2-fe8d-88289404585b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Table S1. Metadata extracted from each study confirmed to be suitable for inclusion in this study. Data will be deposited to the Dryad data repository upon acceptance of this manuscript.</w:t>
      </w:r>
    </w:p>
    <w:p>
      <w:pPr>
        <w:pStyle w:val="Normal"/>
        <w:bidi w:val="0"/>
        <w:spacing w:lineRule="auto" w:line="480" w:before="240" w:after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Table S2. Full details of all statistical results obtained.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For categoric variables, likelihood ratio tests were used to assess the statistical significance of variables, and post-hoc Tukey HSD tests to identify significantly different groups. For continuous variables, Wald tests were used to assess the statistical significance of variables.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957"/>
        <w:gridCol w:w="1797"/>
        <w:gridCol w:w="1377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Model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Covariate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Coefficient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Test-statistic</w:t>
            </w: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Degrees of freedom</w:t>
            </w:r>
          </w:p>
          <w:p>
            <w:pPr>
              <w:pStyle w:val="TableContents"/>
              <w:rPr/>
            </w:pPr>
            <w:r>
              <w:rPr/>
              <w:t>(used, residual)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Explained variation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P-value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~ taxon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Taxon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F = 0.99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5, 441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</w:t>
            </w:r>
            <w:r>
              <w:rPr>
                <w:vertAlign w:val="superscript"/>
              </w:rPr>
              <w:t>2</w:t>
            </w:r>
            <w:r>
              <w:rPr>
                <w:position w:val="0"/>
                <w:sz w:val="24"/>
                <w:vertAlign w:val="baseline"/>
              </w:rPr>
              <w:t xml:space="preserve"> = 0.01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0.43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~ environment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Environment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F</w:t>
            </w:r>
            <w:r>
              <w:rPr>
                <w:i w:val="false"/>
                <w:iCs w:val="false"/>
              </w:rPr>
              <w:t xml:space="preserve"> = 3.1872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10, 432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R</w:t>
            </w:r>
            <w:r>
              <w:rPr>
                <w:i w:val="false"/>
                <w:iCs w:val="false"/>
                <w:vertAlign w:val="superscript"/>
              </w:rPr>
              <w:t>2</w:t>
            </w:r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 xml:space="preserve"> = 0.07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&lt; 0.001</w:t>
            </w:r>
          </w:p>
        </w:tc>
      </w:tr>
      <w:tr>
        <w:trPr/>
        <w:tc>
          <w:tcPr>
            <w:tcW w:w="1376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~ environment * habitat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Environment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F</w:t>
            </w:r>
            <w:r>
              <w:rPr>
                <w:i w:val="false"/>
                <w:iCs w:val="false"/>
              </w:rPr>
              <w:t xml:space="preserve"> = </w:t>
            </w:r>
            <w:r>
              <w:rPr>
                <w:i w:val="false"/>
                <w:iCs w:val="false"/>
              </w:rPr>
              <w:t>3.29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9, 420</w:t>
            </w:r>
          </w:p>
        </w:tc>
        <w:tc>
          <w:tcPr>
            <w:tcW w:w="179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R</w:t>
            </w:r>
            <w:r>
              <w:rPr>
                <w:i w:val="false"/>
                <w:iCs w:val="false"/>
                <w:vertAlign w:val="superscript"/>
              </w:rPr>
              <w:t xml:space="preserve">2 </w:t>
            </w:r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= 0.12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&lt; 0.001</w:t>
            </w:r>
          </w:p>
        </w:tc>
      </w:tr>
      <w:tr>
        <w:trPr/>
        <w:tc>
          <w:tcPr>
            <w:tcW w:w="137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Habitat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F</w:t>
            </w:r>
            <w:r>
              <w:rPr>
                <w:i w:val="false"/>
                <w:iCs w:val="false"/>
              </w:rPr>
              <w:t xml:space="preserve"> = </w:t>
            </w:r>
            <w:r>
              <w:rPr>
                <w:i w:val="false"/>
                <w:iCs w:val="false"/>
              </w:rPr>
              <w:t>6.65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3, 420</w:t>
            </w:r>
          </w:p>
        </w:tc>
        <w:tc>
          <w:tcPr>
            <w:tcW w:w="179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&lt; 0.001</w:t>
            </w:r>
          </w:p>
        </w:tc>
      </w:tr>
      <w:tr>
        <w:trPr/>
        <w:tc>
          <w:tcPr>
            <w:tcW w:w="137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Environment * Habitat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F</w:t>
            </w:r>
            <w:r>
              <w:rPr>
                <w:i w:val="false"/>
                <w:iCs w:val="false"/>
              </w:rPr>
              <w:t xml:space="preserve"> = </w:t>
            </w:r>
            <w:r>
              <w:rPr>
                <w:i w:val="false"/>
                <w:iCs w:val="false"/>
              </w:rPr>
              <w:t>1.93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4, 420</w:t>
            </w:r>
          </w:p>
        </w:tc>
        <w:tc>
          <w:tcPr>
            <w:tcW w:w="179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0.10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~ within/between lakes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within_lake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F</w:t>
            </w:r>
            <w:r>
              <w:rPr>
                <w:i w:val="false"/>
                <w:iCs w:val="false"/>
              </w:rPr>
              <w:t xml:space="preserve"> = 0.11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1, 74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i/>
                <w:iCs/>
              </w:rPr>
              <w:t>R</w:t>
            </w:r>
            <w:r>
              <w:rPr>
                <w:i w:val="false"/>
                <w:iCs w:val="false"/>
                <w:vertAlign w:val="superscript"/>
              </w:rPr>
              <w:t xml:space="preserve">2 </w:t>
            </w:r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 xml:space="preserve">= </w:t>
            </w:r>
            <w:r>
              <w:rPr/>
              <w:t>&lt; 0.01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0.743</w:t>
            </w:r>
          </w:p>
        </w:tc>
      </w:tr>
      <w:tr>
        <w:trPr/>
        <w:tc>
          <w:tcPr>
            <w:tcW w:w="1376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~ </w:t>
            </w:r>
            <w:r>
              <w:rPr/>
              <w:t>(random intercept | study) +</w:t>
            </w:r>
            <w:r>
              <w:rPr/>
              <w:t xml:space="preserve"> log</w:t>
            </w:r>
            <w:r>
              <w:rPr>
                <w:vertAlign w:val="subscript"/>
              </w:rPr>
              <w:t>10</w:t>
            </w:r>
            <w:r>
              <w:rPr>
                <w:position w:val="0"/>
                <w:sz w:val="24"/>
                <w:vertAlign w:val="baseline"/>
              </w:rPr>
              <w:t>(scale)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log</w:t>
            </w:r>
            <w:r>
              <w:rPr>
                <w:vertAlign w:val="subscript"/>
              </w:rPr>
              <w:t>10</w:t>
            </w:r>
            <w:r>
              <w:rPr>
                <w:position w:val="0"/>
                <w:sz w:val="24"/>
                <w:vertAlign w:val="baseline"/>
              </w:rPr>
              <w:t>(scale)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0.29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/>
                <w:iCs/>
              </w:rPr>
              <w:t>T</w:t>
            </w:r>
            <w:r>
              <w:rPr>
                <w:i w:val="false"/>
                <w:iCs w:val="false"/>
              </w:rPr>
              <w:t xml:space="preserve"> = </w:t>
            </w:r>
            <w:r>
              <w:rPr>
                <w:i w:val="false"/>
                <w:iCs w:val="false"/>
              </w:rPr>
              <w:t>8.47</w:t>
            </w:r>
          </w:p>
        </w:tc>
        <w:tc>
          <w:tcPr>
            <w:tcW w:w="95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1, </w:t>
            </w:r>
            <w:r>
              <w:rPr/>
              <w:t>435</w:t>
            </w:r>
          </w:p>
        </w:tc>
        <w:tc>
          <w:tcPr>
            <w:tcW w:w="179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Marginal </w:t>
            </w:r>
            <w:r>
              <w:rPr>
                <w:i/>
                <w:iCs/>
              </w:rPr>
              <w:t>R</w:t>
            </w:r>
            <w:r>
              <w:rPr>
                <w:i w:val="false"/>
                <w:iCs w:val="false"/>
                <w:vertAlign w:val="superscript"/>
              </w:rPr>
              <w:t xml:space="preserve">2 </w:t>
            </w:r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 xml:space="preserve">= </w:t>
            </w:r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0.02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Conditional</w:t>
            </w:r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 xml:space="preserve"> R</w:t>
            </w:r>
            <w:r>
              <w:rPr>
                <w:i w:val="false"/>
                <w:iCs w:val="false"/>
                <w:vertAlign w:val="superscript"/>
              </w:rPr>
              <w:t xml:space="preserve">2 </w:t>
            </w:r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= 0.48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&lt; 0.0001</w:t>
            </w:r>
          </w:p>
        </w:tc>
      </w:tr>
      <w:tr>
        <w:trPr/>
        <w:tc>
          <w:tcPr>
            <w:tcW w:w="137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Intercept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T</w:t>
            </w:r>
            <w:r>
              <w:rPr>
                <w:i w:val="false"/>
                <w:iCs w:val="false"/>
              </w:rPr>
              <w:t xml:space="preserve"> = </w:t>
            </w:r>
            <w:r>
              <w:rPr>
                <w:i w:val="false"/>
                <w:iCs w:val="false"/>
              </w:rPr>
              <w:t>1.58</w:t>
            </w:r>
          </w:p>
        </w:tc>
        <w:tc>
          <w:tcPr>
            <w:tcW w:w="95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9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0.11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~ resolution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Resolution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F</w:t>
            </w:r>
            <w:r>
              <w:rPr>
                <w:i w:val="false"/>
                <w:iCs w:val="false"/>
              </w:rPr>
              <w:t xml:space="preserve"> = 0.56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2, 449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&lt;0.01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0.57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~ method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Method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F</w:t>
            </w:r>
            <w:r>
              <w:rPr>
                <w:i w:val="false"/>
                <w:iCs w:val="false"/>
              </w:rPr>
              <w:t xml:space="preserve"> = 1.97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7, 437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0.06</w:t>
            </w:r>
          </w:p>
        </w:tc>
      </w:tr>
      <w:tr>
        <w:trPr/>
        <w:tc>
          <w:tcPr>
            <w:tcW w:w="1376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~ </w:t>
            </w:r>
            <w:r>
              <w:rPr/>
              <w:t>(random intercept | study) +</w:t>
            </w:r>
            <w:r>
              <w:rPr/>
              <w:t xml:space="preserve"> log</w:t>
            </w:r>
            <w:r>
              <w:rPr>
                <w:vertAlign w:val="subscript"/>
              </w:rPr>
              <w:t>10</w:t>
            </w:r>
            <w:r>
              <w:rPr>
                <w:position w:val="0"/>
                <w:sz w:val="24"/>
                <w:vertAlign w:val="baseline"/>
              </w:rPr>
              <w:t>(</w:t>
            </w:r>
            <w:r>
              <w:rPr>
                <w:position w:val="0"/>
                <w:sz w:val="24"/>
                <w:vertAlign w:val="baseline"/>
              </w:rPr>
              <w:t>community coverage)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Community coverage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T = 2.73</w:t>
            </w:r>
          </w:p>
        </w:tc>
        <w:tc>
          <w:tcPr>
            <w:tcW w:w="95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1, 337</w:t>
            </w:r>
          </w:p>
        </w:tc>
        <w:tc>
          <w:tcPr>
            <w:tcW w:w="179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Marginal </w:t>
            </w:r>
            <w:r>
              <w:rPr>
                <w:i/>
                <w:iCs/>
              </w:rPr>
              <w:t>R</w:t>
            </w:r>
            <w:r>
              <w:rPr>
                <w:i w:val="false"/>
                <w:iCs w:val="false"/>
                <w:vertAlign w:val="superscript"/>
              </w:rPr>
              <w:t xml:space="preserve">2 </w:t>
            </w:r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 xml:space="preserve">= </w:t>
            </w:r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0.0</w:t>
            </w:r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4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Conditional</w:t>
            </w:r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 xml:space="preserve"> R</w:t>
            </w:r>
            <w:r>
              <w:rPr>
                <w:i w:val="false"/>
                <w:iCs w:val="false"/>
                <w:vertAlign w:val="superscript"/>
              </w:rPr>
              <w:t xml:space="preserve">2 </w:t>
            </w:r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= 0.</w:t>
            </w:r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57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&lt; 0.01</w:t>
            </w:r>
          </w:p>
        </w:tc>
      </w:tr>
      <w:tr>
        <w:trPr/>
        <w:tc>
          <w:tcPr>
            <w:tcW w:w="137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Intercept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0.13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i/>
                <w:iCs/>
              </w:rPr>
              <w:t>T</w:t>
            </w:r>
            <w:r>
              <w:rPr/>
              <w:t xml:space="preserve"> = 1.55</w:t>
            </w:r>
          </w:p>
        </w:tc>
        <w:tc>
          <w:tcPr>
            <w:tcW w:w="95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9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0.12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~ similarity index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Similarity index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F</w:t>
            </w:r>
            <w:r>
              <w:rPr>
                <w:i w:val="false"/>
                <w:iCs w:val="false"/>
              </w:rPr>
              <w:t xml:space="preserve"> = 7.24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9, 424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R</w:t>
            </w:r>
            <w:r>
              <w:rPr>
                <w:i/>
                <w:iCs/>
                <w:vertAlign w:val="superscript"/>
              </w:rPr>
              <w:t>2</w:t>
            </w:r>
            <w:r>
              <w:rPr>
                <w:i/>
                <w:iCs/>
                <w:position w:val="0"/>
                <w:sz w:val="24"/>
                <w:vertAlign w:val="baseline"/>
              </w:rPr>
              <w:t xml:space="preserve"> = </w:t>
            </w:r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0.13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&lt; 0.001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~ correlation type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Correlation type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F</w:t>
            </w:r>
            <w:r>
              <w:rPr>
                <w:i w:val="false"/>
                <w:iCs w:val="false"/>
              </w:rPr>
              <w:t xml:space="preserve"> = 2.47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1, 146</w:t>
            </w:r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  <w:position w:val="0"/>
                <w:sz w:val="24"/>
                <w:vertAlign w:val="baseline"/>
              </w:rPr>
            </w:pPr>
            <w:r>
              <w:rPr>
                <w:i/>
                <w:iCs/>
                <w:position w:val="0"/>
                <w:sz w:val="24"/>
                <w:vertAlign w:val="baseline"/>
              </w:rPr>
              <w:t>R</w:t>
            </w:r>
            <w:r>
              <w:rPr>
                <w:i w:val="false"/>
                <w:iCs w:val="false"/>
                <w:vertAlign w:val="superscript"/>
              </w:rPr>
              <w:t>2</w:t>
            </w:r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 xml:space="preserve"> = 0.02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0.12</w:t>
            </w:r>
          </w:p>
        </w:tc>
      </w:tr>
    </w:tbl>
    <w:p>
      <w:pPr>
        <w:pStyle w:val="Normal"/>
        <w:bidi w:val="0"/>
        <w:spacing w:lineRule="auto" w:line="480" w:before="24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</w:t>
      </w:r>
    </w:p>
    <w:p>
      <w:pPr>
        <w:pStyle w:val="TextBody"/>
        <w:bidi w:val="0"/>
        <w:spacing w:lineRule="auto" w:line="480" w:before="24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spacing w:before="0" w:after="140"/>
        <w:rPr/>
      </w:pPr>
      <w:r>
        <w:rPr>
          <w:sz w:val="22"/>
          <w:szCs w:val="22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LibreOffice/5.1.6.2$Linux_X86_64 LibreOffice_project/10m0$Build-2</Application>
  <Pages>3</Pages>
  <Words>422</Words>
  <Characters>2262</Characters>
  <CharactersWithSpaces>2581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2020-07-13T16:21:53Z</dcterms:created>
  <dc:creator/>
  <dc:description/>
  <dc:language>en-GB</dc:language>
  <cp:lastModifiedBy/>
  <dcterms:modified xsi:type="dcterms:W3CDTF">2020-10-08T17:32:52Z</dcterms:modified>
  <cp:revision>5</cp:revision>
  <dc:subject/>
  <dc:title/>
</cp:coreProperties>
</file>