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ind w:left="0" w:right="0" w:hanging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bookmarkStart w:id="0" w:name="docs-internal-guid-89a537fe-7fff-8693-c610-b2894cb5491a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Supplementary Information</w:t>
      </w:r>
    </w:p>
    <w:p>
      <w:pPr>
        <w:pStyle w:val="TextBody"/>
        <w:bidi w:val="0"/>
        <w:spacing w:lineRule="auto" w:line="288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" w:name="docs-internal-guid-4f885b6f-7fff-4238-59a6-b74b175feef3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Title: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What drives study-dependent differences in distance-decay relationships of microbial communities?</w:t>
      </w:r>
    </w:p>
    <w:p>
      <w:pPr>
        <w:pStyle w:val="TextBody"/>
        <w:bidi w:val="0"/>
        <w:spacing w:lineRule="auto" w:line="288" w:before="0" w:after="0"/>
        <w:ind w:left="0" w:right="0" w:hanging="72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bidi w:val="0"/>
        <w:spacing w:lineRule="auto" w:line="480" w:before="240" w:after="0"/>
        <w:jc w:val="both"/>
        <w:rPr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/>
        <w:drawing>
          <wp:inline distT="0" distB="0" distL="0" distR="0">
            <wp:extent cx="5734050" cy="22479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480" w:before="24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Figure S1. (A) The number of distance-decay relationships obtained from each journal. Only journals with five or more distance-decay relationships are shown for clarity. (B) The cumulative total of suitable studies (circles) and distance-decay relationships (triangles) according to publication year.</w:t>
      </w:r>
    </w:p>
    <w:p>
      <w:pPr>
        <w:pStyle w:val="TextBody"/>
        <w:bidi w:val="0"/>
        <w:spacing w:lineRule="auto" w:line="480" w:before="240" w:after="0"/>
        <w:jc w:val="both"/>
        <w:rPr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/>
        <w:drawing>
          <wp:inline distT="0" distB="0" distL="0" distR="0">
            <wp:extent cx="5734050" cy="35814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480" w:before="24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Figure S2. Mantel correlation coefficients of distance-decay relationships where the microbial community was characterised using molecular or morphological methods of varying resolution. High Mantel correlation coefficients indicate a stronger distance-decay relationship. Abbreviated molecular techniques are defined as follows: (TRFLP = Terminal Restriction Fragment Length Polymorphism; ARISA = Automated Ribosomal Intergenic Spacer Analysis; DGGE = Denaturing Gradient Gel Electrophoresis; PLFA = PhosphoLipid Fatty Acid analysis).</w:t>
      </w:r>
    </w:p>
    <w:p>
      <w:pPr>
        <w:pStyle w:val="Normal"/>
        <w:bidi w:val="0"/>
        <w:spacing w:lineRule="auto" w:line="480" w:before="24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bookmarkStart w:id="2" w:name="docs-internal-guid-90fe0b1d-7fff-bef2-fe8d-88289404585b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Table S1. Metadata extracted from each study confirmed to be suitable for inclusion in this study. Data will be deposited to the Dryad data repository upon acceptance of this manuscript. </w:t>
      </w:r>
    </w:p>
    <w:p>
      <w:pPr>
        <w:pStyle w:val="TextBody"/>
        <w:bidi w:val="0"/>
        <w:spacing w:lineRule="auto" w:line="480" w:before="240" w:after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spacing w:before="0" w:after="140"/>
        <w:rPr/>
      </w:pPr>
      <w:r>
        <w:rPr>
          <w:sz w:val="22"/>
          <w:szCs w:val="22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147</Words>
  <Characters>1008</Characters>
  <CharactersWithSpaces>1152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2020-07-13T16:21:53Z</dcterms:created>
  <dc:creator/>
  <dc:description/>
  <dc:language>en-GB</dc:language>
  <cp:lastModifiedBy/>
  <dcterms:modified xsi:type="dcterms:W3CDTF">2020-07-13T17:15:39Z</dcterms:modified>
  <cp:revision>2</cp:revision>
  <dc:subject/>
  <dc:title/>
</cp:coreProperties>
</file>