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9.png" ContentType="image/png"/>
  <Override PartName="/word/media/rId33.png" ContentType="image/png"/>
  <Override PartName="/word/media/rId45.png" ContentType="image/png"/>
  <Override PartName="/word/media/rId37.png" ContentType="image/png"/>
  <Override PartName="/word/media/rId44.png" ContentType="image/png"/>
  <Override PartName="/word/media/rId31.png" ContentType="image/png"/>
  <Override PartName="/word/media/rId30.png" ContentType="image/png"/>
  <Override PartName="/word/media/rId29.png" ContentType="image/png"/>
  <Override PartName="/word/media/rId43.png" ContentType="image/png"/>
  <Override PartName="/word/media/rId48.png" ContentType="image/png"/>
  <Override PartName="/word/media/rId36.png" ContentType="image/png"/>
  <Override PartName="/word/media/rId42.png" ContentType="image/png"/>
  <Override PartName="/word/media/rId41.png" ContentType="image/png"/>
  <Override PartName="/word/media/rId35.png" ContentType="image/png"/>
  <Override PartName="/word/media/rId32.png" ContentType="image/png"/>
  <Override PartName="/word/media/rId40.png" ContentType="image/png"/>
  <Override PartName="/word/media/rId4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Haddock</w:t>
      </w:r>
      <w:r>
        <w:t xml:space="preserve"> </w:t>
      </w:r>
      <w:r>
        <w:t xml:space="preserve">S-R</w:t>
      </w:r>
      <w:r>
        <w:t xml:space="preserve"> </w:t>
      </w:r>
      <w:r>
        <w:t xml:space="preserve">models</w:t>
      </w:r>
    </w:p>
    <w:p>
      <w:pPr>
        <w:pStyle w:val="Author"/>
      </w:pPr>
      <w:r>
        <w:t xml:space="preserve">David</w:t>
      </w:r>
      <w:r>
        <w:t xml:space="preserve"> </w:t>
      </w:r>
      <w:r>
        <w:t xml:space="preserve">Keith</w:t>
      </w:r>
    </w:p>
    <w:p>
      <w:pPr>
        <w:pStyle w:val="Date"/>
      </w:pPr>
      <w:r>
        <w:t xml:space="preserve">11/14/2021</w:t>
      </w:r>
    </w:p>
    <w:bookmarkStart w:id="23" w:name="methods"/>
    <w:p>
      <w:pPr>
        <w:pStyle w:val="Heading1"/>
      </w:pPr>
      <w:r>
        <w:t xml:space="preserve">Methods</w:t>
      </w:r>
    </w:p>
    <w:bookmarkStart w:id="21" w:name="data"/>
    <w:p>
      <w:pPr>
        <w:pStyle w:val="Heading2"/>
      </w:pPr>
      <w:r>
        <w:t xml:space="preserve">Data</w:t>
      </w:r>
    </w:p>
    <w:p>
      <w:pPr>
        <w:pStyle w:val="FirstParagraph"/>
      </w:pPr>
      <w:r>
        <w:t xml:space="preserve">We compiled time series of recruitment (R) and spawning stock biomass (SSB) of sympatric cod and haddock stocks from the most recently available, age structured assessments conducted by the International Exploration of the Seas (ICES), Fisheries and Oceans Canada (DFO) and the National Marine Fisheries Service (NMFS). These stock pairs were from the same geographic areas that were evaluated by Fogarty et al (2001); we also added one additional area - the Irish Sea (Table 1). The West of Scotland region which was part of the original analysis by Fogarty et al. (2001) was excluded from our analysis, since haddock West of Scotland is no longer assessed as a separate stock, but instead is now assessed as part of the larger North Sea stock.</w:t>
      </w:r>
    </w:p>
    <w:p>
      <w:pPr>
        <w:pStyle w:val="BodyText"/>
      </w:pPr>
      <w:r>
        <w:t xml:space="preserve">The 2021 ICES advice web site (</w:t>
      </w:r>
      <w:hyperlink r:id="rId20">
        <w:r>
          <w:rPr>
            <w:rStyle w:val="Hyperlink"/>
          </w:rPr>
          <w:t xml:space="preserve">https://www.ices.dk/advice/Pages/Latest-Advice.aspx</w:t>
        </w:r>
      </w:hyperlink>
      <w:r>
        <w:t xml:space="preserve">), was used to access recruitment and SSB data for the Northeast Atlantic stocks except for the Faroese stock (2020 ICES advice). Regional stock and recruitment data for the Northwest Atlantic stocks of cod were obtained from the following sources: Div. 4VsW (Mohn and Swain 2012), Div. 4X5Y (DFO 2019), Eastern Georges Bank (Wang et al. 2015). For the NW Atlantic stocks of haddock the sources were: Div. 4VW (Mohn and Simon 2002), Div. 4X5Y (Wang et al. 2017), Eastern Georges Bank (Stone et al. 2015). The cod and haddock stocks resident on the Eastern Scotian Shelf (Div. 4VW) collapsed in the earlier 1990s. They were placed under a moratorium and are no longer regularly assessed (Table 1), despite supporting large scale fisheries in the past and showing recent improvements in biomass.</w:t>
      </w:r>
    </w:p>
    <w:p>
      <w:pPr>
        <w:pStyle w:val="BodyText"/>
      </w:pPr>
      <w:r>
        <w:t xml:space="preserve">In this analysis we focus on within region comparisons of the cod and haddock stocks (Table 1). The age at recruitment differs among regions and in some cases, age at recruitment differs within species within regions. Fogarty et al (2001) standardized recruitment of all stocks to age 1, but because we focused only on within region comparisons, the stocks were standardized within regions when age at recruitment differed. An instantaneous natural mortality rate of 0.2 was assumed for this standardization and no stock was adjusted more than 1 year. Recruitment estimates for the North Sea and Irish Sea haddock stocks were given as age 0 and were subsequently adjusted to age 1 to match the cod stocks overlapping in these areas. The recruit estimates for Icelandic Cod were given as age 3 and were adjusted to age 2, under the assumed natural mortality of 0.2, to match the recruitment age for the haddock stock in this region.</w:t>
      </w:r>
    </w:p>
    <w:bookmarkEnd w:id="21"/>
    <w:bookmarkStart w:id="22" w:name="analysis"/>
    <w:p>
      <w:pPr>
        <w:pStyle w:val="Heading2"/>
      </w:pPr>
      <w:r>
        <w:t xml:space="preserve">Analysis</w:t>
      </w:r>
    </w:p>
    <w:p>
      <w:pPr>
        <w:pStyle w:val="FirstParagraph"/>
      </w:pPr>
      <w:r>
        <w:t xml:space="preserve">Following the same approach as Fogarty et al (2001), recruitment variability was assessed using a Ricker stock recruitment model (Supplement Figure S1 and S2). The Ricker model was linearized to:</w:t>
      </w:r>
    </w:p>
    <w:p>
      <w:pPr>
        <w:pStyle w:val="BodyText"/>
      </w:pPr>
      <m:oMathPara>
        <m:oMathParaPr>
          <m:jc m:val="center"/>
        </m:oMathParaPr>
        <m:oMath>
          <m:r>
            <m:t>l</m:t>
          </m:r>
          <m:r>
            <m:t>o</m:t>
          </m:r>
          <m:r>
            <m:t>g</m:t>
          </m:r>
          <m:r>
            <m:rPr>
              <m:sty m:val="p"/>
            </m:rPr>
            <m:t>(</m:t>
          </m:r>
          <m:f>
            <m:fPr>
              <m:type m:val="bar"/>
            </m:fPr>
            <m:num>
              <m:r>
                <m:t>R</m:t>
              </m:r>
            </m:num>
            <m:den>
              <m:r>
                <m:t>S</m:t>
              </m:r>
              <m:r>
                <m:t>S</m:t>
              </m:r>
              <m:r>
                <m:t>B</m:t>
              </m:r>
            </m:den>
          </m:f>
          <m:r>
            <m:rPr>
              <m:sty m:val="p"/>
            </m:rPr>
            <m:t>)</m:t>
          </m:r>
          <m:r>
            <m:rPr>
              <m:sty m:val="p"/>
            </m:rPr>
            <m:t>=</m:t>
          </m:r>
          <m:r>
            <m:t>l</m:t>
          </m:r>
          <m:r>
            <m:t>o</m:t>
          </m:r>
          <m:r>
            <m:t>g</m:t>
          </m:r>
          <m:r>
            <m:rPr>
              <m:sty m:val="p"/>
            </m:rPr>
            <m:t>(</m:t>
          </m:r>
          <m:r>
            <m:t>a</m:t>
          </m:r>
          <m:r>
            <m:rPr>
              <m:sty m:val="p"/>
            </m:rPr>
            <m:t>)</m:t>
          </m:r>
          <m:r>
            <m:rPr>
              <m:sty m:val="p"/>
            </m:rPr>
            <m:t>+</m:t>
          </m:r>
          <m:r>
            <m:t>b</m:t>
          </m:r>
          <m:r>
            <m:rPr>
              <m:sty m:val="p"/>
            </m:rPr>
            <m:t>×</m:t>
          </m:r>
          <m:r>
            <m:t>l</m:t>
          </m:r>
          <m:r>
            <m:t>o</m:t>
          </m:r>
          <m:r>
            <m:t>g</m:t>
          </m:r>
          <m:r>
            <m:rPr>
              <m:sty m:val="p"/>
            </m:rPr>
            <m:t>(</m:t>
          </m:r>
          <m:r>
            <m:t>S</m:t>
          </m:r>
          <m:r>
            <m:t>S</m:t>
          </m:r>
          <m:r>
            <m:t>B</m:t>
          </m:r>
          <m:r>
            <m:rPr>
              <m:sty m:val="p"/>
            </m:rPr>
            <m:t>)</m:t>
          </m:r>
          <m:r>
            <m:rPr>
              <m:sty m:val="p"/>
            </m:rPr>
            <m:t>+</m:t>
          </m:r>
          <m:sSub>
            <m:e>
              <m:r>
                <m:t>ϵ</m:t>
              </m:r>
            </m:e>
            <m:sub>
              <m:r>
                <m:t>i</m:t>
              </m:r>
            </m:sub>
          </m:sSub>
          <m:r>
            <m:rPr>
              <m:sty m:val="p"/>
            </m:rPr>
            <m:t>)</m:t>
          </m:r>
        </m:oMath>
      </m:oMathPara>
    </w:p>
    <w:p>
      <w:pPr>
        <w:pStyle w:val="FirstParagraph"/>
      </w:pPr>
      <w:r>
        <w:rPr>
          <w:iCs/>
          <w:i/>
        </w:rPr>
        <w:t xml:space="preserve">R</w:t>
      </w:r>
      <w:r>
        <w:t xml:space="preserve"> </w:t>
      </w:r>
      <w:r>
        <w:t xml:space="preserve">is the number of recruits and</w:t>
      </w:r>
      <w:r>
        <w:t xml:space="preserve"> </w:t>
      </w:r>
      <w:r>
        <w:rPr>
          <w:iCs/>
          <w:i/>
        </w:rPr>
        <w:t xml:space="preserve">SSB</w:t>
      </w:r>
      <w:r>
        <w:t xml:space="preserve"> </w:t>
      </w:r>
      <w:r>
        <w:t xml:space="preserve">is the spawning stock biomass in the birth year of the recruits. The parameter</w:t>
      </w:r>
      <w:r>
        <w:t xml:space="preserve"> </w:t>
      </w:r>
      <w:r>
        <w:rPr>
          <w:iCs/>
          <w:i/>
        </w:rPr>
        <w:t xml:space="preserve">a</w:t>
      </w:r>
      <w:r>
        <w:t xml:space="preserve"> </w:t>
      </w:r>
      <w:r>
        <w:t xml:space="preserve">is the intercept of the relationship on a log scale and is commonly referred to as the steepness parameter which provides an estimate of the number of recruits produced at low</w:t>
      </w:r>
      <w:r>
        <w:t xml:space="preserve"> </w:t>
      </w:r>
      <w:r>
        <w:rPr>
          <w:iCs/>
          <w:i/>
        </w:rPr>
        <w:t xml:space="preserve">SSB</w:t>
      </w:r>
      <w:r>
        <w:t xml:space="preserve">. The parameter</w:t>
      </w:r>
      <w:r>
        <w:t xml:space="preserve"> </w:t>
      </w:r>
      <w:r>
        <w:rPr>
          <w:iCs/>
          <w:i/>
        </w:rPr>
        <w:t xml:space="preserve">b</w:t>
      </w:r>
      <w:r>
        <w:t xml:space="preserve"> </w:t>
      </w:r>
      <w:r>
        <w:t xml:space="preserve">controls the location of the inflection point of the Ricker model and the error term in the model is represented by</w:t>
      </w:r>
      <w:r>
        <w:t xml:space="preserve"> </w:t>
      </w:r>
      <m:oMath>
        <m:sSub>
          <m:e>
            <m:r>
              <m:t>ϵ</m:t>
            </m:r>
          </m:e>
          <m:sub>
            <m:r>
              <m:t>i</m:t>
            </m:r>
          </m:sub>
        </m:sSub>
      </m:oMath>
      <w:r>
        <w:t xml:space="preserve">, which we have assumed to be normally distributed. The standard deviation of the residuals from this model was used as one of our metrics of recruitment variability.</w:t>
      </w:r>
    </w:p>
    <w:p>
      <w:pPr>
        <w:pStyle w:val="BodyText"/>
      </w:pPr>
      <w:r>
        <w:t xml:space="preserve">Given that there is often a great deal of uncertainty in the fitting of theoretical stock and recruitment relationships to data, we also quantified recruitment variability using a</w:t>
      </w:r>
      <w:r>
        <w:t xml:space="preserve"> </w:t>
      </w:r>
      <w:r>
        <w:rPr>
          <w:iCs/>
          <w:i/>
        </w:rPr>
        <w:t xml:space="preserve">model-free</w:t>
      </w:r>
      <w:r>
        <w:t xml:space="preserve"> </w:t>
      </w:r>
      <w:r>
        <w:t xml:space="preserve">approach using Generalized Additive Models (GAMS) which removed trends, potentially resulting from</w:t>
      </w:r>
      <w:r>
        <w:t xml:space="preserve"> </w:t>
      </w:r>
      <w:r>
        <w:rPr>
          <w:iCs/>
          <w:i/>
        </w:rPr>
        <w:t xml:space="preserve">SSB</w:t>
      </w:r>
      <w:r>
        <w:t xml:space="preserve">, from the recruitment time series (on the log scale) for each stock (Supplement Figure S3). The standard deviation of the residuals from this model was used as one of our metrics of recruitment variability.</w:t>
      </w:r>
    </w:p>
    <w:p>
      <w:pPr>
        <w:pStyle w:val="BodyText"/>
      </w:pPr>
      <w:r>
        <w:t xml:space="preserve">We chose to separate the analysis of the</w:t>
      </w:r>
      <w:r>
        <w:t xml:space="preserve"> </w:t>
      </w:r>
      <w:r>
        <w:rPr>
          <w:iCs/>
          <w:i/>
        </w:rPr>
        <w:t xml:space="preserve">SSB</w:t>
      </w:r>
      <w:r>
        <w:t xml:space="preserve"> </w:t>
      </w:r>
      <w:r>
        <w:t xml:space="preserve">and</w:t>
      </w:r>
      <w:r>
        <w:t xml:space="preserve"> </w:t>
      </w:r>
      <w:r>
        <w:rPr>
          <w:iCs/>
          <w:i/>
        </w:rPr>
        <w:t xml:space="preserve">R</w:t>
      </w:r>
      <w:r>
        <w:t xml:space="preserve"> </w:t>
      </w:r>
      <w:r>
        <w:t xml:space="preserve">time series into two periods to facilitate a comparison with the results obtained by Fogarty et al. (2001) and to assess the possibility that there were differences in the observed patterns during the most recent time period. Hence, the time series were split into a</w:t>
      </w:r>
      <w:r>
        <w:t xml:space="preserve"> </w:t>
      </w:r>
      <w:r>
        <w:rPr>
          <w:iCs/>
          <w:i/>
        </w:rPr>
        <w:t xml:space="preserve">Pre 1993</w:t>
      </w:r>
      <w:r>
        <w:t xml:space="preserve"> </w:t>
      </w:r>
      <w:r>
        <w:t xml:space="preserve">(years prior to and including 1992) period and a</w:t>
      </w:r>
      <w:r>
        <w:t xml:space="preserve"> </w:t>
      </w:r>
      <w:r>
        <w:rPr>
          <w:iCs/>
          <w:i/>
        </w:rPr>
        <w:t xml:space="preserve">Recent</w:t>
      </w:r>
      <w:r>
        <w:t xml:space="preserve"> </w:t>
      </w:r>
      <w:r>
        <w:t xml:space="preserve">period (1993-end of time series). In addition to facilitating a direct comparison with Fogarty et al. (2001), the early 1990s marked a point in time when many of the NW Atlantic stocks of cod and haddock either collapsed or reached a historical minimum (Shackell and Frank 2007, Frank et al. 2016).</w:t>
      </w:r>
    </w:p>
    <w:p>
      <w:pPr>
        <w:pStyle w:val="BodyText"/>
      </w:pPr>
      <w:r>
        <w:t xml:space="preserve">The steepness parameter in the Ricker stock and recruitment model (e.g. Wiff et 2018, Lowerre-Barbieri et al 2017) is an estimate of the number of recruits produced per unit SSB at low SSB levels. It is considered an indicator of a stock’s ability to recover from collapse/depletion and was evaluated for each stock. Because of our concerns regarding the fitting of theoretical models to our data, we have also estimated steepness directly from the data by calculating the average R/SSB at low SSB levels where low SSB values were considered to 40% of the maximum SSB value in the time series.</w:t>
      </w:r>
    </w:p>
    <w:p>
      <w:pPr>
        <w:pStyle w:val="BodyText"/>
      </w:pPr>
      <w:r>
        <w:t xml:space="preserve">We also quantified temporal autocorrelation in the recruitment residuals from both the Ricker and GAM models in keeping with the various lines of inquiry initiated by Fogarty et al. (2001). The existence of significant negative autocorrelation implies inter-cohort intraspecific competition and/or cannibalism, whereas positive autocorrelation suggests persistent environmental forcing may be operative (Ricard et al 2016). This analysis was conducted to determine if there were species-specific patterns that would explain difference is the magnitude of residual variability between the two species.</w:t>
      </w:r>
    </w:p>
    <w:p>
      <w:pPr>
        <w:pStyle w:val="BodyText"/>
      </w:pPr>
      <w:r>
        <w:t xml:space="preserve">Finally, we estimated the temporal correlation of the recruitment residuals between cod and haddock stocks within each region in each period. A positive correlation may imply that the two species are responding to environmental drivers in the same way whereas a negative correlation would suggest that interspecific competition, predation or that environmental drivers act to produce contrasting species-specific effects. Finally, we investigated whether or not the correlation between recruitment of sympatric stocks changed over time (e.g. Bogstad et al 2013 for Barents Sea cod and haddock). Significant differences in the correlation of the recruitment residuals between the stocks in each period would be indicative of such a shift.</w:t>
      </w:r>
    </w:p>
    <w:bookmarkEnd w:id="22"/>
    <w:bookmarkEnd w:id="23"/>
    <w:bookmarkStart w:id="27" w:name="results"/>
    <w:p>
      <w:pPr>
        <w:pStyle w:val="Heading1"/>
      </w:pPr>
      <w:r>
        <w:t xml:space="preserve">Results</w:t>
      </w:r>
    </w:p>
    <w:bookmarkStart w:id="24" w:name="input-data"/>
    <w:p>
      <w:pPr>
        <w:pStyle w:val="Heading2"/>
      </w:pPr>
      <w:r>
        <w:t xml:space="preserve">Input Data</w:t>
      </w:r>
    </w:p>
    <w:p>
      <w:pPr>
        <w:pStyle w:val="FirstParagraph"/>
      </w:pPr>
      <w:r>
        <w:t xml:space="preserve">The SSB and R time series were generally longer for the NE Atlantic stocks in comparison to the available data for the NW Atlantic stocks, attributable in part to earlier start time of the NE series (Table 1). The year SSB reached its minimum observed level did not show any particular pattern with the possible exception of three regions (Iceland, Barents Sea, and North Sea) where minima occurred prior to the 1990s (with the exception of North Sea cod). There was no pattern in the year of maximum SSB which ranged as early as 1955 for Icelandic cod to 2013 for cod and haddock in the Barents Sea and 2018 for Irish Sea haddock. Variability in SSB, based on the ratio of the maximum to minimum observed values in the time series, was lowest among the NE Atlantic haddock stocks (range: 4.4 – 10.7), followed by NE Atlantic cod stocks (range: 6.3 – 20.9), NW Atlantic haddock stocks (range: 3.1 – 25.2) and NW Atlantic cod stocks (range: 10 - 39). Myers et al. (ref needed) have argued that poor fits of theoretical stock and recruitment relationships often arise due to the low dynamic range of observations so one might expect that relatively stronger S-R relationships will be evident among the NW Atlantic stocks. The Ricker models explained only 27% of the variance between recruits and SSB on average, with no significant difference observed between the Species, Regions, or the Period (Table 2).</w:t>
      </w:r>
    </w:p>
    <w:p>
      <w:pPr>
        <w:pStyle w:val="BodyText"/>
      </w:pPr>
      <w:r>
        <w:t xml:space="preserve">In nearly every region, the standard deviation of the log10 transformed recruitment series was higher for haddock than for cod (Table 1) suggesting the patterns were robust to the varying time series length and range of variation in SSB. The pattern is also broadly supportive of the finding by Fogarty et al. (2001) regarding higher recruitment variability among co-occurring stocks of haddock and cod, although no adjustments were made to account for the potential influence of spawning stock biomass differences among the two species with regions.</w:t>
      </w:r>
    </w:p>
    <w:p>
      <w:pPr>
        <w:pStyle w:val="BodyText"/>
      </w:pPr>
      <w:r>
        <w:t xml:space="preserve">R and SSB Time Trends</w:t>
      </w:r>
    </w:p>
    <w:p>
      <w:pPr>
        <w:pStyle w:val="BodyText"/>
      </w:pPr>
      <w:r>
        <w:t xml:space="preserve">For cod across all regions, the recruit numbers in the</w:t>
      </w:r>
      <w:r>
        <w:t xml:space="preserve"> </w:t>
      </w:r>
      <w:r>
        <w:rPr>
          <w:iCs/>
          <w:i/>
        </w:rPr>
        <w:t xml:space="preserve">Recent</w:t>
      </w:r>
      <w:r>
        <w:t xml:space="preserve"> </w:t>
      </w:r>
      <w:r>
        <w:t xml:space="preserve">period were on average 58% lower than the</w:t>
      </w:r>
      <w:r>
        <w:t xml:space="preserve"> </w:t>
      </w:r>
      <w:r>
        <w:rPr>
          <w:iCs/>
          <w:i/>
        </w:rPr>
        <w:t xml:space="preserve">Pre 1993</w:t>
      </w:r>
      <w:r>
        <w:t xml:space="preserve"> </w:t>
      </w:r>
      <w:r>
        <w:t xml:space="preserve">period, in the Northeast Atlantic the decline was 49 while in the Northwest Atlantic this decline was more pronounced with declines in recruit numbers averaging 73% (Figures</w:t>
      </w:r>
      <w:r>
        <w:t xml:space="preserve"> </w:t>
      </w:r>
      <w:r>
        <w:t xml:space="preserve">2</w:t>
      </w:r>
      <w:r>
        <w:t xml:space="preserve"> </w:t>
      </w:r>
      <w:r>
        <w:t xml:space="preserve">-</w:t>
      </w:r>
      <w:r>
        <w:t xml:space="preserve"> </w:t>
      </w:r>
      <w:r>
        <w:t xml:space="preserve">8</w:t>
      </w:r>
      <w:r>
        <w:t xml:space="preserve">). Similarly, the</w:t>
      </w:r>
      <w:r>
        <w:t xml:space="preserve"> </w:t>
      </w:r>
      <w:r>
        <w:rPr>
          <w:iCs/>
          <w:i/>
        </w:rPr>
        <w:t xml:space="preserve">SSB</w:t>
      </w:r>
      <w:r>
        <w:t xml:space="preserve"> </w:t>
      </w:r>
      <w:r>
        <w:t xml:space="preserve">for Atlantic Cod declined in the</w:t>
      </w:r>
      <w:r>
        <w:t xml:space="preserve"> </w:t>
      </w:r>
      <w:r>
        <w:rPr>
          <w:iCs/>
          <w:i/>
        </w:rPr>
        <w:t xml:space="preserve">Recent</w:t>
      </w:r>
      <w:r>
        <w:t xml:space="preserve"> </w:t>
      </w:r>
      <w:r>
        <w:t xml:space="preserve">period by 35% across all regions, which was again driven by the Northwest Atlantic stocks where declines in</w:t>
      </w:r>
      <w:r>
        <w:t xml:space="preserve"> </w:t>
      </w:r>
      <w:r>
        <w:rPr>
          <w:iCs/>
          <w:i/>
        </w:rPr>
        <w:t xml:space="preserve">SSB</w:t>
      </w:r>
      <w:r>
        <w:t xml:space="preserve"> </w:t>
      </w:r>
      <w:r>
        <w:t xml:space="preserve">averaged 72% in the</w:t>
      </w:r>
      <w:r>
        <w:t xml:space="preserve"> </w:t>
      </w:r>
      <w:r>
        <w:rPr>
          <w:iCs/>
          <w:i/>
        </w:rPr>
        <w:t xml:space="preserve">Recent</w:t>
      </w:r>
      <w:r>
        <w:t xml:space="preserve"> </w:t>
      </w:r>
      <w:r>
        <w:t xml:space="preserve">period, the declines for the Northeast Atlantic stocks averaged 13% (Figures</w:t>
      </w:r>
      <w:r>
        <w:t xml:space="preserve"> </w:t>
      </w:r>
      <w:r>
        <w:t xml:space="preserve">2</w:t>
      </w:r>
      <w:r>
        <w:t xml:space="preserve"> </w:t>
      </w:r>
      <w:r>
        <w:t xml:space="preserve">-</w:t>
      </w:r>
      <w:r>
        <w:t xml:space="preserve"> </w:t>
      </w:r>
      <w:r>
        <w:t xml:space="preserve">8</w:t>
      </w:r>
      <w:r>
        <w:t xml:space="preserve">).</w:t>
      </w:r>
    </w:p>
    <w:p>
      <w:pPr>
        <w:pStyle w:val="BodyText"/>
      </w:pPr>
      <w:r>
        <w:t xml:space="preserve">For haddock across all regions, the recruit numbers increased in the</w:t>
      </w:r>
      <w:r>
        <w:t xml:space="preserve"> </w:t>
      </w:r>
      <w:r>
        <w:rPr>
          <w:iCs/>
          <w:i/>
        </w:rPr>
        <w:t xml:space="preserve">Recent</w:t>
      </w:r>
      <w:r>
        <w:t xml:space="preserve"> </w:t>
      </w:r>
      <w:r>
        <w:t xml:space="preserve">period by 50% relative to the</w:t>
      </w:r>
      <w:r>
        <w:t xml:space="preserve"> </w:t>
      </w:r>
      <w:r>
        <w:rPr>
          <w:iCs/>
          <w:i/>
        </w:rPr>
        <w:t xml:space="preserve">Pre 1993</w:t>
      </w:r>
      <w:r>
        <w:t xml:space="preserve"> </w:t>
      </w:r>
      <w:r>
        <w:t xml:space="preserve">period, in the Northeast Atlantic there was no difference in the aveage recruitment numbers between the two perios, while in the Northwest Atlantic the recruit numbers averaged 110% higher in the</w:t>
      </w:r>
      <w:r>
        <w:t xml:space="preserve"> </w:t>
      </w:r>
      <w:r>
        <w:rPr>
          <w:iCs/>
          <w:i/>
        </w:rPr>
        <w:t xml:space="preserve">Recent</w:t>
      </w:r>
      <w:r>
        <w:t xml:space="preserve"> </w:t>
      </w:r>
      <w:r>
        <w:t xml:space="preserve">period (Figures</w:t>
      </w:r>
      <w:r>
        <w:t xml:space="preserve"> </w:t>
      </w:r>
      <w:r>
        <w:t xml:space="preserve">2</w:t>
      </w:r>
      <w:r>
        <w:t xml:space="preserve"> </w:t>
      </w:r>
      <w:r>
        <w:t xml:space="preserve">-</w:t>
      </w:r>
      <w:r>
        <w:t xml:space="preserve"> </w:t>
      </w:r>
      <w:r>
        <w:t xml:space="preserve">8</w:t>
      </w:r>
      <w:r>
        <w:t xml:space="preserve">). Similarly, the</w:t>
      </w:r>
      <w:r>
        <w:t xml:space="preserve"> </w:t>
      </w:r>
      <w:r>
        <w:rPr>
          <w:iCs/>
          <w:i/>
        </w:rPr>
        <w:t xml:space="preserve">SSB</w:t>
      </w:r>
      <w:r>
        <w:t xml:space="preserve"> </w:t>
      </w:r>
      <w:r>
        <w:t xml:space="preserve">for Haddock increased in the</w:t>
      </w:r>
      <w:r>
        <w:t xml:space="preserve"> </w:t>
      </w:r>
      <w:r>
        <w:rPr>
          <w:iCs/>
          <w:i/>
        </w:rPr>
        <w:t xml:space="preserve">Recent</w:t>
      </w:r>
      <w:r>
        <w:t xml:space="preserve"> </w:t>
      </w:r>
      <w:r>
        <w:t xml:space="preserve">period by 20%, with the increase in</w:t>
      </w:r>
      <w:r>
        <w:t xml:space="preserve"> </w:t>
      </w:r>
      <w:r>
        <w:rPr>
          <w:iCs/>
          <w:i/>
        </w:rPr>
        <w:t xml:space="preserve">SSB</w:t>
      </w:r>
      <w:r>
        <w:t xml:space="preserve"> </w:t>
      </w:r>
      <w:r>
        <w:t xml:space="preserve">higher for the Northwest Atlantic stocks (40%) than the Northeast Atlantic stocks(10%).</w:t>
      </w:r>
    </w:p>
    <w:bookmarkEnd w:id="24"/>
    <w:bookmarkStart w:id="25" w:name="recruitment-residuals"/>
    <w:p>
      <w:pPr>
        <w:pStyle w:val="Heading2"/>
      </w:pPr>
      <w:r>
        <w:t xml:space="preserve">Recruitment residuals</w:t>
      </w:r>
    </w:p>
    <w:p>
      <w:pPr>
        <w:pStyle w:val="FirstParagraph"/>
      </w:pPr>
      <w:r>
        <w:t xml:space="preserve">The results of the analysis using the standard deviation of the recruitment residuals from the Ricker Stock Recruitment models and the GAM models both indicated that recruitment variability was larger for Haddock than for Atlantic Cod (Table 2). The standard deviation of the recruitment residuals were on average 80% higher (Ricker model residuals) for the Haddock Stocks in the</w:t>
      </w:r>
      <w:r>
        <w:t xml:space="preserve"> </w:t>
      </w:r>
      <w:r>
        <w:rPr>
          <w:iCs/>
          <w:i/>
        </w:rPr>
        <w:t xml:space="preserve">Pre 1993</w:t>
      </w:r>
      <w:r>
        <w:t xml:space="preserve"> </w:t>
      </w:r>
      <w:r>
        <w:t xml:space="preserve">period than the Atlantic Cod stocks (Figures</w:t>
      </w:r>
      <w:r>
        <w:t xml:space="preserve"> </w:t>
      </w:r>
      <w:r>
        <w:t xml:space="preserve">4</w:t>
      </w:r>
      <w:r>
        <w:t xml:space="preserve">,</w:t>
      </w:r>
      <w:r>
        <w:t xml:space="preserve"> </w:t>
      </w:r>
      <w:r>
        <w:t xml:space="preserve">7</w:t>
      </w:r>
      <w:r>
        <w:t xml:space="preserve">, and Table 2). In the</w:t>
      </w:r>
      <w:r>
        <w:t xml:space="preserve"> </w:t>
      </w:r>
      <w:r>
        <w:rPr>
          <w:iCs/>
          <w:i/>
        </w:rPr>
        <w:t xml:space="preserve">Recent</w:t>
      </w:r>
      <w:r>
        <w:t xml:space="preserve"> </w:t>
      </w:r>
      <w:r>
        <w:t xml:space="preserve">Period, the standard deviation of the recruitment residuals were on average 70% higher (Ricker model residuals) for the Haddock Stocks than the Atlantic Cod stocks (Figures</w:t>
      </w:r>
      <w:r>
        <w:t xml:space="preserve"> </w:t>
      </w:r>
      <w:r>
        <w:t xml:space="preserve">4</w:t>
      </w:r>
      <w:r>
        <w:t xml:space="preserve">,</w:t>
      </w:r>
      <w:r>
        <w:t xml:space="preserve"> </w:t>
      </w:r>
      <w:r>
        <w:t xml:space="preserve">7</w:t>
      </w:r>
      <w:r>
        <w:t xml:space="preserve">,and Table 2), similar to the</w:t>
      </w:r>
      <w:r>
        <w:t xml:space="preserve"> </w:t>
      </w:r>
      <w:r>
        <w:rPr>
          <w:iCs/>
          <w:i/>
        </w:rPr>
        <w:t xml:space="preserve">Pre 1993</w:t>
      </w:r>
      <w:r>
        <w:t xml:space="preserve"> </w:t>
      </w:r>
      <w:r>
        <w:t xml:space="preserve">period.</w:t>
      </w:r>
    </w:p>
    <w:bookmarkEnd w:id="25"/>
    <w:bookmarkStart w:id="26" w:name="resilience-steepness-parameter"/>
    <w:p>
      <w:pPr>
        <w:pStyle w:val="Heading2"/>
      </w:pPr>
      <w:r>
        <w:t xml:space="preserve">Resilience: Steepness parameter</w:t>
      </w:r>
    </w:p>
    <w:p>
      <w:pPr>
        <w:pStyle w:val="FirstParagraph"/>
      </w:pPr>
      <w:r>
        <w:t xml:space="preserve">In the</w:t>
      </w:r>
      <w:r>
        <w:t xml:space="preserve"> </w:t>
      </w:r>
      <w:r>
        <w:rPr>
          <w:iCs/>
          <w:i/>
        </w:rPr>
        <w:t xml:space="preserve">Pre 1993</w:t>
      </w:r>
      <w:r>
        <w:t xml:space="preserve"> </w:t>
      </w:r>
      <w:r>
        <w:t xml:space="preserve">period, no generalizable differences were observed between the steepness parameter estimate (i.e. slope at origin,</w:t>
      </w:r>
      <w:r>
        <w:t xml:space="preserve"> </w:t>
      </w:r>
      <w:r>
        <w:rPr>
          <w:iCs/>
          <w:i/>
        </w:rPr>
        <w:t xml:space="preserve">log(a)</w:t>
      </w:r>
      <w:r>
        <w:t xml:space="preserve"> </w:t>
      </w:r>
      <w:r>
        <w:t xml:space="preserve">parameter in Ricker model) of Haddock and Atlantic Cod stocks using either the Ricker model estimates (Figure</w:t>
      </w:r>
      <w:r>
        <w:t xml:space="preserve"> </w:t>
      </w:r>
      <w:r>
        <w:t xml:space="preserve">??</w:t>
      </w:r>
      <w:r>
        <w:t xml:space="preserve"> </w:t>
      </w:r>
      <w:r>
        <w:t xml:space="preserve">and Table 2) or when using the average log(R/SSB) when SSB is &lt; 0.4 (Figure</w:t>
      </w:r>
      <w:r>
        <w:t xml:space="preserve"> </w:t>
      </w:r>
      <w:r>
        <w:t xml:space="preserve">9</w:t>
      </w:r>
      <w:r>
        <w:t xml:space="preserve">). In the</w:t>
      </w:r>
      <w:r>
        <w:t xml:space="preserve"> </w:t>
      </w:r>
      <w:r>
        <w:rPr>
          <w:iCs/>
          <w:i/>
        </w:rPr>
        <w:t xml:space="preserve">Recent</w:t>
      </w:r>
      <w:r>
        <w:t xml:space="preserve"> </w:t>
      </w:r>
      <w:r>
        <w:t xml:space="preserve">period, the steepness parameter estimates of Haddock stocks tended to be higher than the Atlantic Cod stocks using both the Ricker model estimates (Figure</w:t>
      </w:r>
      <w:r>
        <w:t xml:space="preserve"> </w:t>
      </w:r>
      <w:r>
        <w:t xml:space="preserve">??</w:t>
      </w:r>
      <w:r>
        <w:t xml:space="preserve"> </w:t>
      </w:r>
      <w:r>
        <w:t xml:space="preserve">and Table 2) and when using the average log(R/SSB) when SSB is &lt; 0.4 (Figure</w:t>
      </w:r>
      <w:r>
        <w:t xml:space="preserve"> </w:t>
      </w:r>
      <w:r>
        <w:t xml:space="preserve">9</w:t>
      </w:r>
      <w:r>
        <w:t xml:space="preserve">). In most cases the steepness estimates in the</w:t>
      </w:r>
      <w:r>
        <w:t xml:space="preserve"> </w:t>
      </w:r>
      <w:r>
        <w:rPr>
          <w:iCs/>
          <w:i/>
        </w:rPr>
        <w:t xml:space="preserve">Recent</w:t>
      </w:r>
      <w:r>
        <w:t xml:space="preserve"> </w:t>
      </w:r>
      <w:r>
        <w:t xml:space="preserve">period were not significantly different, but for all regions except the Eastern Scotian Shelf the steepness estimate was higher for Haddock than for Atlantic Cod. These results are in contrast to the results of Fogarty et al. (2001) in which the steepness parameter estimate tended to be higher for cod than observed in Haddock.</w:t>
      </w:r>
    </w:p>
    <w:p>
      <w:pPr>
        <w:pStyle w:val="BodyText"/>
      </w:pPr>
      <w:r>
        <w:t xml:space="preserve">Residual Autocorrelation and Time series correlation</w:t>
      </w:r>
    </w:p>
    <w:p>
      <w:pPr>
        <w:pStyle w:val="BodyText"/>
      </w:pPr>
      <w:r>
        <w:t xml:space="preserve">The autocorrelation in recruitment residuals in the</w:t>
      </w:r>
      <w:r>
        <w:t xml:space="preserve"> </w:t>
      </w:r>
      <w:r>
        <w:rPr>
          <w:iCs/>
          <w:i/>
        </w:rPr>
        <w:t xml:space="preserve">Pre 1993</w:t>
      </w:r>
      <w:r>
        <w:t xml:space="preserve"> </w:t>
      </w:r>
      <w:r>
        <w:t xml:space="preserve">tended to be positive for the Northeast Atlantic stocks (Figures</w:t>
      </w:r>
      <w:r>
        <w:t xml:space="preserve"> </w:t>
      </w:r>
      <w:r>
        <w:t xml:space="preserve">10</w:t>
      </w:r>
      <w:r>
        <w:t xml:space="preserve"> </w:t>
      </w:r>
      <w:r>
        <w:t xml:space="preserve">and</w:t>
      </w:r>
      <w:r>
        <w:t xml:space="preserve"> </w:t>
      </w:r>
      <w:r>
        <w:t xml:space="preserve">5</w:t>
      </w:r>
      <w:r>
        <w:t xml:space="preserve">). In the Northwest Atlantic, the more southern stocks tended to have a lower autocorrelation, with Eastern Georges Bank Atlantic Cod being the only stock in the analysis with negative residuals using both the GAM model and the Ricker model. The correlation between the Atlantic Cod and Haddock stocks tended to be positive in the</w:t>
      </w:r>
      <w:r>
        <w:t xml:space="preserve"> </w:t>
      </w:r>
      <w:r>
        <w:rPr>
          <w:iCs/>
          <w:i/>
        </w:rPr>
        <w:t xml:space="preserve">Pre 1993</w:t>
      </w:r>
      <w:r>
        <w:t xml:space="preserve"> </w:t>
      </w:r>
      <w:r>
        <w:t xml:space="preserve">period, but for most (4) stocks the correlation was not significant (Figure</w:t>
      </w:r>
      <w:r>
        <w:t xml:space="preserve"> </w:t>
      </w:r>
      <w:r>
        <w:t xml:space="preserve">3</w:t>
      </w:r>
      <w:r>
        <w:t xml:space="preserve">). These results are broadly similar to the results found in Fogarty et al. (2001).</w:t>
      </w:r>
    </w:p>
    <w:p>
      <w:pPr>
        <w:pStyle w:val="BodyText"/>
      </w:pPr>
      <w:r>
        <w:t xml:space="preserve">The autocorrelation in recruitment residuals in the</w:t>
      </w:r>
      <w:r>
        <w:t xml:space="preserve"> </w:t>
      </w:r>
      <w:r>
        <w:rPr>
          <w:iCs/>
          <w:i/>
        </w:rPr>
        <w:t xml:space="preserve">Recent</w:t>
      </w:r>
      <w:r>
        <w:t xml:space="preserve"> </w:t>
      </w:r>
      <w:r>
        <w:t xml:space="preserve">tended to be positive for the Northeast Atlantic stocks (Figures</w:t>
      </w:r>
      <w:r>
        <w:t xml:space="preserve"> </w:t>
      </w:r>
      <w:r>
        <w:t xml:space="preserve">10</w:t>
      </w:r>
      <w:r>
        <w:t xml:space="preserve"> </w:t>
      </w:r>
      <w:r>
        <w:t xml:space="preserve">and</w:t>
      </w:r>
      <w:r>
        <w:t xml:space="preserve"> </w:t>
      </w:r>
      <w:r>
        <w:t xml:space="preserve">5</w:t>
      </w:r>
      <w:r>
        <w:t xml:space="preserve">), similar to what was observed in the</w:t>
      </w:r>
      <w:r>
        <w:t xml:space="preserve"> </w:t>
      </w:r>
      <w:r>
        <w:rPr>
          <w:iCs/>
          <w:i/>
        </w:rPr>
        <w:t xml:space="preserve">Pre 1993</w:t>
      </w:r>
      <w:r>
        <w:t xml:space="preserve"> </w:t>
      </w:r>
      <w:r>
        <w:t xml:space="preserve">period. In the Northwest Atlantic, the Eastern Georges Bank and Western Scotian Shelf stocks tended to be more negative and had larger uncertainties than most other stocks for both the GAM and Ricker residuals. The correlation between the Atlantic Cod and Haddock stocks tended to be positive in the</w:t>
      </w:r>
      <w:r>
        <w:t xml:space="preserve"> </w:t>
      </w:r>
      <w:r>
        <w:rPr>
          <w:iCs/>
          <w:i/>
        </w:rPr>
        <w:t xml:space="preserve">Recent</w:t>
      </w:r>
      <w:r>
        <w:t xml:space="preserve"> </w:t>
      </w:r>
      <w:r>
        <w:t xml:space="preserve">period, but for most (6) stocks the correlation was not significant (Figure</w:t>
      </w:r>
      <w:r>
        <w:t xml:space="preserve"> </w:t>
      </w:r>
      <w:r>
        <w:t xml:space="preserve">3</w:t>
      </w:r>
      <w:r>
        <w:t xml:space="preserve">).</w:t>
      </w:r>
    </w:p>
    <w:bookmarkEnd w:id="26"/>
    <w:bookmarkEnd w:id="27"/>
    <w:bookmarkStart w:id="28" w:name="tables"/>
    <w:p>
      <w:pPr>
        <w:pStyle w:val="Heading1"/>
      </w:pPr>
      <w:r>
        <w:t xml:space="preserve">Tables</w:t>
      </w:r>
    </w:p>
    <w:p>
      <w:pPr>
        <w:pStyle w:val="FirstParagraph"/>
      </w:pPr>
      <w:r>
        <w:t xml:space="preserve">Table 2: The Ricker and GAM residuals along with the Ricker model fit summmaries for each stock in each period.</w:t>
      </w:r>
    </w:p>
    <w:tbl>
      <w:tblPr>
        <w:tblStyle w:val="Table"/>
        <w:tblW w:type="pct" w:w="5000.0"/>
        <w:tblLook w:firstRow="1" w:lastRow="0" w:firstColumn="0" w:lastColumn="0" w:noHBand="0" w:noVBand="0" w:val="0020"/>
      </w:tblPr>
      <w:tblGrid>
        <w:gridCol w:w="1340"/>
        <w:gridCol w:w="487"/>
        <w:gridCol w:w="548"/>
        <w:gridCol w:w="1157"/>
        <w:gridCol w:w="1096"/>
        <w:gridCol w:w="1096"/>
        <w:gridCol w:w="609"/>
        <w:gridCol w:w="670"/>
        <w:gridCol w:w="913"/>
      </w:tblGrid>
      <w:tr>
        <w:tc>
          <w:p>
            <w:pPr>
              <w:pStyle w:val="Compact"/>
              <w:jc w:val="left"/>
            </w:pPr>
            <w:r>
              <w:t xml:space="preserve">Location</w:t>
            </w:r>
          </w:p>
        </w:tc>
        <w:tc>
          <w:p>
            <w:pPr>
              <w:pStyle w:val="Compact"/>
              <w:jc w:val="left"/>
            </w:pPr>
            <w:r>
              <w:t xml:space="preserve">Species</w:t>
            </w:r>
          </w:p>
        </w:tc>
        <w:tc>
          <w:p>
            <w:pPr>
              <w:pStyle w:val="Compact"/>
              <w:jc w:val="left"/>
            </w:pPr>
            <w:r>
              <w:t xml:space="preserve">Period</w:t>
            </w:r>
          </w:p>
        </w:tc>
        <w:tc>
          <w:p>
            <w:pPr>
              <w:pStyle w:val="Compact"/>
              <w:jc w:val="left"/>
            </w:pPr>
            <w:r>
              <w:t xml:space="preserve">Region</w:t>
            </w:r>
          </w:p>
        </w:tc>
        <w:tc>
          <w:p>
            <w:pPr>
              <w:pStyle w:val="Compact"/>
              <w:jc w:val="right"/>
            </w:pPr>
            <w:r>
              <w:t xml:space="preserve">SD(GAM residuals)</w:t>
            </w:r>
          </w:p>
        </w:tc>
        <w:tc>
          <w:p>
            <w:pPr>
              <w:pStyle w:val="Compact"/>
              <w:jc w:val="right"/>
            </w:pPr>
            <w:r>
              <w:t xml:space="preserve">SD(S-R residuals)</w:t>
            </w:r>
          </w:p>
        </w:tc>
        <w:tc>
          <w:p>
            <w:pPr>
              <w:pStyle w:val="Compact"/>
              <w:jc w:val="left"/>
            </w:pPr>
            <w:r>
              <w:t xml:space="preserve">R squared</w:t>
            </w:r>
          </w:p>
        </w:tc>
        <w:tc>
          <w:p>
            <w:pPr>
              <w:pStyle w:val="Compact"/>
              <w:jc w:val="left"/>
            </w:pPr>
            <w:r>
              <w:t xml:space="preserve">log(alpha)</w:t>
            </w:r>
          </w:p>
        </w:tc>
        <w:tc>
          <w:p>
            <w:pPr>
              <w:pStyle w:val="Compact"/>
              <w:jc w:val="left"/>
            </w:pPr>
            <w:r>
              <w:t xml:space="preserve">SD(log(alpha))</w:t>
            </w:r>
          </w:p>
        </w:tc>
      </w:tr>
      <w:tr>
        <w:tc>
          <w:p>
            <w:pPr>
              <w:pStyle w:val="Compact"/>
              <w:jc w:val="left"/>
            </w:pPr>
            <w:r>
              <w:t xml:space="preserve">North Sea</w:t>
            </w:r>
          </w:p>
        </w:tc>
        <w:tc>
          <w:p>
            <w:pPr>
              <w:pStyle w:val="Compact"/>
              <w:jc w:val="left"/>
            </w:pPr>
            <w:r>
              <w:t xml:space="preserve">Cod</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0.66</w:t>
            </w:r>
          </w:p>
        </w:tc>
        <w:tc>
          <w:p>
            <w:pPr>
              <w:pStyle w:val="Compact"/>
              <w:jc w:val="right"/>
            </w:pPr>
            <w:r>
              <w:t xml:space="preserve">0.59</w:t>
            </w:r>
          </w:p>
        </w:tc>
        <w:tc>
          <w:p>
            <w:pPr>
              <w:pStyle w:val="Compact"/>
              <w:jc w:val="left"/>
            </w:pPr>
            <w:r>
              <w:t xml:space="preserve">0.256</w:t>
            </w:r>
          </w:p>
        </w:tc>
        <w:tc>
          <w:p>
            <w:pPr>
              <w:pStyle w:val="Compact"/>
              <w:jc w:val="left"/>
            </w:pPr>
            <w:r>
              <w:t xml:space="preserve">2.75</w:t>
            </w:r>
          </w:p>
        </w:tc>
        <w:tc>
          <w:p>
            <w:pPr>
              <w:pStyle w:val="Compact"/>
              <w:jc w:val="left"/>
            </w:pPr>
            <w:r>
              <w:t xml:space="preserve">0.28</w:t>
            </w:r>
          </w:p>
        </w:tc>
      </w:tr>
      <w:tr>
        <w:tc>
          <w:p>
            <w:pPr>
              <w:pStyle w:val="Compact"/>
              <w:jc w:val="left"/>
            </w:pPr>
            <w:r>
              <w:t xml:space="preserve">North Sea</w:t>
            </w:r>
          </w:p>
        </w:tc>
        <w:tc>
          <w:p>
            <w:pPr>
              <w:pStyle w:val="Compact"/>
              <w:jc w:val="left"/>
            </w:pPr>
            <w:r>
              <w:t xml:space="preserve">Cod</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0.66</w:t>
            </w:r>
          </w:p>
        </w:tc>
        <w:tc>
          <w:p>
            <w:pPr>
              <w:pStyle w:val="Compact"/>
              <w:jc w:val="right"/>
            </w:pPr>
            <w:r>
              <w:t xml:space="preserve">0.72</w:t>
            </w:r>
          </w:p>
        </w:tc>
        <w:tc>
          <w:p>
            <w:pPr>
              <w:pStyle w:val="Compact"/>
              <w:jc w:val="left"/>
            </w:pPr>
            <w:r>
              <w:t xml:space="preserve">0.135</w:t>
            </w:r>
          </w:p>
        </w:tc>
        <w:tc>
          <w:p>
            <w:pPr>
              <w:pStyle w:val="Compact"/>
              <w:jc w:val="left"/>
            </w:pPr>
            <w:r>
              <w:t xml:space="preserve">2.26</w:t>
            </w:r>
          </w:p>
        </w:tc>
        <w:tc>
          <w:p>
            <w:pPr>
              <w:pStyle w:val="Compact"/>
              <w:jc w:val="left"/>
            </w:pPr>
            <w:r>
              <w:t xml:space="preserve">0.45</w:t>
            </w:r>
          </w:p>
        </w:tc>
      </w:tr>
      <w:tr>
        <w:tc>
          <w:p>
            <w:pPr>
              <w:pStyle w:val="Compact"/>
              <w:jc w:val="left"/>
            </w:pPr>
            <w:r>
              <w:t xml:space="preserve">North Sea</w:t>
            </w:r>
          </w:p>
        </w:tc>
        <w:tc>
          <w:p>
            <w:pPr>
              <w:pStyle w:val="Compact"/>
              <w:jc w:val="left"/>
            </w:pPr>
            <w:r>
              <w:t xml:space="preserve">Haddock</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1.10</w:t>
            </w:r>
          </w:p>
        </w:tc>
        <w:tc>
          <w:p>
            <w:pPr>
              <w:pStyle w:val="Compact"/>
              <w:jc w:val="right"/>
            </w:pPr>
            <w:r>
              <w:t xml:space="preserve">1.00</w:t>
            </w:r>
          </w:p>
        </w:tc>
        <w:tc>
          <w:p>
            <w:pPr>
              <w:pStyle w:val="Compact"/>
              <w:jc w:val="left"/>
            </w:pPr>
            <w:r>
              <w:t xml:space="preserve">0.126</w:t>
            </w:r>
          </w:p>
        </w:tc>
        <w:tc>
          <w:p>
            <w:pPr>
              <w:pStyle w:val="Compact"/>
              <w:jc w:val="left"/>
            </w:pPr>
            <w:r>
              <w:t xml:space="preserve">3.41</w:t>
            </w:r>
          </w:p>
        </w:tc>
        <w:tc>
          <w:p>
            <w:pPr>
              <w:pStyle w:val="Compact"/>
              <w:jc w:val="left"/>
            </w:pPr>
            <w:r>
              <w:t xml:space="preserve">0.50</w:t>
            </w:r>
          </w:p>
        </w:tc>
      </w:tr>
      <w:tr>
        <w:tc>
          <w:p>
            <w:pPr>
              <w:pStyle w:val="Compact"/>
              <w:jc w:val="left"/>
            </w:pPr>
            <w:r>
              <w:t xml:space="preserve">North Sea</w:t>
            </w:r>
          </w:p>
        </w:tc>
        <w:tc>
          <w:p>
            <w:pPr>
              <w:pStyle w:val="Compact"/>
              <w:jc w:val="left"/>
            </w:pPr>
            <w:r>
              <w:t xml:space="preserve">Haddock</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1.30</w:t>
            </w:r>
          </w:p>
        </w:tc>
        <w:tc>
          <w:p>
            <w:pPr>
              <w:pStyle w:val="Compact"/>
              <w:jc w:val="right"/>
            </w:pPr>
            <w:r>
              <w:t xml:space="preserve">1.00</w:t>
            </w:r>
          </w:p>
        </w:tc>
        <w:tc>
          <w:p>
            <w:pPr>
              <w:pStyle w:val="Compact"/>
              <w:jc w:val="left"/>
            </w:pPr>
            <w:r>
              <w:t xml:space="preserve">0.336</w:t>
            </w:r>
          </w:p>
        </w:tc>
        <w:tc>
          <w:p>
            <w:pPr>
              <w:pStyle w:val="Compact"/>
              <w:jc w:val="left"/>
            </w:pPr>
            <w:r>
              <w:t xml:space="preserve">3.16</w:t>
            </w:r>
          </w:p>
        </w:tc>
        <w:tc>
          <w:p>
            <w:pPr>
              <w:pStyle w:val="Compact"/>
              <w:jc w:val="left"/>
            </w:pPr>
            <w:r>
              <w:t xml:space="preserve">0.47</w:t>
            </w:r>
          </w:p>
        </w:tc>
      </w:tr>
      <w:tr>
        <w:tc>
          <w:p>
            <w:pPr>
              <w:pStyle w:val="Compact"/>
              <w:jc w:val="left"/>
            </w:pPr>
            <w:r>
              <w:t xml:space="preserve">Irish Sea</w:t>
            </w:r>
          </w:p>
        </w:tc>
        <w:tc>
          <w:p>
            <w:pPr>
              <w:pStyle w:val="Compact"/>
              <w:jc w:val="left"/>
            </w:pPr>
            <w:r>
              <w:t xml:space="preserve">Cod</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0.51</w:t>
            </w:r>
          </w:p>
        </w:tc>
        <w:tc>
          <w:p>
            <w:pPr>
              <w:pStyle w:val="Compact"/>
              <w:jc w:val="right"/>
            </w:pPr>
            <w:r>
              <w:t xml:space="preserve">0.46</w:t>
            </w:r>
          </w:p>
        </w:tc>
        <w:tc>
          <w:p>
            <w:pPr>
              <w:pStyle w:val="Compact"/>
              <w:jc w:val="left"/>
            </w:pPr>
            <w:r>
              <w:t xml:space="preserve">0.483</w:t>
            </w:r>
          </w:p>
        </w:tc>
        <w:tc>
          <w:p>
            <w:pPr>
              <w:pStyle w:val="Compact"/>
              <w:jc w:val="left"/>
            </w:pPr>
            <w:r>
              <w:t xml:space="preserve">0.51</w:t>
            </w:r>
          </w:p>
        </w:tc>
        <w:tc>
          <w:p>
            <w:pPr>
              <w:pStyle w:val="Compact"/>
              <w:jc w:val="left"/>
            </w:pPr>
            <w:r>
              <w:t xml:space="preserve">0.30</w:t>
            </w:r>
          </w:p>
        </w:tc>
      </w:tr>
      <w:tr>
        <w:tc>
          <w:p>
            <w:pPr>
              <w:pStyle w:val="Compact"/>
              <w:jc w:val="left"/>
            </w:pPr>
            <w:r>
              <w:t xml:space="preserve">Irish Sea</w:t>
            </w:r>
          </w:p>
        </w:tc>
        <w:tc>
          <w:p>
            <w:pPr>
              <w:pStyle w:val="Compact"/>
              <w:jc w:val="left"/>
            </w:pPr>
            <w:r>
              <w:t xml:space="preserve">Cod</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0.59</w:t>
            </w:r>
          </w:p>
        </w:tc>
        <w:tc>
          <w:p>
            <w:pPr>
              <w:pStyle w:val="Compact"/>
              <w:jc w:val="right"/>
            </w:pPr>
            <w:r>
              <w:t xml:space="preserve">0.59</w:t>
            </w:r>
          </w:p>
        </w:tc>
        <w:tc>
          <w:p>
            <w:pPr>
              <w:pStyle w:val="Compact"/>
              <w:jc w:val="left"/>
            </w:pPr>
            <w:r>
              <w:t xml:space="preserve">0.065</w:t>
            </w:r>
          </w:p>
        </w:tc>
        <w:tc>
          <w:p>
            <w:pPr>
              <w:pStyle w:val="Compact"/>
              <w:jc w:val="left"/>
            </w:pPr>
            <w:r>
              <w:t xml:space="preserve">-0.57</w:t>
            </w:r>
          </w:p>
        </w:tc>
        <w:tc>
          <w:p>
            <w:pPr>
              <w:pStyle w:val="Compact"/>
              <w:jc w:val="left"/>
            </w:pPr>
            <w:r>
              <w:t xml:space="preserve">0.32</w:t>
            </w:r>
          </w:p>
        </w:tc>
      </w:tr>
      <w:tr>
        <w:tc>
          <w:p>
            <w:pPr>
              <w:pStyle w:val="Compact"/>
              <w:jc w:val="left"/>
            </w:pPr>
            <w:r>
              <w:t xml:space="preserve">Irish Sea</w:t>
            </w:r>
          </w:p>
        </w:tc>
        <w:tc>
          <w:p>
            <w:pPr>
              <w:pStyle w:val="Compact"/>
              <w:jc w:val="left"/>
            </w:pPr>
            <w:r>
              <w:t xml:space="preserve">Haddock</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0.81</w:t>
            </w:r>
          </w:p>
        </w:tc>
        <w:tc>
          <w:p>
            <w:pPr>
              <w:pStyle w:val="Compact"/>
              <w:jc w:val="right"/>
            </w:pPr>
            <w:r>
              <w:t xml:space="preserve">0.72</w:t>
            </w:r>
          </w:p>
        </w:tc>
        <w:tc>
          <w:p>
            <w:pPr>
              <w:pStyle w:val="Compact"/>
              <w:jc w:val="left"/>
            </w:pPr>
            <w:r>
              <w:t xml:space="preserve">0.246</w:t>
            </w:r>
          </w:p>
        </w:tc>
        <w:tc>
          <w:p>
            <w:pPr>
              <w:pStyle w:val="Compact"/>
              <w:jc w:val="left"/>
            </w:pPr>
            <w:r>
              <w:t xml:space="preserve">4.57</w:t>
            </w:r>
          </w:p>
        </w:tc>
        <w:tc>
          <w:p>
            <w:pPr>
              <w:pStyle w:val="Compact"/>
              <w:jc w:val="left"/>
            </w:pPr>
            <w:r>
              <w:t xml:space="preserve">0.22</w:t>
            </w:r>
          </w:p>
        </w:tc>
      </w:tr>
      <w:tr>
        <w:tc>
          <w:p>
            <w:pPr>
              <w:pStyle w:val="Compact"/>
              <w:jc w:val="left"/>
            </w:pPr>
            <w:r>
              <w:t xml:space="preserve">Faroese</w:t>
            </w:r>
          </w:p>
        </w:tc>
        <w:tc>
          <w:p>
            <w:pPr>
              <w:pStyle w:val="Compact"/>
              <w:jc w:val="left"/>
            </w:pPr>
            <w:r>
              <w:t xml:space="preserve">Cod</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0.70</w:t>
            </w:r>
          </w:p>
        </w:tc>
        <w:tc>
          <w:p>
            <w:pPr>
              <w:pStyle w:val="Compact"/>
              <w:jc w:val="right"/>
            </w:pPr>
            <w:r>
              <w:t xml:space="preserve">0.55</w:t>
            </w:r>
          </w:p>
        </w:tc>
        <w:tc>
          <w:p>
            <w:pPr>
              <w:pStyle w:val="Compact"/>
              <w:jc w:val="left"/>
            </w:pPr>
            <w:r>
              <w:t xml:space="preserve">0.429</w:t>
            </w:r>
          </w:p>
        </w:tc>
        <w:tc>
          <w:p>
            <w:pPr>
              <w:pStyle w:val="Compact"/>
              <w:jc w:val="left"/>
            </w:pPr>
            <w:r>
              <w:t xml:space="preserve">-0.04</w:t>
            </w:r>
          </w:p>
        </w:tc>
        <w:tc>
          <w:p>
            <w:pPr>
              <w:pStyle w:val="Compact"/>
              <w:jc w:val="left"/>
            </w:pPr>
            <w:r>
              <w:t xml:space="preserve">0.27</w:t>
            </w:r>
          </w:p>
        </w:tc>
      </w:tr>
      <w:tr>
        <w:tc>
          <w:p>
            <w:pPr>
              <w:pStyle w:val="Compact"/>
              <w:jc w:val="left"/>
            </w:pPr>
            <w:r>
              <w:t xml:space="preserve">Faroese</w:t>
            </w:r>
          </w:p>
        </w:tc>
        <w:tc>
          <w:p>
            <w:pPr>
              <w:pStyle w:val="Compact"/>
              <w:jc w:val="left"/>
            </w:pPr>
            <w:r>
              <w:t xml:space="preserve">Cod</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0.89</w:t>
            </w:r>
          </w:p>
        </w:tc>
        <w:tc>
          <w:p>
            <w:pPr>
              <w:pStyle w:val="Compact"/>
              <w:jc w:val="right"/>
            </w:pPr>
            <w:r>
              <w:t xml:space="preserve">0.81</w:t>
            </w:r>
          </w:p>
        </w:tc>
        <w:tc>
          <w:p>
            <w:pPr>
              <w:pStyle w:val="Compact"/>
              <w:jc w:val="left"/>
            </w:pPr>
            <w:r>
              <w:t xml:space="preserve">0.194</w:t>
            </w:r>
          </w:p>
        </w:tc>
        <w:tc>
          <w:p>
            <w:pPr>
              <w:pStyle w:val="Compact"/>
              <w:jc w:val="left"/>
            </w:pPr>
            <w:r>
              <w:t xml:space="preserve">-0.57</w:t>
            </w:r>
          </w:p>
        </w:tc>
        <w:tc>
          <w:p>
            <w:pPr>
              <w:pStyle w:val="Compact"/>
              <w:jc w:val="left"/>
            </w:pPr>
            <w:r>
              <w:t xml:space="preserve">0.32</w:t>
            </w:r>
          </w:p>
        </w:tc>
      </w:tr>
      <w:tr>
        <w:tc>
          <w:p>
            <w:pPr>
              <w:pStyle w:val="Compact"/>
              <w:jc w:val="left"/>
            </w:pPr>
            <w:r>
              <w:t xml:space="preserve">Faroese</w:t>
            </w:r>
          </w:p>
        </w:tc>
        <w:tc>
          <w:p>
            <w:pPr>
              <w:pStyle w:val="Compact"/>
              <w:jc w:val="left"/>
            </w:pPr>
            <w:r>
              <w:t xml:space="preserve">Haddock</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1.20</w:t>
            </w:r>
          </w:p>
        </w:tc>
        <w:tc>
          <w:p>
            <w:pPr>
              <w:pStyle w:val="Compact"/>
              <w:jc w:val="right"/>
            </w:pPr>
            <w:r>
              <w:t xml:space="preserve">1.00</w:t>
            </w:r>
          </w:p>
        </w:tc>
        <w:tc>
          <w:p>
            <w:pPr>
              <w:pStyle w:val="Compact"/>
              <w:jc w:val="left"/>
            </w:pPr>
            <w:r>
              <w:t xml:space="preserve">0.309</w:t>
            </w:r>
          </w:p>
        </w:tc>
        <w:tc>
          <w:p>
            <w:pPr>
              <w:pStyle w:val="Compact"/>
              <w:jc w:val="left"/>
            </w:pPr>
            <w:r>
              <w:t xml:space="preserve">1.73</w:t>
            </w:r>
          </w:p>
        </w:tc>
        <w:tc>
          <w:p>
            <w:pPr>
              <w:pStyle w:val="Compact"/>
              <w:jc w:val="left"/>
            </w:pPr>
            <w:r>
              <w:t xml:space="preserve">0.67</w:t>
            </w:r>
          </w:p>
        </w:tc>
      </w:tr>
      <w:tr>
        <w:tc>
          <w:p>
            <w:pPr>
              <w:pStyle w:val="Compact"/>
              <w:jc w:val="left"/>
            </w:pPr>
            <w:r>
              <w:t xml:space="preserve">Faroese</w:t>
            </w:r>
          </w:p>
        </w:tc>
        <w:tc>
          <w:p>
            <w:pPr>
              <w:pStyle w:val="Compact"/>
              <w:jc w:val="left"/>
            </w:pPr>
            <w:r>
              <w:t xml:space="preserve">Haddock</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1.30</w:t>
            </w:r>
          </w:p>
        </w:tc>
        <w:tc>
          <w:p>
            <w:pPr>
              <w:pStyle w:val="Compact"/>
              <w:jc w:val="right"/>
            </w:pPr>
            <w:r>
              <w:t xml:space="preserve">1.10</w:t>
            </w:r>
          </w:p>
        </w:tc>
        <w:tc>
          <w:p>
            <w:pPr>
              <w:pStyle w:val="Compact"/>
              <w:jc w:val="left"/>
            </w:pPr>
            <w:r>
              <w:t xml:space="preserve">0.257</w:t>
            </w:r>
          </w:p>
        </w:tc>
        <w:tc>
          <w:p>
            <w:pPr>
              <w:pStyle w:val="Compact"/>
              <w:jc w:val="left"/>
            </w:pPr>
            <w:r>
              <w:t xml:space="preserve">0.13</w:t>
            </w:r>
          </w:p>
        </w:tc>
        <w:tc>
          <w:p>
            <w:pPr>
              <w:pStyle w:val="Compact"/>
              <w:jc w:val="left"/>
            </w:pPr>
            <w:r>
              <w:t xml:space="preserve">0.37</w:t>
            </w:r>
          </w:p>
        </w:tc>
      </w:tr>
      <w:tr>
        <w:tc>
          <w:p>
            <w:pPr>
              <w:pStyle w:val="Compact"/>
              <w:jc w:val="left"/>
            </w:pPr>
            <w:r>
              <w:t xml:space="preserve">Barents Sea</w:t>
            </w:r>
          </w:p>
        </w:tc>
        <w:tc>
          <w:p>
            <w:pPr>
              <w:pStyle w:val="Compact"/>
              <w:jc w:val="left"/>
            </w:pPr>
            <w:r>
              <w:t xml:space="preserve">Cod</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0.74</w:t>
            </w:r>
          </w:p>
        </w:tc>
        <w:tc>
          <w:p>
            <w:pPr>
              <w:pStyle w:val="Compact"/>
              <w:jc w:val="right"/>
            </w:pPr>
            <w:r>
              <w:t xml:space="preserve">0.73</w:t>
            </w:r>
          </w:p>
        </w:tc>
        <w:tc>
          <w:p>
            <w:pPr>
              <w:pStyle w:val="Compact"/>
              <w:jc w:val="left"/>
            </w:pPr>
            <w:r>
              <w:t xml:space="preserve">0.052</w:t>
            </w:r>
          </w:p>
        </w:tc>
        <w:tc>
          <w:p>
            <w:pPr>
              <w:pStyle w:val="Compact"/>
              <w:jc w:val="left"/>
            </w:pPr>
            <w:r>
              <w:t xml:space="preserve">1.00</w:t>
            </w:r>
          </w:p>
        </w:tc>
        <w:tc>
          <w:p>
            <w:pPr>
              <w:pStyle w:val="Compact"/>
              <w:jc w:val="left"/>
            </w:pPr>
            <w:r>
              <w:t xml:space="preserve">0.20</w:t>
            </w:r>
          </w:p>
        </w:tc>
      </w:tr>
      <w:tr>
        <w:tc>
          <w:p>
            <w:pPr>
              <w:pStyle w:val="Compact"/>
              <w:jc w:val="left"/>
            </w:pPr>
            <w:r>
              <w:t xml:space="preserve">Barents Sea</w:t>
            </w:r>
          </w:p>
        </w:tc>
        <w:tc>
          <w:p>
            <w:pPr>
              <w:pStyle w:val="Compact"/>
              <w:jc w:val="left"/>
            </w:pPr>
            <w:r>
              <w:t xml:space="preserve">Cod</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0.65</w:t>
            </w:r>
          </w:p>
        </w:tc>
        <w:tc>
          <w:p>
            <w:pPr>
              <w:pStyle w:val="Compact"/>
              <w:jc w:val="right"/>
            </w:pPr>
            <w:r>
              <w:t xml:space="preserve">0.47</w:t>
            </w:r>
          </w:p>
        </w:tc>
        <w:tc>
          <w:p>
            <w:pPr>
              <w:pStyle w:val="Compact"/>
              <w:jc w:val="left"/>
            </w:pPr>
            <w:r>
              <w:t xml:space="preserve">0.671</w:t>
            </w:r>
          </w:p>
        </w:tc>
        <w:tc>
          <w:p>
            <w:pPr>
              <w:pStyle w:val="Compact"/>
              <w:jc w:val="left"/>
            </w:pPr>
            <w:r>
              <w:t xml:space="preserve">0.66</w:t>
            </w:r>
          </w:p>
        </w:tc>
        <w:tc>
          <w:p>
            <w:pPr>
              <w:pStyle w:val="Compact"/>
              <w:jc w:val="left"/>
            </w:pPr>
            <w:r>
              <w:t xml:space="preserve">0.17</w:t>
            </w:r>
          </w:p>
        </w:tc>
      </w:tr>
      <w:tr>
        <w:tc>
          <w:p>
            <w:pPr>
              <w:pStyle w:val="Compact"/>
              <w:jc w:val="left"/>
            </w:pPr>
            <w:r>
              <w:t xml:space="preserve">Barents Sea</w:t>
            </w:r>
          </w:p>
        </w:tc>
        <w:tc>
          <w:p>
            <w:pPr>
              <w:pStyle w:val="Compact"/>
              <w:jc w:val="left"/>
            </w:pPr>
            <w:r>
              <w:t xml:space="preserve">Haddock</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1.20</w:t>
            </w:r>
          </w:p>
        </w:tc>
        <w:tc>
          <w:p>
            <w:pPr>
              <w:pStyle w:val="Compact"/>
              <w:jc w:val="right"/>
            </w:pPr>
            <w:r>
              <w:t xml:space="preserve">1.20</w:t>
            </w:r>
          </w:p>
        </w:tc>
        <w:tc>
          <w:p>
            <w:pPr>
              <w:pStyle w:val="Compact"/>
              <w:jc w:val="left"/>
            </w:pPr>
            <w:r>
              <w:t xml:space="preserve">0.002</w:t>
            </w:r>
          </w:p>
        </w:tc>
        <w:tc>
          <w:p>
            <w:pPr>
              <w:pStyle w:val="Compact"/>
              <w:jc w:val="left"/>
            </w:pPr>
            <w:r>
              <w:t xml:space="preserve">0.10</w:t>
            </w:r>
          </w:p>
        </w:tc>
        <w:tc>
          <w:p>
            <w:pPr>
              <w:pStyle w:val="Compact"/>
              <w:jc w:val="left"/>
            </w:pPr>
            <w:r>
              <w:t xml:space="preserve">0.40</w:t>
            </w:r>
          </w:p>
        </w:tc>
      </w:tr>
      <w:tr>
        <w:tc>
          <w:p>
            <w:pPr>
              <w:pStyle w:val="Compact"/>
              <w:jc w:val="left"/>
            </w:pPr>
            <w:r>
              <w:t xml:space="preserve">Barents Sea</w:t>
            </w:r>
          </w:p>
        </w:tc>
        <w:tc>
          <w:p>
            <w:pPr>
              <w:pStyle w:val="Compact"/>
              <w:jc w:val="left"/>
            </w:pPr>
            <w:r>
              <w:t xml:space="preserve">Haddock</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1.00</w:t>
            </w:r>
          </w:p>
        </w:tc>
        <w:tc>
          <w:p>
            <w:pPr>
              <w:pStyle w:val="Compact"/>
              <w:jc w:val="right"/>
            </w:pPr>
            <w:r>
              <w:t xml:space="preserve">0.87</w:t>
            </w:r>
          </w:p>
        </w:tc>
        <w:tc>
          <w:p>
            <w:pPr>
              <w:pStyle w:val="Compact"/>
              <w:jc w:val="left"/>
            </w:pPr>
            <w:r>
              <w:t xml:space="preserve">0.324</w:t>
            </w:r>
          </w:p>
        </w:tc>
        <w:tc>
          <w:p>
            <w:pPr>
              <w:pStyle w:val="Compact"/>
              <w:jc w:val="left"/>
            </w:pPr>
            <w:r>
              <w:t xml:space="preserve">1.10</w:t>
            </w:r>
          </w:p>
        </w:tc>
        <w:tc>
          <w:p>
            <w:pPr>
              <w:pStyle w:val="Compact"/>
              <w:jc w:val="left"/>
            </w:pPr>
            <w:r>
              <w:t xml:space="preserve">0.32</w:t>
            </w:r>
          </w:p>
        </w:tc>
      </w:tr>
      <w:tr>
        <w:tc>
          <w:p>
            <w:pPr>
              <w:pStyle w:val="Compact"/>
              <w:jc w:val="left"/>
            </w:pPr>
            <w:r>
              <w:t xml:space="preserve">Iceland</w:t>
            </w:r>
          </w:p>
        </w:tc>
        <w:tc>
          <w:p>
            <w:pPr>
              <w:pStyle w:val="Compact"/>
              <w:jc w:val="left"/>
            </w:pPr>
            <w:r>
              <w:t xml:space="preserve">Cod</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0.55</w:t>
            </w:r>
          </w:p>
        </w:tc>
        <w:tc>
          <w:p>
            <w:pPr>
              <w:pStyle w:val="Compact"/>
              <w:jc w:val="right"/>
            </w:pPr>
            <w:r>
              <w:t xml:space="preserve">0.33</w:t>
            </w:r>
          </w:p>
        </w:tc>
        <w:tc>
          <w:p>
            <w:pPr>
              <w:pStyle w:val="Compact"/>
              <w:jc w:val="left"/>
            </w:pPr>
            <w:r>
              <w:t xml:space="preserve">0.620</w:t>
            </w:r>
          </w:p>
        </w:tc>
        <w:tc>
          <w:p>
            <w:pPr>
              <w:pStyle w:val="Compact"/>
              <w:jc w:val="left"/>
            </w:pPr>
            <w:r>
              <w:t xml:space="preserve">0.57</w:t>
            </w:r>
          </w:p>
        </w:tc>
        <w:tc>
          <w:p>
            <w:pPr>
              <w:pStyle w:val="Compact"/>
              <w:jc w:val="left"/>
            </w:pPr>
            <w:r>
              <w:t xml:space="preserve">0.11</w:t>
            </w:r>
          </w:p>
        </w:tc>
      </w:tr>
      <w:tr>
        <w:tc>
          <w:p>
            <w:pPr>
              <w:pStyle w:val="Compact"/>
              <w:jc w:val="left"/>
            </w:pPr>
            <w:r>
              <w:t xml:space="preserve">Iceland</w:t>
            </w:r>
          </w:p>
        </w:tc>
        <w:tc>
          <w:p>
            <w:pPr>
              <w:pStyle w:val="Compact"/>
              <w:jc w:val="left"/>
            </w:pPr>
            <w:r>
              <w:t xml:space="preserve">Cod</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0.43</w:t>
            </w:r>
          </w:p>
        </w:tc>
        <w:tc>
          <w:p>
            <w:pPr>
              <w:pStyle w:val="Compact"/>
              <w:jc w:val="right"/>
            </w:pPr>
            <w:r>
              <w:t xml:space="preserve">0.25</w:t>
            </w:r>
          </w:p>
        </w:tc>
        <w:tc>
          <w:p>
            <w:pPr>
              <w:pStyle w:val="Compact"/>
              <w:jc w:val="left"/>
            </w:pPr>
            <w:r>
              <w:t xml:space="preserve">0.714</w:t>
            </w:r>
          </w:p>
        </w:tc>
        <w:tc>
          <w:p>
            <w:pPr>
              <w:pStyle w:val="Compact"/>
              <w:jc w:val="left"/>
            </w:pPr>
            <w:r>
              <w:t xml:space="preserve">0.49</w:t>
            </w:r>
          </w:p>
        </w:tc>
        <w:tc>
          <w:p>
            <w:pPr>
              <w:pStyle w:val="Compact"/>
              <w:jc w:val="left"/>
            </w:pPr>
            <w:r>
              <w:t xml:space="preserve">0.12</w:t>
            </w:r>
          </w:p>
        </w:tc>
      </w:tr>
      <w:tr>
        <w:tc>
          <w:p>
            <w:pPr>
              <w:pStyle w:val="Compact"/>
              <w:jc w:val="left"/>
            </w:pPr>
            <w:r>
              <w:t xml:space="preserve">Iceland</w:t>
            </w:r>
          </w:p>
        </w:tc>
        <w:tc>
          <w:p>
            <w:pPr>
              <w:pStyle w:val="Compact"/>
              <w:jc w:val="left"/>
            </w:pPr>
            <w:r>
              <w:t xml:space="preserve">Haddock</w:t>
            </w:r>
          </w:p>
        </w:tc>
        <w:tc>
          <w:p>
            <w:pPr>
              <w:pStyle w:val="Compact"/>
              <w:jc w:val="left"/>
            </w:pPr>
            <w:r>
              <w:t xml:space="preserve">Pre 1993</w:t>
            </w:r>
          </w:p>
        </w:tc>
        <w:tc>
          <w:p>
            <w:pPr>
              <w:pStyle w:val="Compact"/>
              <w:jc w:val="left"/>
            </w:pPr>
            <w:r>
              <w:t xml:space="preserve">Northeast Atlantic</w:t>
            </w:r>
          </w:p>
        </w:tc>
        <w:tc>
          <w:p>
            <w:pPr>
              <w:pStyle w:val="Compact"/>
              <w:jc w:val="right"/>
            </w:pPr>
            <w:r>
              <w:t xml:space="preserve">0.85</w:t>
            </w:r>
          </w:p>
        </w:tc>
        <w:tc>
          <w:p>
            <w:pPr>
              <w:pStyle w:val="Compact"/>
              <w:jc w:val="right"/>
            </w:pPr>
            <w:r>
              <w:t xml:space="preserve">0.79</w:t>
            </w:r>
          </w:p>
        </w:tc>
        <w:tc>
          <w:p>
            <w:pPr>
              <w:pStyle w:val="Compact"/>
              <w:jc w:val="left"/>
            </w:pPr>
            <w:r>
              <w:t xml:space="preserve">0.149</w:t>
            </w:r>
          </w:p>
        </w:tc>
        <w:tc>
          <w:p>
            <w:pPr>
              <w:pStyle w:val="Compact"/>
              <w:jc w:val="left"/>
            </w:pPr>
            <w:r>
              <w:t xml:space="preserve">0.64</w:t>
            </w:r>
          </w:p>
        </w:tc>
        <w:tc>
          <w:p>
            <w:pPr>
              <w:pStyle w:val="Compact"/>
              <w:jc w:val="left"/>
            </w:pPr>
            <w:r>
              <w:t xml:space="preserve">0.75</w:t>
            </w:r>
          </w:p>
        </w:tc>
      </w:tr>
      <w:tr>
        <w:tc>
          <w:p>
            <w:pPr>
              <w:pStyle w:val="Compact"/>
              <w:jc w:val="left"/>
            </w:pPr>
            <w:r>
              <w:t xml:space="preserve">Iceland</w:t>
            </w:r>
          </w:p>
        </w:tc>
        <w:tc>
          <w:p>
            <w:pPr>
              <w:pStyle w:val="Compact"/>
              <w:jc w:val="left"/>
            </w:pPr>
            <w:r>
              <w:t xml:space="preserve">Haddock</w:t>
            </w:r>
          </w:p>
        </w:tc>
        <w:tc>
          <w:p>
            <w:pPr>
              <w:pStyle w:val="Compact"/>
              <w:jc w:val="left"/>
            </w:pPr>
            <w:r>
              <w:t xml:space="preserve">Recent</w:t>
            </w:r>
          </w:p>
        </w:tc>
        <w:tc>
          <w:p>
            <w:pPr>
              <w:pStyle w:val="Compact"/>
              <w:jc w:val="left"/>
            </w:pPr>
            <w:r>
              <w:t xml:space="preserve">Northeast Atlantic</w:t>
            </w:r>
          </w:p>
        </w:tc>
        <w:tc>
          <w:p>
            <w:pPr>
              <w:pStyle w:val="Compact"/>
              <w:jc w:val="right"/>
            </w:pPr>
            <w:r>
              <w:t xml:space="preserve">0.87</w:t>
            </w:r>
          </w:p>
        </w:tc>
        <w:tc>
          <w:p>
            <w:pPr>
              <w:pStyle w:val="Compact"/>
              <w:jc w:val="right"/>
            </w:pPr>
            <w:r>
              <w:t xml:space="preserve">0.82</w:t>
            </w:r>
          </w:p>
        </w:tc>
        <w:tc>
          <w:p>
            <w:pPr>
              <w:pStyle w:val="Compact"/>
              <w:jc w:val="left"/>
            </w:pPr>
            <w:r>
              <w:t xml:space="preserve">0.127</w:t>
            </w:r>
          </w:p>
        </w:tc>
        <w:tc>
          <w:p>
            <w:pPr>
              <w:pStyle w:val="Compact"/>
              <w:jc w:val="left"/>
            </w:pPr>
            <w:r>
              <w:t xml:space="preserve">0.59</w:t>
            </w:r>
          </w:p>
        </w:tc>
        <w:tc>
          <w:p>
            <w:pPr>
              <w:pStyle w:val="Compact"/>
              <w:jc w:val="left"/>
            </w:pPr>
            <w:r>
              <w:t xml:space="preserve">0.47</w:t>
            </w:r>
          </w:p>
        </w:tc>
      </w:tr>
      <w:tr>
        <w:tc>
          <w:p>
            <w:pPr>
              <w:pStyle w:val="Compact"/>
              <w:jc w:val="left"/>
            </w:pPr>
            <w:r>
              <w:t xml:space="preserve">Eastern Scotian Shelf</w:t>
            </w:r>
          </w:p>
        </w:tc>
        <w:tc>
          <w:p>
            <w:pPr>
              <w:pStyle w:val="Compact"/>
              <w:jc w:val="left"/>
            </w:pPr>
            <w:r>
              <w:t xml:space="preserve">Cod</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0.83</w:t>
            </w:r>
          </w:p>
        </w:tc>
        <w:tc>
          <w:p>
            <w:pPr>
              <w:pStyle w:val="Compact"/>
              <w:jc w:val="right"/>
            </w:pPr>
            <w:r>
              <w:t xml:space="preserve">0.60</w:t>
            </w:r>
          </w:p>
        </w:tc>
        <w:tc>
          <w:p>
            <w:pPr>
              <w:pStyle w:val="Compact"/>
              <w:jc w:val="left"/>
            </w:pPr>
            <w:r>
              <w:t xml:space="preserve">0.287</w:t>
            </w:r>
          </w:p>
        </w:tc>
        <w:tc>
          <w:p>
            <w:pPr>
              <w:pStyle w:val="Compact"/>
              <w:jc w:val="left"/>
            </w:pPr>
            <w:r>
              <w:t xml:space="preserve">0.96</w:t>
            </w:r>
          </w:p>
        </w:tc>
        <w:tc>
          <w:p>
            <w:pPr>
              <w:pStyle w:val="Compact"/>
              <w:jc w:val="left"/>
            </w:pPr>
            <w:r>
              <w:t xml:space="preserve">0.36</w:t>
            </w:r>
          </w:p>
        </w:tc>
      </w:tr>
      <w:tr>
        <w:tc>
          <w:p>
            <w:pPr>
              <w:pStyle w:val="Compact"/>
              <w:jc w:val="left"/>
            </w:pPr>
            <w:r>
              <w:t xml:space="preserve">Eastern Scotian Shelf</w:t>
            </w:r>
          </w:p>
        </w:tc>
        <w:tc>
          <w:p>
            <w:pPr>
              <w:pStyle w:val="Compact"/>
              <w:jc w:val="left"/>
            </w:pPr>
            <w:r>
              <w:t xml:space="preserve">Cod</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0.68</w:t>
            </w:r>
          </w:p>
        </w:tc>
        <w:tc>
          <w:p>
            <w:pPr>
              <w:pStyle w:val="Compact"/>
              <w:jc w:val="right"/>
            </w:pPr>
            <w:r>
              <w:t xml:space="preserve">0.67</w:t>
            </w:r>
          </w:p>
        </w:tc>
        <w:tc>
          <w:p>
            <w:pPr>
              <w:pStyle w:val="Compact"/>
              <w:jc w:val="left"/>
            </w:pPr>
            <w:r>
              <w:t xml:space="preserve">0.488</w:t>
            </w:r>
          </w:p>
        </w:tc>
        <w:tc>
          <w:p>
            <w:pPr>
              <w:pStyle w:val="Compact"/>
              <w:jc w:val="left"/>
            </w:pPr>
            <w:r>
              <w:t xml:space="preserve">1.89</w:t>
            </w:r>
          </w:p>
        </w:tc>
        <w:tc>
          <w:p>
            <w:pPr>
              <w:pStyle w:val="Compact"/>
              <w:jc w:val="left"/>
            </w:pPr>
            <w:r>
              <w:t xml:space="preserve">0.28</w:t>
            </w:r>
          </w:p>
        </w:tc>
      </w:tr>
      <w:tr>
        <w:tc>
          <w:p>
            <w:pPr>
              <w:pStyle w:val="Compact"/>
              <w:jc w:val="left"/>
            </w:pPr>
            <w:r>
              <w:t xml:space="preserve">Eastern Scotian Shelf</w:t>
            </w:r>
          </w:p>
        </w:tc>
        <w:tc>
          <w:p>
            <w:pPr>
              <w:pStyle w:val="Compact"/>
              <w:jc w:val="left"/>
            </w:pPr>
            <w:r>
              <w:t xml:space="preserve">Haddock</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1.20</w:t>
            </w:r>
          </w:p>
        </w:tc>
        <w:tc>
          <w:p>
            <w:pPr>
              <w:pStyle w:val="Compact"/>
              <w:jc w:val="right"/>
            </w:pPr>
            <w:r>
              <w:t xml:space="preserve">0.88</w:t>
            </w:r>
          </w:p>
        </w:tc>
        <w:tc>
          <w:p>
            <w:pPr>
              <w:pStyle w:val="Compact"/>
              <w:jc w:val="left"/>
            </w:pPr>
            <w:r>
              <w:t xml:space="preserve">0.373</w:t>
            </w:r>
          </w:p>
        </w:tc>
        <w:tc>
          <w:p>
            <w:pPr>
              <w:pStyle w:val="Compact"/>
              <w:jc w:val="left"/>
            </w:pPr>
            <w:r>
              <w:t xml:space="preserve">0.70</w:t>
            </w:r>
          </w:p>
        </w:tc>
        <w:tc>
          <w:p>
            <w:pPr>
              <w:pStyle w:val="Compact"/>
              <w:jc w:val="left"/>
            </w:pPr>
            <w:r>
              <w:t xml:space="preserve">0.35</w:t>
            </w:r>
          </w:p>
        </w:tc>
      </w:tr>
      <w:tr>
        <w:tc>
          <w:p>
            <w:pPr>
              <w:pStyle w:val="Compact"/>
              <w:jc w:val="left"/>
            </w:pPr>
            <w:r>
              <w:t xml:space="preserve">Eastern Scotian Shelf</w:t>
            </w:r>
          </w:p>
        </w:tc>
        <w:tc>
          <w:p>
            <w:pPr>
              <w:pStyle w:val="Compact"/>
              <w:jc w:val="left"/>
            </w:pPr>
            <w:r>
              <w:t xml:space="preserve">Haddock</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0.67</w:t>
            </w:r>
          </w:p>
        </w:tc>
        <w:tc>
          <w:p>
            <w:pPr>
              <w:pStyle w:val="Compact"/>
              <w:jc w:val="right"/>
            </w:pPr>
            <w:r>
              <w:t xml:space="preserve">0.74</w:t>
            </w:r>
          </w:p>
        </w:tc>
        <w:tc>
          <w:p>
            <w:pPr>
              <w:pStyle w:val="Compact"/>
              <w:jc w:val="left"/>
            </w:pPr>
            <w:r>
              <w:t xml:space="preserve">0.048</w:t>
            </w:r>
          </w:p>
        </w:tc>
        <w:tc>
          <w:p>
            <w:pPr>
              <w:pStyle w:val="Compact"/>
              <w:jc w:val="left"/>
            </w:pPr>
            <w:r>
              <w:t xml:space="preserve">0.57</w:t>
            </w:r>
          </w:p>
        </w:tc>
        <w:tc>
          <w:p>
            <w:pPr>
              <w:pStyle w:val="Compact"/>
              <w:jc w:val="left"/>
            </w:pPr>
            <w:r>
              <w:t xml:space="preserve">0.91</w:t>
            </w:r>
          </w:p>
        </w:tc>
      </w:tr>
      <w:tr>
        <w:tc>
          <w:p>
            <w:pPr>
              <w:pStyle w:val="Compact"/>
              <w:jc w:val="left"/>
            </w:pPr>
            <w:r>
              <w:t xml:space="preserve">Western Scotian Shelf</w:t>
            </w:r>
          </w:p>
        </w:tc>
        <w:tc>
          <w:p>
            <w:pPr>
              <w:pStyle w:val="Compact"/>
              <w:jc w:val="left"/>
            </w:pPr>
            <w:r>
              <w:t xml:space="preserve">Cod</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0.44</w:t>
            </w:r>
          </w:p>
        </w:tc>
        <w:tc>
          <w:p>
            <w:pPr>
              <w:pStyle w:val="Compact"/>
              <w:jc w:val="right"/>
            </w:pPr>
            <w:r>
              <w:t xml:space="preserve">0.43</w:t>
            </w:r>
          </w:p>
        </w:tc>
        <w:tc>
          <w:p>
            <w:pPr>
              <w:pStyle w:val="Compact"/>
              <w:jc w:val="left"/>
            </w:pPr>
            <w:r>
              <w:t xml:space="preserve">0.117</w:t>
            </w:r>
          </w:p>
        </w:tc>
        <w:tc>
          <w:p>
            <w:pPr>
              <w:pStyle w:val="Compact"/>
              <w:jc w:val="left"/>
            </w:pPr>
            <w:r>
              <w:t xml:space="preserve">-0.17</w:t>
            </w:r>
          </w:p>
        </w:tc>
        <w:tc>
          <w:p>
            <w:pPr>
              <w:pStyle w:val="Compact"/>
              <w:jc w:val="left"/>
            </w:pPr>
            <w:r>
              <w:t xml:space="preserve">0.91</w:t>
            </w:r>
          </w:p>
        </w:tc>
      </w:tr>
      <w:tr>
        <w:tc>
          <w:p>
            <w:pPr>
              <w:pStyle w:val="Compact"/>
              <w:jc w:val="left"/>
            </w:pPr>
            <w:r>
              <w:t xml:space="preserve">Western Scotian Shelf</w:t>
            </w:r>
          </w:p>
        </w:tc>
        <w:tc>
          <w:p>
            <w:pPr>
              <w:pStyle w:val="Compact"/>
              <w:jc w:val="left"/>
            </w:pPr>
            <w:r>
              <w:t xml:space="preserve">Cod</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0.60</w:t>
            </w:r>
          </w:p>
        </w:tc>
        <w:tc>
          <w:p>
            <w:pPr>
              <w:pStyle w:val="Compact"/>
              <w:jc w:val="right"/>
            </w:pPr>
            <w:r>
              <w:t xml:space="preserve">0.58</w:t>
            </w:r>
          </w:p>
        </w:tc>
        <w:tc>
          <w:p>
            <w:pPr>
              <w:pStyle w:val="Compact"/>
              <w:jc w:val="left"/>
            </w:pPr>
            <w:r>
              <w:t xml:space="preserve">0.122</w:t>
            </w:r>
          </w:p>
        </w:tc>
        <w:tc>
          <w:p>
            <w:pPr>
              <w:pStyle w:val="Compact"/>
              <w:jc w:val="left"/>
            </w:pPr>
            <w:r>
              <w:t xml:space="preserve">-0.96</w:t>
            </w:r>
          </w:p>
        </w:tc>
        <w:tc>
          <w:p>
            <w:pPr>
              <w:pStyle w:val="Compact"/>
              <w:jc w:val="left"/>
            </w:pPr>
            <w:r>
              <w:t xml:space="preserve">0.23</w:t>
            </w:r>
          </w:p>
        </w:tc>
      </w:tr>
      <w:tr>
        <w:tc>
          <w:p>
            <w:pPr>
              <w:pStyle w:val="Compact"/>
              <w:jc w:val="left"/>
            </w:pPr>
            <w:r>
              <w:t xml:space="preserve">Western Scotian Shelf</w:t>
            </w:r>
          </w:p>
        </w:tc>
        <w:tc>
          <w:p>
            <w:pPr>
              <w:pStyle w:val="Compact"/>
              <w:jc w:val="left"/>
            </w:pPr>
            <w:r>
              <w:t xml:space="preserve">Haddock</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0.63</w:t>
            </w:r>
          </w:p>
        </w:tc>
        <w:tc>
          <w:p>
            <w:pPr>
              <w:pStyle w:val="Compact"/>
              <w:jc w:val="right"/>
            </w:pPr>
            <w:r>
              <w:t xml:space="preserve">0.57</w:t>
            </w:r>
          </w:p>
        </w:tc>
        <w:tc>
          <w:p>
            <w:pPr>
              <w:pStyle w:val="Compact"/>
              <w:jc w:val="left"/>
            </w:pPr>
            <w:r>
              <w:t xml:space="preserve">0.383</w:t>
            </w:r>
          </w:p>
        </w:tc>
        <w:tc>
          <w:p>
            <w:pPr>
              <w:pStyle w:val="Compact"/>
              <w:jc w:val="left"/>
            </w:pPr>
            <w:r>
              <w:t xml:space="preserve">0.63</w:t>
            </w:r>
          </w:p>
        </w:tc>
        <w:tc>
          <w:p>
            <w:pPr>
              <w:pStyle w:val="Compact"/>
              <w:jc w:val="left"/>
            </w:pPr>
            <w:r>
              <w:t xml:space="preserve">0.80</w:t>
            </w:r>
          </w:p>
        </w:tc>
      </w:tr>
      <w:tr>
        <w:tc>
          <w:p>
            <w:pPr>
              <w:pStyle w:val="Compact"/>
              <w:jc w:val="left"/>
            </w:pPr>
            <w:r>
              <w:t xml:space="preserve">Western Scotian Shelf</w:t>
            </w:r>
          </w:p>
        </w:tc>
        <w:tc>
          <w:p>
            <w:pPr>
              <w:pStyle w:val="Compact"/>
              <w:jc w:val="left"/>
            </w:pPr>
            <w:r>
              <w:t xml:space="preserve">Haddock</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1.10</w:t>
            </w:r>
          </w:p>
        </w:tc>
        <w:tc>
          <w:p>
            <w:pPr>
              <w:pStyle w:val="Compact"/>
              <w:jc w:val="right"/>
            </w:pPr>
            <w:r>
              <w:t xml:space="preserve">0.75</w:t>
            </w:r>
          </w:p>
        </w:tc>
        <w:tc>
          <w:p>
            <w:pPr>
              <w:pStyle w:val="Compact"/>
              <w:jc w:val="left"/>
            </w:pPr>
            <w:r>
              <w:t xml:space="preserve">0.556</w:t>
            </w:r>
          </w:p>
        </w:tc>
        <w:tc>
          <w:p>
            <w:pPr>
              <w:pStyle w:val="Compact"/>
              <w:jc w:val="left"/>
            </w:pPr>
            <w:r>
              <w:t xml:space="preserve">2.61</w:t>
            </w:r>
          </w:p>
        </w:tc>
        <w:tc>
          <w:p>
            <w:pPr>
              <w:pStyle w:val="Compact"/>
              <w:jc w:val="left"/>
            </w:pPr>
            <w:r>
              <w:t xml:space="preserve">0.61</w:t>
            </w:r>
          </w:p>
        </w:tc>
      </w:tr>
      <w:tr>
        <w:tc>
          <w:p>
            <w:pPr>
              <w:pStyle w:val="Compact"/>
              <w:jc w:val="left"/>
            </w:pPr>
            <w:r>
              <w:t xml:space="preserve">Eastern Georges Bank</w:t>
            </w:r>
          </w:p>
        </w:tc>
        <w:tc>
          <w:p>
            <w:pPr>
              <w:pStyle w:val="Compact"/>
              <w:jc w:val="left"/>
            </w:pPr>
            <w:r>
              <w:t xml:space="preserve">Cod</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0.59</w:t>
            </w:r>
          </w:p>
        </w:tc>
        <w:tc>
          <w:p>
            <w:pPr>
              <w:pStyle w:val="Compact"/>
              <w:jc w:val="right"/>
            </w:pPr>
            <w:r>
              <w:t xml:space="preserve">0.59</w:t>
            </w:r>
          </w:p>
        </w:tc>
        <w:tc>
          <w:p>
            <w:pPr>
              <w:pStyle w:val="Compact"/>
              <w:jc w:val="left"/>
            </w:pPr>
            <w:r>
              <w:t xml:space="preserve">0.160</w:t>
            </w:r>
          </w:p>
        </w:tc>
        <w:tc>
          <w:p>
            <w:pPr>
              <w:pStyle w:val="Compact"/>
              <w:jc w:val="left"/>
            </w:pPr>
            <w:r>
              <w:t xml:space="preserve">-0.46</w:t>
            </w:r>
          </w:p>
        </w:tc>
        <w:tc>
          <w:p>
            <w:pPr>
              <w:pStyle w:val="Compact"/>
              <w:jc w:val="left"/>
            </w:pPr>
            <w:r>
              <w:t xml:space="preserve">0.78</w:t>
            </w:r>
          </w:p>
        </w:tc>
      </w:tr>
      <w:tr>
        <w:tc>
          <w:p>
            <w:pPr>
              <w:pStyle w:val="Compact"/>
              <w:jc w:val="left"/>
            </w:pPr>
            <w:r>
              <w:t xml:space="preserve">Eastern Georges Bank</w:t>
            </w:r>
          </w:p>
        </w:tc>
        <w:tc>
          <w:p>
            <w:pPr>
              <w:pStyle w:val="Compact"/>
              <w:jc w:val="left"/>
            </w:pPr>
            <w:r>
              <w:t xml:space="preserve">Cod</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0.74</w:t>
            </w:r>
          </w:p>
        </w:tc>
        <w:tc>
          <w:p>
            <w:pPr>
              <w:pStyle w:val="Compact"/>
              <w:jc w:val="right"/>
            </w:pPr>
            <w:r>
              <w:t xml:space="preserve">0.73</w:t>
            </w:r>
          </w:p>
        </w:tc>
        <w:tc>
          <w:p>
            <w:pPr>
              <w:pStyle w:val="Compact"/>
              <w:jc w:val="left"/>
            </w:pPr>
            <w:r>
              <w:t xml:space="preserve">0.088</w:t>
            </w:r>
          </w:p>
        </w:tc>
        <w:tc>
          <w:p>
            <w:pPr>
              <w:pStyle w:val="Compact"/>
              <w:jc w:val="left"/>
            </w:pPr>
            <w:r>
              <w:t xml:space="preserve">-1.29</w:t>
            </w:r>
          </w:p>
        </w:tc>
        <w:tc>
          <w:p>
            <w:pPr>
              <w:pStyle w:val="Compact"/>
              <w:jc w:val="left"/>
            </w:pPr>
            <w:r>
              <w:t xml:space="preserve">0.41</w:t>
            </w:r>
          </w:p>
        </w:tc>
      </w:tr>
      <w:tr>
        <w:tc>
          <w:p>
            <w:pPr>
              <w:pStyle w:val="Compact"/>
              <w:jc w:val="left"/>
            </w:pPr>
            <w:r>
              <w:t xml:space="preserve">Eastern Georges Bank</w:t>
            </w:r>
          </w:p>
        </w:tc>
        <w:tc>
          <w:p>
            <w:pPr>
              <w:pStyle w:val="Compact"/>
              <w:jc w:val="left"/>
            </w:pPr>
            <w:r>
              <w:t xml:space="preserve">Haddock</w:t>
            </w:r>
          </w:p>
        </w:tc>
        <w:tc>
          <w:p>
            <w:pPr>
              <w:pStyle w:val="Compact"/>
              <w:jc w:val="left"/>
            </w:pPr>
            <w:r>
              <w:t xml:space="preserve">Pre 1993</w:t>
            </w:r>
          </w:p>
        </w:tc>
        <w:tc>
          <w:p>
            <w:pPr>
              <w:pStyle w:val="Compact"/>
              <w:jc w:val="left"/>
            </w:pPr>
            <w:r>
              <w:t xml:space="preserve">Northwest Atlantic</w:t>
            </w:r>
          </w:p>
        </w:tc>
        <w:tc>
          <w:p>
            <w:pPr>
              <w:pStyle w:val="Compact"/>
              <w:jc w:val="right"/>
            </w:pPr>
            <w:r>
              <w:t xml:space="preserve">1.40</w:t>
            </w:r>
          </w:p>
        </w:tc>
        <w:tc>
          <w:p>
            <w:pPr>
              <w:pStyle w:val="Compact"/>
              <w:jc w:val="right"/>
            </w:pPr>
            <w:r>
              <w:t xml:space="preserve">1.30</w:t>
            </w:r>
          </w:p>
        </w:tc>
        <w:tc>
          <w:p>
            <w:pPr>
              <w:pStyle w:val="Compact"/>
              <w:jc w:val="left"/>
            </w:pPr>
            <w:r>
              <w:t xml:space="preserve">0.203</w:t>
            </w:r>
          </w:p>
        </w:tc>
        <w:tc>
          <w:p>
            <w:pPr>
              <w:pStyle w:val="Compact"/>
              <w:jc w:val="left"/>
            </w:pPr>
            <w:r>
              <w:t xml:space="preserve">-0.00</w:t>
            </w:r>
          </w:p>
        </w:tc>
        <w:tc>
          <w:p>
            <w:pPr>
              <w:pStyle w:val="Compact"/>
              <w:jc w:val="left"/>
            </w:pPr>
            <w:r>
              <w:t xml:space="preserve">0.57</w:t>
            </w:r>
          </w:p>
        </w:tc>
      </w:tr>
      <w:tr>
        <w:tc>
          <w:p>
            <w:pPr>
              <w:pStyle w:val="Compact"/>
              <w:jc w:val="left"/>
            </w:pPr>
            <w:r>
              <w:t xml:space="preserve">Eastern Georges Bank</w:t>
            </w:r>
          </w:p>
        </w:tc>
        <w:tc>
          <w:p>
            <w:pPr>
              <w:pStyle w:val="Compact"/>
              <w:jc w:val="left"/>
            </w:pPr>
            <w:r>
              <w:t xml:space="preserve">Haddock</w:t>
            </w:r>
          </w:p>
        </w:tc>
        <w:tc>
          <w:p>
            <w:pPr>
              <w:pStyle w:val="Compact"/>
              <w:jc w:val="left"/>
            </w:pPr>
            <w:r>
              <w:t xml:space="preserve">Recent</w:t>
            </w:r>
          </w:p>
        </w:tc>
        <w:tc>
          <w:p>
            <w:pPr>
              <w:pStyle w:val="Compact"/>
              <w:jc w:val="left"/>
            </w:pPr>
            <w:r>
              <w:t xml:space="preserve">Northwest Atlantic</w:t>
            </w:r>
          </w:p>
        </w:tc>
        <w:tc>
          <w:p>
            <w:pPr>
              <w:pStyle w:val="Compact"/>
              <w:jc w:val="right"/>
            </w:pPr>
            <w:r>
              <w:t xml:space="preserve">1.70</w:t>
            </w:r>
          </w:p>
        </w:tc>
        <w:tc>
          <w:p>
            <w:pPr>
              <w:pStyle w:val="Compact"/>
              <w:jc w:val="right"/>
            </w:pPr>
            <w:r>
              <w:t xml:space="preserve">1.60</w:t>
            </w:r>
          </w:p>
        </w:tc>
        <w:tc>
          <w:p>
            <w:pPr>
              <w:pStyle w:val="Compact"/>
              <w:jc w:val="left"/>
            </w:pPr>
            <w:r>
              <w:t xml:space="preserve">0.083</w:t>
            </w:r>
          </w:p>
        </w:tc>
        <w:tc>
          <w:p>
            <w:pPr>
              <w:pStyle w:val="Compact"/>
              <w:jc w:val="left"/>
            </w:pPr>
            <w:r>
              <w:t xml:space="preserve">-0.36</w:t>
            </w:r>
          </w:p>
        </w:tc>
        <w:tc>
          <w:p>
            <w:pPr>
              <w:pStyle w:val="Compact"/>
              <w:jc w:val="left"/>
            </w:pPr>
            <w:r>
              <w:t xml:space="preserve">0.66</w:t>
            </w:r>
          </w:p>
        </w:tc>
      </w:tr>
    </w:tbl>
    <w:p>
      <w:r>
        <w:br w:type="page"/>
      </w:r>
    </w:p>
    <w:bookmarkEnd w:id="28"/>
    <w:bookmarkStart w:id="38" w:name="figures"/>
    <w:p>
      <w:pPr>
        <w:pStyle w:val="Heading1"/>
      </w:pPr>
      <w:r>
        <w:t xml:space="preserve">Figures</w:t>
      </w:r>
    </w:p>
    <w:p>
      <w:pPr>
        <w:pStyle w:val="CaptionedFigure"/>
      </w:pPr>
      <w:r>
        <w:drawing>
          <wp:inline>
            <wp:extent cx="5334000" cy="5334000"/>
            <wp:effectExtent b="0" l="0" r="0" t="0"/>
            <wp:docPr descr="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 title="" id="1" name="Picture"/>
            <a:graphic>
              <a:graphicData uri="http://schemas.openxmlformats.org/drawingml/2006/picture">
                <pic:pic>
                  <pic:nvPicPr>
                    <pic:cNvPr descr="SR_models_Fogarty_files/figure-docx/fog-ssb-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w:t>
      </w:r>
    </w:p>
    <w:p>
      <w:pPr>
        <w:pStyle w:val="CaptionedFigure"/>
      </w:pPr>
      <w:r>
        <w:drawing>
          <wp:inline>
            <wp:extent cx="5334000" cy="5334000"/>
            <wp:effectExtent b="0" l="0" r="0" t="0"/>
            <wp:docPr descr="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 title="" id="1" name="Picture"/>
            <a:graphic>
              <a:graphicData uri="http://schemas.openxmlformats.org/drawingml/2006/picture">
                <pic:pic>
                  <pic:nvPicPr>
                    <pic:cNvPr descr="SR_models_Fogarty_files/figure-docx/fog-rec-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w:t>
      </w:r>
    </w:p>
    <w:p>
      <w:r>
        <w:br w:type="page"/>
      </w:r>
    </w:p>
    <w:p>
      <w:pPr>
        <w:pStyle w:val="CaptionedFigure"/>
      </w:pPr>
      <w:r>
        <w:drawing>
          <wp:inline>
            <wp:extent cx="5334000" cy="5334000"/>
            <wp:effectExtent b="0" l="0" r="0" t="0"/>
            <wp:docPr descr="Figure 3: Correlation of the recruitment (log scale) time series between cod and haddock stocks in each region." title="" id="1" name="Picture"/>
            <a:graphic>
              <a:graphicData uri="http://schemas.openxmlformats.org/drawingml/2006/picture">
                <pic:pic>
                  <pic:nvPicPr>
                    <pic:cNvPr descr="SR_models_Fogarty_files/figure-docx/cross-ccf-spli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Correlation of the recruitment (log scale) time series between cod and haddock stocks in each region.</w:t>
      </w:r>
    </w:p>
    <w:p>
      <w:r>
        <w:br w:type="page"/>
      </w:r>
    </w:p>
    <w:p>
      <w:pPr>
        <w:pStyle w:val="CaptionedFigure"/>
      </w:pPr>
      <w:r>
        <w:drawing>
          <wp:inline>
            <wp:extent cx="5334000" cy="5334000"/>
            <wp:effectExtent b="0" l="0" r="0" t="0"/>
            <wp:docPr descr="Figure 4: Standard deviation of the log residuals from the Ricker S-R Model." title="" id="1" name="Picture"/>
            <a:graphic>
              <a:graphicData uri="http://schemas.openxmlformats.org/drawingml/2006/picture">
                <pic:pic>
                  <pic:nvPicPr>
                    <pic:cNvPr descr="SR_models_Fogarty_files/figure-docx/sd-resid-s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Standard deviation of the log residuals from the Ricker S-R Model.</w:t>
      </w:r>
    </w:p>
    <w:p>
      <w:r>
        <w:br w:type="page"/>
      </w:r>
    </w:p>
    <w:p>
      <w:pPr>
        <w:pStyle w:val="CaptionedFigure"/>
      </w:pPr>
      <w:r>
        <w:drawing>
          <wp:inline>
            <wp:extent cx="5334000" cy="5334000"/>
            <wp:effectExtent b="0" l="0" r="0" t="0"/>
            <wp:docPr descr="Figure 5: Autocorrelation of recruitment residuals from Ricker stock recruitment model in each Period. The dashed lines show the average for the North East Atlantic (left) and North West Atlantic (right) stocks. The error bars represent the 95//% Confidence Interval." title="" id="1" name="Picture"/>
            <a:graphic>
              <a:graphicData uri="http://schemas.openxmlformats.org/drawingml/2006/picture">
                <pic:pic>
                  <pic:nvPicPr>
                    <pic:cNvPr descr="SR_models_Fogarty_files/figure-docx/acf-split-s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Autocorrelation of recruitment residuals from Ricker stock recruitment model in each Period. The dashed lines show the average for the North East Atlantic (left) and North West Atlantic (right) stocks. The error bars represent the 95//% Confidence Interval.</w:t>
      </w:r>
    </w:p>
    <w:p>
      <w:r>
        <w:br w:type="page"/>
      </w:r>
    </w:p>
    <w:p>
      <w:pPr>
        <w:pStyle w:val="CaptionedFigure"/>
      </w:pPr>
      <w:r>
        <w:drawing>
          <wp:inline>
            <wp:extent cx="5334000" cy="3879272"/>
            <wp:effectExtent b="0" l="0" r="0" t="0"/>
            <wp:docPr descr="Figure 6: The log of the maximum annual reproductive rate estimated using the Ricker stock recruitment model for each stock in the Pre-1993 and Recent period with 95% confidence intervals." title="" id="1" name="Picture"/>
            <a:graphic>
              <a:graphicData uri="http://schemas.openxmlformats.org/drawingml/2006/picture">
                <pic:pic>
                  <pic:nvPicPr>
                    <pic:cNvPr descr="SR_models_Fogarty_files/figure-docx/stan-alpha-plot-1.png" id="0" name="Picture"/>
                    <pic:cNvPicPr>
                      <a:picLocks noChangeArrowheads="1" noChangeAspect="1"/>
                    </pic:cNvPicPr>
                  </pic:nvPicPr>
                  <pic:blipFill>
                    <a:blip r:embed="rId3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6: The log of the maximum annual reproductive rate estimated using the Ricker stock recruitment model for each stock in the Pre-1993 and Recent period with 95% confidence intervals.</w:t>
      </w:r>
    </w:p>
    <w:p>
      <w:r>
        <w:br w:type="page"/>
      </w:r>
    </w:p>
    <w:p>
      <w:pPr>
        <w:pStyle w:val="CaptionedFigure"/>
      </w:pPr>
      <w:r>
        <w:drawing>
          <wp:inline>
            <wp:extent cx="5334000" cy="5334000"/>
            <wp:effectExtent b="0" l="0" r="0" t="0"/>
            <wp:docPr descr="Figure 7: Standard deviation of the log residuals from the Generalized Additive Models (GAMs)." title="" id="1" name="Picture"/>
            <a:graphic>
              <a:graphicData uri="http://schemas.openxmlformats.org/drawingml/2006/picture">
                <pic:pic>
                  <pic:nvPicPr>
                    <pic:cNvPr descr="SR_models_Fogarty_files/figure-docx/sd-resid-gam-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Standard deviation of the log residuals from the Generalized Additive Models (GAMs).</w:t>
      </w:r>
    </w:p>
    <w:p>
      <w:r>
        <w:br w:type="page"/>
      </w:r>
    </w:p>
    <w:p>
      <w:pPr>
        <w:pStyle w:val="CaptionedFigure"/>
      </w:pPr>
      <w:r>
        <w:drawing>
          <wp:inline>
            <wp:extent cx="5334000" cy="5334000"/>
            <wp:effectExtent b="0" l="0" r="0" t="0"/>
            <wp:docPr descr="Figure 8: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 title="" id="1" name="Picture"/>
            <a:graphic>
              <a:graphicData uri="http://schemas.openxmlformats.org/drawingml/2006/picture">
                <pic:pic>
                  <pic:nvPicPr>
                    <pic:cNvPr descr="SR_models_Fogarty_files/figure-docx/hist-rec-ssb-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w:t>
      </w:r>
    </w:p>
    <w:p>
      <w:pPr>
        <w:pStyle w:val="CaptionedFigure"/>
      </w:pPr>
      <w:r>
        <w:drawing>
          <wp:inline>
            <wp:extent cx="5334000" cy="5334000"/>
            <wp:effectExtent b="0" l="0" r="0" t="0"/>
            <wp:docPr descr="Figure 9: The log of the maximum annual reproductive rate estimated using the mean recruitment when SSB is = 0.4 of maximum SSB. The error bars represent 1 standard deviation from the mean. Note that there was insufficient data in the recent period for Western Scotian Shelf Haddock to calculate the standard deviation." title="" id="1" name="Picture"/>
            <a:graphic>
              <a:graphicData uri="http://schemas.openxmlformats.org/drawingml/2006/picture">
                <pic:pic>
                  <pic:nvPicPr>
                    <pic:cNvPr descr="SR_models_Fogarty_files/figure-docx/alpha-40-plt-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The log of the maximum annual reproductive rate estimated using the mean recruitment when SSB is = 0.4 of maximum SSB. The error bars represent 1 standard deviation from the mean. Note that there was insufficient data in the recent period for Western Scotian Shelf Haddock to calculate the standard deviation.</w:t>
      </w:r>
    </w:p>
    <w:p>
      <w:r>
        <w:br w:type="page"/>
      </w:r>
    </w:p>
    <w:bookmarkEnd w:id="38"/>
    <w:bookmarkStart w:id="49" w:name="appendix"/>
    <w:p>
      <w:pPr>
        <w:pStyle w:val="Heading1"/>
      </w:pPr>
      <w:r>
        <w:t xml:space="preserve">Appendix</w:t>
      </w:r>
    </w:p>
    <w:p>
      <w:pPr>
        <w:pStyle w:val="CaptionedFigure"/>
      </w:pPr>
      <w:r>
        <w:drawing>
          <wp:inline>
            <wp:extent cx="5334000" cy="5334000"/>
            <wp:effectExtent b="0" l="0" r="0" t="0"/>
            <wp:docPr descr="Figure 10: Autocorrelation of recruitment residuals from GAMs in each Period." title="" id="1" name="Picture"/>
            <a:graphic>
              <a:graphicData uri="http://schemas.openxmlformats.org/drawingml/2006/picture">
                <pic:pic>
                  <pic:nvPicPr>
                    <pic:cNvPr descr="SR_models_Fogarty_files/figure-docx/acf-split-gam-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Autocorrelation of recruitment residuals from GAMs in each Period.</w:t>
      </w:r>
    </w:p>
    <w:p>
      <w:pPr>
        <w:pStyle w:val="CaptionedFigure"/>
      </w:pPr>
      <w:r>
        <w:drawing>
          <wp:inline>
            <wp:extent cx="5334000" cy="3879272"/>
            <wp:effectExtent b="0" l="0" r="0" t="0"/>
            <wp:docPr descr="Figure 11: Residuals from the Ricker Stock recruitment model." title="" id="1" name="Picture"/>
            <a:graphic>
              <a:graphicData uri="http://schemas.openxmlformats.org/drawingml/2006/picture">
                <pic:pic>
                  <pic:nvPicPr>
                    <pic:cNvPr descr="SR_models_Fogarty_files/figure-docx/sr-resid-pd-plot-1.png" id="0" name="Picture"/>
                    <pic:cNvPicPr>
                      <a:picLocks noChangeArrowheads="1" noChangeAspect="1"/>
                    </pic:cNvPicPr>
                  </pic:nvPicPr>
                  <pic:blipFill>
                    <a:blip r:embed="rId40"/>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11: Residuals from the Ricker Stock recruitment model.</w:t>
      </w:r>
    </w:p>
    <w:p>
      <w:r>
        <w:br w:type="page"/>
      </w:r>
    </w:p>
    <w:p>
      <w:pPr>
        <w:pStyle w:val="BodyText"/>
      </w:pPr>
      <w:r>
        <w:rPr>
          <w:bCs/>
          <w:b/>
        </w:rPr>
        <w:t xml:space="preserve">The fits of the Ricker S-R model, first is the one with two periods</w:t>
      </w:r>
    </w:p>
    <w:p>
      <w:pPr>
        <w:pStyle w:val="CaptionedFigure"/>
      </w:pPr>
      <w:r>
        <w:drawing>
          <wp:inline>
            <wp:extent cx="5334000" cy="5334000"/>
            <wp:effectExtent b="0" l="0" r="0" t="0"/>
            <wp:docPr descr="Figure 12: Recruits/SSB (log scale) vs SSB, Linear model fit on log(10) scale with Alpha calculated for pre 1993 and recent periods" title="" id="1" name="Picture"/>
            <a:graphic>
              <a:graphicData uri="http://schemas.openxmlformats.org/drawingml/2006/picture">
                <pic:pic>
                  <pic:nvPicPr>
                    <pic:cNvPr descr="SR_models_Fogarty_files/figure-docx/rssb-ssb-plot-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Recruits/SSB (log scale) vs SSB, Linear model fit on log(10) scale with Alpha calculated for pre 1993 and recent periods</w:t>
      </w:r>
    </w:p>
    <w:p>
      <w:r>
        <w:br w:type="page"/>
      </w:r>
    </w:p>
    <w:p>
      <w:pPr>
        <w:pStyle w:val="BodyText"/>
      </w:pPr>
      <w:r>
        <w:rPr>
          <w:bCs/>
          <w:b/>
        </w:rPr>
        <w:t xml:space="preserve">Now the S-R model with just the one period</w:t>
      </w:r>
    </w:p>
    <w:p>
      <w:pPr>
        <w:pStyle w:val="CaptionedFigure"/>
      </w:pPr>
      <w:r>
        <w:drawing>
          <wp:inline>
            <wp:extent cx="5334000" cy="5334000"/>
            <wp:effectExtent b="0" l="0" r="0" t="0"/>
            <wp:docPr descr="Figure 13: Recruits/SSB (log scale) vs SSB, Linear model fit on log(10) scale with no differentiation between Periods. Used for Residual analyses." title="" id="1" name="Picture"/>
            <a:graphic>
              <a:graphicData uri="http://schemas.openxmlformats.org/drawingml/2006/picture">
                <pic:pic>
                  <pic:nvPicPr>
                    <pic:cNvPr descr="SR_models_Fogarty_files/figure-docx/rssb-ssb-all-plot-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Recruits/SSB (log scale) vs SSB, Linear model fit on log(10) scale with no differentiation between Periods. Used for Residual analyses.</w:t>
      </w:r>
    </w:p>
    <w:p>
      <w:r>
        <w:br w:type="page"/>
      </w:r>
    </w:p>
    <w:p>
      <w:pPr>
        <w:pStyle w:val="BodyText"/>
      </w:pPr>
      <w:r>
        <w:rPr>
          <w:bCs/>
          <w:b/>
        </w:rPr>
        <w:t xml:space="preserve">Here are the GAM fits from the Recruit time series, GAMs were fit on the log scale</w:t>
      </w:r>
    </w:p>
    <w:p>
      <w:pPr>
        <w:pStyle w:val="CaptionedFigure"/>
      </w:pPr>
      <w:r>
        <w:drawing>
          <wp:inline>
            <wp:extent cx="5334000" cy="5334000"/>
            <wp:effectExtent b="0" l="0" r="0" t="0"/>
            <wp:docPr descr="Figure 14: Recruitment (in millons) time series for 8 Atlantic Cod and Haddock stocks in the Atlantic Ocean. The vertical grey line indicates the division between the two periods. The lines are the GAM fits with 95//% CI in the shaded Region" title="" id="1" name="Picture"/>
            <a:graphic>
              <a:graphicData uri="http://schemas.openxmlformats.org/drawingml/2006/picture">
                <pic:pic>
                  <pic:nvPicPr>
                    <pic:cNvPr descr="SR_models_Fogarty_files/figure-docx/gam-rec-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Recruitment (in millons) time series for 8 Atlantic Cod and Haddock stocks in the Atlantic Ocean. The vertical grey line indicates the division between the two periods. The lines are the GAM fits with 95//% CI in the shaded Region</w:t>
      </w:r>
    </w:p>
    <w:p>
      <w:r>
        <w:br w:type="page"/>
      </w:r>
    </w:p>
    <w:p>
      <w:pPr>
        <w:pStyle w:val="BodyText"/>
      </w:pPr>
      <w:r>
        <w:rPr>
          <w:bCs/>
          <w:b/>
        </w:rPr>
        <w:t xml:space="preserve">We can make a correlation figure by region to if we want</w:t>
      </w:r>
    </w:p>
    <w:p>
      <w:pPr>
        <w:pStyle w:val="CaptionedFigure"/>
      </w:pPr>
      <w:r>
        <w:drawing>
          <wp:inline>
            <wp:extent cx="5334000" cy="5334000"/>
            <wp:effectExtent b="0" l="0" r="0" t="0"/>
            <wp:docPr descr="Figure 15: Correlation of recruitment time series for all Location." title="" id="1" name="Picture"/>
            <a:graphic>
              <a:graphicData uri="http://schemas.openxmlformats.org/drawingml/2006/picture">
                <pic:pic>
                  <pic:nvPicPr>
                    <pic:cNvPr descr="SR_models_Fogarty_files/figure-docx/ccf-plot-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Correlation of recruitment time series for all Location.</w:t>
      </w:r>
    </w:p>
    <w:p>
      <w:r>
        <w:br w:type="page"/>
      </w:r>
    </w:p>
    <w:p>
      <w:pPr>
        <w:pStyle w:val="BodyText"/>
      </w:pPr>
      <w:r>
        <w:rPr>
          <w:bCs/>
          <w:b/>
        </w:rPr>
        <w:t xml:space="preserve">ACF figure for the full SR model residuals</w:t>
      </w:r>
    </w:p>
    <w:p>
      <w:pPr>
        <w:pStyle w:val="CaptionedFigure"/>
      </w:pPr>
      <w:r>
        <w:drawing>
          <wp:inline>
            <wp:extent cx="5334000" cy="5334000"/>
            <wp:effectExtent b="0" l="0" r="0" t="0"/>
            <wp:docPr descr="Figure 16: Autocorrelation of recruitment residuals from the full stock recruitment model for each stock." title="" id="1" name="Picture"/>
            <a:graphic>
              <a:graphicData uri="http://schemas.openxmlformats.org/drawingml/2006/picture">
                <pic:pic>
                  <pic:nvPicPr>
                    <pic:cNvPr descr="SR_models_Fogarty_files/figure-docx/acf-sr-plot-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Autocorrelation of recruitment residuals from the full stock recruitment model for each stock.</w:t>
      </w:r>
    </w:p>
    <w:p>
      <w:r>
        <w:br w:type="page"/>
      </w:r>
    </w:p>
    <w:p>
      <w:pPr>
        <w:pStyle w:val="BodyText"/>
      </w:pPr>
      <w:r>
        <w:t xml:space="preserve">** ACF figure for the GAM model residuals**</w:t>
      </w:r>
    </w:p>
    <w:p>
      <w:pPr>
        <w:pStyle w:val="CaptionedFigure"/>
      </w:pPr>
      <w:r>
        <w:drawing>
          <wp:inline>
            <wp:extent cx="5334000" cy="5334000"/>
            <wp:effectExtent b="0" l="0" r="0" t="0"/>
            <wp:docPr descr="Figure 17: Autocorrelation of recruitment residuals from the GAMs for each stock." title="" id="1" name="Picture"/>
            <a:graphic>
              <a:graphicData uri="http://schemas.openxmlformats.org/drawingml/2006/picture">
                <pic:pic>
                  <pic:nvPicPr>
                    <pic:cNvPr descr="SR_models_Fogarty_files/figure-docx/acf-gam-plot-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Autocorrelation of recruitment residuals from the GAMs for each stock.</w:t>
      </w:r>
    </w:p>
    <w:p>
      <w:r>
        <w:br w:type="page"/>
      </w:r>
    </w:p>
    <w:p>
      <w:pPr>
        <w:pStyle w:val="BodyText"/>
      </w:pPr>
      <w:r>
        <w:rPr>
          <w:bCs/>
          <w:b/>
        </w:rPr>
        <w:t xml:space="preserve">Here is Figure 2 from Fogarty, the Residual plot from the S-R models</w:t>
      </w:r>
    </w:p>
    <w:p>
      <w:pPr>
        <w:pStyle w:val="CaptionedFigure"/>
      </w:pPr>
      <w:r>
        <w:drawing>
          <wp:inline>
            <wp:extent cx="5334000" cy="5334000"/>
            <wp:effectExtent b="0" l="0" r="0" t="0"/>
            <wp:docPr descr="Figure 18: Residuals from the Ricker Stock recruitment model." title="" id="1" name="Picture"/>
            <a:graphic>
              <a:graphicData uri="http://schemas.openxmlformats.org/drawingml/2006/picture">
                <pic:pic>
                  <pic:nvPicPr>
                    <pic:cNvPr descr="SR_models_Fogarty_files/figure-docx/sr-resid-plot-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Residuals from the Ricker Stock recruitment model.</w:t>
      </w:r>
    </w:p>
    <w:p>
      <w:r>
        <w:br w:type="page"/>
      </w:r>
    </w:p>
    <w:p>
      <w:pPr>
        <w:pStyle w:val="BodyText"/>
      </w:pPr>
      <w:r>
        <w:rPr>
          <w:bCs/>
          <w:b/>
        </w:rPr>
        <w:t xml:space="preserve">Here is the GAM residual plot, kind of Figure 2, but for the smoothed time series</w:t>
      </w:r>
    </w:p>
    <w:p>
      <w:pPr>
        <w:pStyle w:val="CaptionedFigure"/>
      </w:pPr>
      <w:r>
        <w:drawing>
          <wp:inline>
            <wp:extent cx="5334000" cy="5334000"/>
            <wp:effectExtent b="0" l="0" r="0" t="0"/>
            <wp:docPr descr="Figure 19: Recruit residuals from the GAM model." title="" id="1" name="Picture"/>
            <a:graphic>
              <a:graphicData uri="http://schemas.openxmlformats.org/drawingml/2006/picture">
                <pic:pic>
                  <pic:nvPicPr>
                    <pic:cNvPr descr="SR_models_Fogarty_files/figure-docx/gam-resid-plot-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Recruit residuals from the GAM model.</w:t>
      </w:r>
    </w:p>
    <w:p>
      <w:r>
        <w:br w:type="page"/>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hyperlink" Id="rId20" Target="https://www.ices.dk/advice/Pages/Latest-Advice.aspx" TargetMode="External" /></Relationships>
</file>

<file path=word/_rels/footnotes.xml.rels><?xml version="1.0" encoding="UTF-8"?>
<Relationships xmlns="http://schemas.openxmlformats.org/package/2006/relationships"><Relationship Type="http://schemas.openxmlformats.org/officeDocument/2006/relationships/hyperlink" Id="rId20" Target="https://www.ices.dk/advice/Pages/Latest-Advic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Haddock S-R models</dc:title>
  <dc:creator>David Keith</dc:creator>
  <cp:keywords/>
  <dcterms:created xsi:type="dcterms:W3CDTF">2022-03-11T12:58:19Z</dcterms:created>
  <dcterms:modified xsi:type="dcterms:W3CDTF">2022-03-11T12:58:19Z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