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FDCC0" w14:textId="7743364A" w:rsidR="009C37BC" w:rsidRDefault="008D5F92">
      <w:pPr>
        <w:pStyle w:val="Title"/>
      </w:pPr>
      <w:r>
        <w:t>Condition Environment</w:t>
      </w:r>
      <w:r w:rsidR="001354B9">
        <w:t xml:space="preserve"> Draft Story Summary</w:t>
      </w:r>
    </w:p>
    <w:p w14:paraId="411FDCC1" w14:textId="77777777" w:rsidR="009C37BC" w:rsidRDefault="001354B9">
      <w:pPr>
        <w:pStyle w:val="Author"/>
      </w:pPr>
      <w:r>
        <w:t>DK</w:t>
      </w:r>
    </w:p>
    <w:p w14:paraId="411FDCC2" w14:textId="28159846" w:rsidR="009C37BC" w:rsidRDefault="008D5F92">
      <w:pPr>
        <w:pStyle w:val="Date"/>
      </w:pPr>
      <w:r>
        <w:t>13</w:t>
      </w:r>
      <w:r w:rsidR="001354B9">
        <w:t>/</w:t>
      </w:r>
      <w:r>
        <w:t>5</w:t>
      </w:r>
      <w:r w:rsidR="001354B9">
        <w:t>/202</w:t>
      </w:r>
      <w:r>
        <w:t>1</w:t>
      </w:r>
    </w:p>
    <w:p w14:paraId="411FDCC3" w14:textId="77777777" w:rsidR="009C37BC" w:rsidRDefault="001354B9">
      <w:pPr>
        <w:pStyle w:val="Heading2"/>
      </w:pPr>
      <w:bookmarkStart w:id="0" w:name="introduction"/>
      <w:r>
        <w:t>Introduction</w:t>
      </w:r>
      <w:bookmarkEnd w:id="0"/>
    </w:p>
    <w:p w14:paraId="77F6DA31" w14:textId="77777777" w:rsidR="00287E5C" w:rsidRDefault="00287E5C" w:rsidP="00287E5C">
      <w:pPr>
        <w:numPr>
          <w:ilvl w:val="0"/>
          <w:numId w:val="2"/>
        </w:numPr>
      </w:pPr>
      <w:r w:rsidRPr="00287E5C">
        <w:t>Oceanographic conditions are known to influence natural fluctuations in fish stocks, however disentangling environmental variability from fishing effects remains challenging despite significant efforts to improve science advice through an ecosystem approach to fisheries management (EAFM).</w:t>
      </w:r>
    </w:p>
    <w:p w14:paraId="411FDCC6" w14:textId="195CDC34" w:rsidR="009C37BC" w:rsidRDefault="00B61BA2" w:rsidP="00B61BA2">
      <w:pPr>
        <w:numPr>
          <w:ilvl w:val="0"/>
          <w:numId w:val="2"/>
        </w:numPr>
      </w:pPr>
      <w:r w:rsidRPr="00B61BA2">
        <w:t>Fisheries management decisions often include setting removals limits in terms of biomass;  however, these decision are complicated by fluctuations in stock size due to variable recruitment, growth, condition, and survival all of which are influenced by the environment. For the world’s largest wild scallop fisheries, the sea scallop (*Placopecten magellanicus*) found off the northeastern United States and eastern Canada, reliable indices of recruitment are available through fishery independent surveys; however, outside of major recruitment events, annual variations in growth underlie major fluctuations in catch rate and yield</w:t>
      </w:r>
    </w:p>
    <w:p w14:paraId="1A788844" w14:textId="22EA6378" w:rsidR="00B61BA2" w:rsidRDefault="00B61BA2" w:rsidP="00B61BA2">
      <w:pPr>
        <w:numPr>
          <w:ilvl w:val="0"/>
          <w:numId w:val="2"/>
        </w:numPr>
      </w:pPr>
      <w:r w:rsidRPr="00B61BA2">
        <w:t>Growth is an integrated r</w:t>
      </w:r>
      <w:bookmarkStart w:id="1" w:name="_GoBack"/>
      <w:bookmarkEnd w:id="1"/>
      <w:r w:rsidRPr="00B61BA2">
        <w:t>esponse of energy acquisition and expenditure. For scallop, growth can be defined either in terms of an increase in some dimension of the shell or in terms of the change in the soft tissue</w:t>
      </w:r>
      <w:r>
        <w:t xml:space="preserve">. </w:t>
      </w:r>
      <w:r w:rsidRPr="00B61BA2">
        <w:t xml:space="preserve">the growth and size of the adductor muscle will also vary throughout the year. </w:t>
      </w:r>
      <w:r>
        <w:t xml:space="preserve"> </w:t>
      </w:r>
      <w:r w:rsidRPr="00B61BA2">
        <w:t>For *P. magellanicus*, intra-annual changes in the meat weight for the same shell height are characterized by increases in weight in late winter and early spring and declines during spawning in the late summer and early fall</w:t>
      </w:r>
    </w:p>
    <w:p w14:paraId="411FDCC8" w14:textId="4FBCA5F2" w:rsidR="009C37BC" w:rsidRDefault="00B61BA2" w:rsidP="00B61BA2">
      <w:pPr>
        <w:numPr>
          <w:ilvl w:val="0"/>
          <w:numId w:val="4"/>
        </w:numPr>
      </w:pPr>
      <w:r w:rsidRPr="00B61BA2">
        <w:t>Inter-annual differences in meat weight for the same shell height are likely due to environmental conditions.</w:t>
      </w:r>
      <w:r>
        <w:t xml:space="preserve"> </w:t>
      </w:r>
      <w:r w:rsidR="00C276F1">
        <w:t>Talk about our paper and other papers here.</w:t>
      </w:r>
    </w:p>
    <w:p w14:paraId="411FDCC9" w14:textId="147D2709" w:rsidR="009C37BC" w:rsidRDefault="00B61BA2" w:rsidP="00B61BA2">
      <w:pPr>
        <w:numPr>
          <w:ilvl w:val="0"/>
          <w:numId w:val="4"/>
        </w:numPr>
      </w:pPr>
      <w:r w:rsidRPr="00B61BA2">
        <w:t>Management decisions for the Canadian Georges Bank sea scallop fishery are based on annual scientific surveys, with estimates from these surveys used in a Bayesian state space assessment model</w:t>
      </w:r>
    </w:p>
    <w:p w14:paraId="411FDCD0" w14:textId="0E400D31" w:rsidR="009C37BC" w:rsidRDefault="001354B9" w:rsidP="008D5F92">
      <w:pPr>
        <w:pStyle w:val="Heading2"/>
      </w:pPr>
      <w:bookmarkStart w:id="2" w:name="methods"/>
      <w:r>
        <w:t>Methods</w:t>
      </w:r>
      <w:bookmarkEnd w:id="2"/>
    </w:p>
    <w:p w14:paraId="4A46CF4A" w14:textId="42B43288" w:rsidR="008D5F92" w:rsidRDefault="008D5F92" w:rsidP="008D5F92">
      <w:pPr>
        <w:pStyle w:val="BodyText"/>
        <w:numPr>
          <w:ilvl w:val="0"/>
          <w:numId w:val="21"/>
        </w:numPr>
      </w:pPr>
      <w:r>
        <w:t>Standard GB backgrounder</w:t>
      </w:r>
    </w:p>
    <w:p w14:paraId="16036A58" w14:textId="45A62325" w:rsidR="008D5F92" w:rsidRDefault="008D5F92" w:rsidP="008D5F92">
      <w:pPr>
        <w:pStyle w:val="BodyText"/>
        <w:numPr>
          <w:ilvl w:val="0"/>
          <w:numId w:val="21"/>
        </w:numPr>
      </w:pPr>
      <w:r>
        <w:t>Talk about 3 models based on Xiaohan’s work</w:t>
      </w:r>
    </w:p>
    <w:p w14:paraId="119F255A" w14:textId="12DF6C48" w:rsidR="008D5F92" w:rsidRDefault="008D5F92" w:rsidP="008D5F92">
      <w:pPr>
        <w:pStyle w:val="BodyText"/>
        <w:numPr>
          <w:ilvl w:val="1"/>
          <w:numId w:val="21"/>
        </w:numPr>
      </w:pPr>
      <w:r>
        <w:t>SST last + SST this</w:t>
      </w:r>
      <w:r w:rsidR="000E65F5">
        <w:t xml:space="preserve"> (Full)</w:t>
      </w:r>
    </w:p>
    <w:p w14:paraId="6DC4F8DF" w14:textId="0E4DBEFA" w:rsidR="008D5F92" w:rsidRDefault="008D5F92" w:rsidP="008D5F92">
      <w:pPr>
        <w:pStyle w:val="BodyText"/>
        <w:numPr>
          <w:ilvl w:val="1"/>
          <w:numId w:val="21"/>
        </w:numPr>
      </w:pPr>
      <w:r>
        <w:t>SST last</w:t>
      </w:r>
      <w:r w:rsidR="000E65F5">
        <w:t xml:space="preserve"> (Last)</w:t>
      </w:r>
    </w:p>
    <w:p w14:paraId="22B62A63" w14:textId="428B1826" w:rsidR="008D5F92" w:rsidRDefault="008D5F92" w:rsidP="008D5F92">
      <w:pPr>
        <w:pStyle w:val="BodyText"/>
        <w:numPr>
          <w:ilvl w:val="1"/>
          <w:numId w:val="21"/>
        </w:numPr>
      </w:pPr>
      <w:r>
        <w:t>Condition autocorrelation model</w:t>
      </w:r>
      <w:r w:rsidR="000E65F5">
        <w:t xml:space="preserve"> (Current)</w:t>
      </w:r>
    </w:p>
    <w:p w14:paraId="61DA6253" w14:textId="5C912C54" w:rsidR="008D5F92" w:rsidRDefault="008D5F92" w:rsidP="008D5F92">
      <w:pPr>
        <w:pStyle w:val="BodyText"/>
        <w:numPr>
          <w:ilvl w:val="0"/>
          <w:numId w:val="21"/>
        </w:numPr>
      </w:pPr>
      <w:r>
        <w:lastRenderedPageBreak/>
        <w:t>Discuss assessment model</w:t>
      </w:r>
    </w:p>
    <w:p w14:paraId="485E8CF3" w14:textId="63A8293B" w:rsidR="008D5F92" w:rsidRDefault="008D5F92" w:rsidP="008D5F92">
      <w:pPr>
        <w:pStyle w:val="BodyText"/>
        <w:numPr>
          <w:ilvl w:val="1"/>
          <w:numId w:val="21"/>
        </w:numPr>
      </w:pPr>
      <w:r>
        <w:t>I don’t want to get deep into details here, just show the process model and where condition fits in.  This part could get out of control quickly so mostly just want to refer back to relevant publications.</w:t>
      </w:r>
    </w:p>
    <w:p w14:paraId="45429945" w14:textId="4EAF18EA" w:rsidR="008D5F92" w:rsidRDefault="008D5F92" w:rsidP="008D5F92">
      <w:pPr>
        <w:pStyle w:val="BodyText"/>
        <w:numPr>
          <w:ilvl w:val="1"/>
          <w:numId w:val="21"/>
        </w:numPr>
      </w:pPr>
      <w:r>
        <w:t>Explain and show how we project forward.</w:t>
      </w:r>
    </w:p>
    <w:p w14:paraId="2E5BA432" w14:textId="1E027CC8" w:rsidR="0030350B" w:rsidRDefault="0030350B" w:rsidP="008D5F92">
      <w:pPr>
        <w:pStyle w:val="BodyText"/>
        <w:numPr>
          <w:ilvl w:val="1"/>
          <w:numId w:val="21"/>
        </w:numPr>
      </w:pPr>
      <w:r>
        <w:t>Explain the retrospective analysis, if that’s the right word for it</w:t>
      </w:r>
    </w:p>
    <w:p w14:paraId="2D927244" w14:textId="7082ADAB" w:rsidR="008D5F92" w:rsidRDefault="0030350B" w:rsidP="008D5F92">
      <w:pPr>
        <w:pStyle w:val="BodyText"/>
        <w:numPr>
          <w:ilvl w:val="0"/>
          <w:numId w:val="21"/>
        </w:numPr>
      </w:pPr>
      <w:r>
        <w:t>Statistical analyses of the results of the retrospective modelling</w:t>
      </w:r>
      <w:r w:rsidR="000A5AAC">
        <w:t>. Compare models using AICc</w:t>
      </w:r>
    </w:p>
    <w:p w14:paraId="1895BDA8" w14:textId="5599E150" w:rsidR="0030350B" w:rsidRDefault="0030350B" w:rsidP="0030350B">
      <w:pPr>
        <w:pStyle w:val="BodyText"/>
        <w:numPr>
          <w:ilvl w:val="1"/>
          <w:numId w:val="21"/>
        </w:numPr>
      </w:pPr>
      <w:r>
        <w:t>A few simple linear models  looks like it’ll do the trick.</w:t>
      </w:r>
    </w:p>
    <w:p w14:paraId="36F571AD" w14:textId="2844CDD9" w:rsidR="0030350B" w:rsidRDefault="0030350B" w:rsidP="0030350B">
      <w:pPr>
        <w:pStyle w:val="BodyText"/>
        <w:numPr>
          <w:ilvl w:val="2"/>
          <w:numId w:val="21"/>
        </w:numPr>
      </w:pPr>
      <w:r>
        <w:t>Biomass ~ model</w:t>
      </w:r>
    </w:p>
    <w:p w14:paraId="7299B50D" w14:textId="6CE592A5" w:rsidR="0030350B" w:rsidRDefault="0030350B" w:rsidP="0030350B">
      <w:pPr>
        <w:pStyle w:val="BodyText"/>
        <w:numPr>
          <w:ilvl w:val="2"/>
          <w:numId w:val="21"/>
        </w:numPr>
      </w:pPr>
      <w:r>
        <w:t>Delta B ~ model</w:t>
      </w:r>
    </w:p>
    <w:p w14:paraId="3E37A7BF" w14:textId="0F27287A" w:rsidR="0030350B" w:rsidRPr="008D5F92" w:rsidRDefault="0030350B" w:rsidP="0030350B">
      <w:pPr>
        <w:pStyle w:val="BodyText"/>
        <w:numPr>
          <w:ilvl w:val="2"/>
          <w:numId w:val="21"/>
        </w:numPr>
      </w:pPr>
      <w:r>
        <w:t>Prop B error ~ model</w:t>
      </w:r>
    </w:p>
    <w:p w14:paraId="411FDCD1" w14:textId="77777777" w:rsidR="009C37BC" w:rsidRDefault="001354B9">
      <w:pPr>
        <w:pStyle w:val="Heading2"/>
      </w:pPr>
      <w:bookmarkStart w:id="3" w:name="results"/>
      <w:r>
        <w:t>R</w:t>
      </w:r>
      <w:r>
        <w:t>esults</w:t>
      </w:r>
      <w:bookmarkEnd w:id="3"/>
    </w:p>
    <w:p w14:paraId="7457734F" w14:textId="53945B22" w:rsidR="000E65F5" w:rsidRDefault="000E65F5" w:rsidP="000E65F5">
      <w:pPr>
        <w:numPr>
          <w:ilvl w:val="0"/>
          <w:numId w:val="6"/>
        </w:numPr>
      </w:pPr>
      <w:r>
        <w:t>Compared SC-SST models with existing biological-only model</w:t>
      </w:r>
    </w:p>
    <w:p w14:paraId="411FDCD6" w14:textId="199CAC6D" w:rsidR="009C37BC" w:rsidRDefault="000E65F5" w:rsidP="000E65F5">
      <w:pPr>
        <w:pStyle w:val="Compact"/>
        <w:numPr>
          <w:ilvl w:val="1"/>
          <w:numId w:val="8"/>
        </w:numPr>
      </w:pPr>
      <w:r>
        <w:t xml:space="preserve">SC best predicted by Full model, but more parsimonious “Last” model would be </w:t>
      </w:r>
      <w:r w:rsidR="000A5AAC">
        <w:t>preferred</w:t>
      </w:r>
      <w:r>
        <w:t xml:space="preserve"> based on AIC</w:t>
      </w:r>
      <w:r w:rsidR="000A5AAC">
        <w:t>c</w:t>
      </w:r>
      <w:r>
        <w:t>.  Current model has lower predictive ability</w:t>
      </w:r>
      <w:r w:rsidR="000A5AAC">
        <w:t xml:space="preserve"> and higher AICc</w:t>
      </w:r>
      <w:r>
        <w:t>.</w:t>
      </w:r>
    </w:p>
    <w:p w14:paraId="2A8F9F4D" w14:textId="1F6E716D" w:rsidR="000A5AAC" w:rsidRDefault="000A5AAC" w:rsidP="000A5AAC">
      <w:pPr>
        <w:pStyle w:val="Compact"/>
        <w:ind w:left="1200"/>
      </w:pPr>
    </w:p>
    <w:tbl>
      <w:tblPr>
        <w:tblStyle w:val="TableGrid"/>
        <w:tblW w:w="6245" w:type="dxa"/>
        <w:jc w:val="center"/>
        <w:tblLook w:val="04A0" w:firstRow="1" w:lastRow="0" w:firstColumn="1" w:lastColumn="0" w:noHBand="0" w:noVBand="1"/>
      </w:tblPr>
      <w:tblGrid>
        <w:gridCol w:w="1000"/>
        <w:gridCol w:w="1000"/>
        <w:gridCol w:w="1053"/>
        <w:gridCol w:w="1053"/>
        <w:gridCol w:w="1139"/>
        <w:gridCol w:w="1000"/>
      </w:tblGrid>
      <w:tr w:rsidR="000A5AAC" w:rsidRPr="000A5AAC" w14:paraId="084EF152" w14:textId="77777777" w:rsidTr="000A5AAC">
        <w:trPr>
          <w:trHeight w:val="288"/>
          <w:jc w:val="center"/>
        </w:trPr>
        <w:tc>
          <w:tcPr>
            <w:tcW w:w="1000" w:type="dxa"/>
            <w:noWrap/>
            <w:vAlign w:val="bottom"/>
            <w:hideMark/>
          </w:tcPr>
          <w:p w14:paraId="7694E3BE" w14:textId="77777777" w:rsidR="000A5AAC" w:rsidRPr="000A5AAC" w:rsidRDefault="000A5AAC" w:rsidP="000A5AAC">
            <w:pPr>
              <w:jc w:val="center"/>
              <w:rPr>
                <w:rFonts w:ascii="Times New Roman" w:eastAsia="Times New Roman" w:hAnsi="Times New Roman" w:cs="Times New Roman"/>
              </w:rPr>
            </w:pPr>
          </w:p>
        </w:tc>
        <w:tc>
          <w:tcPr>
            <w:tcW w:w="1000" w:type="dxa"/>
            <w:noWrap/>
            <w:vAlign w:val="bottom"/>
            <w:hideMark/>
          </w:tcPr>
          <w:p w14:paraId="48F1DADF" w14:textId="13AAF21C" w:rsidR="000A5AAC" w:rsidRPr="000A5AAC" w:rsidRDefault="000A5AAC" w:rsidP="000A5AAC">
            <w:pPr>
              <w:jc w:val="center"/>
              <w:rPr>
                <w:rFonts w:ascii="Calibri" w:eastAsia="Times New Roman" w:hAnsi="Calibri" w:cs="Calibri"/>
                <w:color w:val="000000"/>
                <w:sz w:val="22"/>
                <w:szCs w:val="22"/>
              </w:rPr>
            </w:pPr>
            <w:r>
              <w:rPr>
                <w:rFonts w:ascii="Calibri" w:hAnsi="Calibri"/>
                <w:color w:val="000000"/>
                <w:sz w:val="22"/>
                <w:szCs w:val="22"/>
              </w:rPr>
              <w:t>LL</w:t>
            </w:r>
          </w:p>
        </w:tc>
        <w:tc>
          <w:tcPr>
            <w:tcW w:w="1053" w:type="dxa"/>
            <w:noWrap/>
            <w:vAlign w:val="bottom"/>
            <w:hideMark/>
          </w:tcPr>
          <w:p w14:paraId="016677C1" w14:textId="261D657F" w:rsidR="000A5AAC" w:rsidRPr="000A5AAC" w:rsidRDefault="000A5AAC" w:rsidP="000A5AAC">
            <w:pPr>
              <w:jc w:val="center"/>
              <w:rPr>
                <w:rFonts w:ascii="Calibri" w:eastAsia="Times New Roman" w:hAnsi="Calibri" w:cs="Calibri"/>
                <w:color w:val="000000"/>
                <w:sz w:val="22"/>
                <w:szCs w:val="22"/>
              </w:rPr>
            </w:pPr>
            <w:r>
              <w:rPr>
                <w:rFonts w:ascii="Calibri" w:hAnsi="Calibri"/>
                <w:color w:val="000000"/>
                <w:sz w:val="22"/>
                <w:szCs w:val="22"/>
              </w:rPr>
              <w:t>AICc</w:t>
            </w:r>
          </w:p>
        </w:tc>
        <w:tc>
          <w:tcPr>
            <w:tcW w:w="1053" w:type="dxa"/>
            <w:noWrap/>
            <w:vAlign w:val="bottom"/>
            <w:hideMark/>
          </w:tcPr>
          <w:p w14:paraId="530CD950" w14:textId="2979B908" w:rsidR="000A5AAC" w:rsidRPr="000A5AAC" w:rsidRDefault="000A5AAC" w:rsidP="000A5AAC">
            <w:pPr>
              <w:jc w:val="center"/>
              <w:rPr>
                <w:rFonts w:ascii="Calibri" w:eastAsia="Times New Roman" w:hAnsi="Calibri" w:cs="Calibri"/>
                <w:color w:val="000000"/>
                <w:sz w:val="22"/>
                <w:szCs w:val="22"/>
              </w:rPr>
            </w:pPr>
            <w:r>
              <w:rPr>
                <w:rFonts w:ascii="Calibri" w:hAnsi="Calibri"/>
                <w:color w:val="000000"/>
                <w:sz w:val="22"/>
                <w:szCs w:val="22"/>
              </w:rPr>
              <w:t>Delta LL</w:t>
            </w:r>
          </w:p>
        </w:tc>
        <w:tc>
          <w:tcPr>
            <w:tcW w:w="1139" w:type="dxa"/>
            <w:noWrap/>
            <w:vAlign w:val="bottom"/>
            <w:hideMark/>
          </w:tcPr>
          <w:p w14:paraId="2EF9C6BA" w14:textId="7A330E0E" w:rsidR="000A5AAC" w:rsidRPr="000A5AAC" w:rsidRDefault="000A5AAC" w:rsidP="000A5AAC">
            <w:pPr>
              <w:jc w:val="center"/>
              <w:rPr>
                <w:rFonts w:ascii="Calibri" w:eastAsia="Times New Roman" w:hAnsi="Calibri" w:cs="Calibri"/>
                <w:color w:val="000000"/>
                <w:sz w:val="22"/>
                <w:szCs w:val="22"/>
              </w:rPr>
            </w:pPr>
            <w:r>
              <w:rPr>
                <w:rFonts w:ascii="Calibri" w:hAnsi="Calibri"/>
                <w:color w:val="000000"/>
                <w:sz w:val="22"/>
                <w:szCs w:val="22"/>
              </w:rPr>
              <w:t>Delta AICc</w:t>
            </w:r>
          </w:p>
        </w:tc>
        <w:tc>
          <w:tcPr>
            <w:tcW w:w="1000" w:type="dxa"/>
            <w:noWrap/>
            <w:vAlign w:val="bottom"/>
            <w:hideMark/>
          </w:tcPr>
          <w:p w14:paraId="3F49ABC1" w14:textId="42A4BC68" w:rsidR="000A5AAC" w:rsidRPr="000A5AAC" w:rsidRDefault="000A5AAC" w:rsidP="000A5AAC">
            <w:pPr>
              <w:jc w:val="center"/>
              <w:rPr>
                <w:rFonts w:ascii="Calibri" w:eastAsia="Times New Roman" w:hAnsi="Calibri" w:cs="Calibri"/>
                <w:color w:val="000000"/>
                <w:sz w:val="22"/>
                <w:szCs w:val="22"/>
              </w:rPr>
            </w:pPr>
            <w:r>
              <w:rPr>
                <w:rFonts w:ascii="Calibri" w:hAnsi="Calibri"/>
                <w:color w:val="000000"/>
                <w:sz w:val="22"/>
                <w:szCs w:val="22"/>
              </w:rPr>
              <w:t>df</w:t>
            </w:r>
          </w:p>
        </w:tc>
      </w:tr>
      <w:tr w:rsidR="000A5AAC" w:rsidRPr="000A5AAC" w14:paraId="502AB5BC" w14:textId="77777777" w:rsidTr="000A5AAC">
        <w:trPr>
          <w:trHeight w:val="288"/>
          <w:jc w:val="center"/>
        </w:trPr>
        <w:tc>
          <w:tcPr>
            <w:tcW w:w="1000" w:type="dxa"/>
            <w:noWrap/>
            <w:vAlign w:val="bottom"/>
            <w:hideMark/>
          </w:tcPr>
          <w:p w14:paraId="578C80F9" w14:textId="620580B8"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Full</w:t>
            </w:r>
          </w:p>
        </w:tc>
        <w:tc>
          <w:tcPr>
            <w:tcW w:w="1000" w:type="dxa"/>
            <w:noWrap/>
            <w:vAlign w:val="bottom"/>
            <w:hideMark/>
          </w:tcPr>
          <w:p w14:paraId="443CB469" w14:textId="7FCC5A70"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-52.2</w:t>
            </w:r>
          </w:p>
        </w:tc>
        <w:tc>
          <w:tcPr>
            <w:tcW w:w="1053" w:type="dxa"/>
            <w:noWrap/>
            <w:vAlign w:val="bottom"/>
            <w:hideMark/>
          </w:tcPr>
          <w:p w14:paraId="67E205D2" w14:textId="3E9D9718"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113.7</w:t>
            </w:r>
          </w:p>
        </w:tc>
        <w:tc>
          <w:tcPr>
            <w:tcW w:w="1053" w:type="dxa"/>
            <w:noWrap/>
            <w:vAlign w:val="bottom"/>
            <w:hideMark/>
          </w:tcPr>
          <w:p w14:paraId="650635C9" w14:textId="09A076C2"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11.3</w:t>
            </w:r>
          </w:p>
        </w:tc>
        <w:tc>
          <w:tcPr>
            <w:tcW w:w="1139" w:type="dxa"/>
            <w:noWrap/>
            <w:vAlign w:val="bottom"/>
            <w:hideMark/>
          </w:tcPr>
          <w:p w14:paraId="3A4A3A75" w14:textId="3CD07826"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0</w:t>
            </w:r>
          </w:p>
        </w:tc>
        <w:tc>
          <w:tcPr>
            <w:tcW w:w="1000" w:type="dxa"/>
            <w:noWrap/>
            <w:vAlign w:val="bottom"/>
            <w:hideMark/>
          </w:tcPr>
          <w:p w14:paraId="4CB17D8F" w14:textId="61ECC10F"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4</w:t>
            </w:r>
          </w:p>
        </w:tc>
      </w:tr>
      <w:tr w:rsidR="000A5AAC" w:rsidRPr="000A5AAC" w14:paraId="330998E7" w14:textId="77777777" w:rsidTr="000A5AAC">
        <w:trPr>
          <w:trHeight w:val="288"/>
          <w:jc w:val="center"/>
        </w:trPr>
        <w:tc>
          <w:tcPr>
            <w:tcW w:w="1000" w:type="dxa"/>
            <w:noWrap/>
            <w:vAlign w:val="bottom"/>
            <w:hideMark/>
          </w:tcPr>
          <w:p w14:paraId="118ABE86" w14:textId="5DAF9841"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Last</w:t>
            </w:r>
          </w:p>
        </w:tc>
        <w:tc>
          <w:tcPr>
            <w:tcW w:w="1000" w:type="dxa"/>
            <w:noWrap/>
            <w:vAlign w:val="bottom"/>
            <w:hideMark/>
          </w:tcPr>
          <w:p w14:paraId="12BBCA43" w14:textId="69E143A2"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-53.9</w:t>
            </w:r>
          </w:p>
        </w:tc>
        <w:tc>
          <w:tcPr>
            <w:tcW w:w="1053" w:type="dxa"/>
            <w:noWrap/>
            <w:vAlign w:val="bottom"/>
            <w:hideMark/>
          </w:tcPr>
          <w:p w14:paraId="494B2CEE" w14:textId="6C252004"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114.7</w:t>
            </w:r>
          </w:p>
        </w:tc>
        <w:tc>
          <w:tcPr>
            <w:tcW w:w="1053" w:type="dxa"/>
            <w:noWrap/>
            <w:vAlign w:val="bottom"/>
            <w:hideMark/>
          </w:tcPr>
          <w:p w14:paraId="64076FF7" w14:textId="23A460F4"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9.5</w:t>
            </w:r>
          </w:p>
        </w:tc>
        <w:tc>
          <w:tcPr>
            <w:tcW w:w="1139" w:type="dxa"/>
            <w:noWrap/>
            <w:vAlign w:val="bottom"/>
            <w:hideMark/>
          </w:tcPr>
          <w:p w14:paraId="0C5F37D7" w14:textId="444EB570"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0.9</w:t>
            </w:r>
          </w:p>
        </w:tc>
        <w:tc>
          <w:tcPr>
            <w:tcW w:w="1000" w:type="dxa"/>
            <w:noWrap/>
            <w:vAlign w:val="bottom"/>
            <w:hideMark/>
          </w:tcPr>
          <w:p w14:paraId="3BEDF62B" w14:textId="25CAE7C8"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3</w:t>
            </w:r>
          </w:p>
        </w:tc>
      </w:tr>
      <w:tr w:rsidR="000A5AAC" w:rsidRPr="000A5AAC" w14:paraId="598115F3" w14:textId="77777777" w:rsidTr="000A5AAC">
        <w:trPr>
          <w:trHeight w:val="288"/>
          <w:jc w:val="center"/>
        </w:trPr>
        <w:tc>
          <w:tcPr>
            <w:tcW w:w="1000" w:type="dxa"/>
            <w:noWrap/>
            <w:vAlign w:val="bottom"/>
            <w:hideMark/>
          </w:tcPr>
          <w:p w14:paraId="123BA220" w14:textId="25785109"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Current</w:t>
            </w:r>
          </w:p>
        </w:tc>
        <w:tc>
          <w:tcPr>
            <w:tcW w:w="1000" w:type="dxa"/>
            <w:noWrap/>
            <w:vAlign w:val="bottom"/>
            <w:hideMark/>
          </w:tcPr>
          <w:p w14:paraId="14C74EB0" w14:textId="37F0B0C7"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-63.5</w:t>
            </w:r>
          </w:p>
        </w:tc>
        <w:tc>
          <w:tcPr>
            <w:tcW w:w="1053" w:type="dxa"/>
            <w:noWrap/>
            <w:vAlign w:val="bottom"/>
            <w:hideMark/>
          </w:tcPr>
          <w:p w14:paraId="3D227E18" w14:textId="3B77E7DF"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133.7</w:t>
            </w:r>
          </w:p>
        </w:tc>
        <w:tc>
          <w:tcPr>
            <w:tcW w:w="1053" w:type="dxa"/>
            <w:noWrap/>
            <w:vAlign w:val="bottom"/>
            <w:hideMark/>
          </w:tcPr>
          <w:p w14:paraId="6F4C357C" w14:textId="67AF9C48"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0</w:t>
            </w:r>
          </w:p>
        </w:tc>
        <w:tc>
          <w:tcPr>
            <w:tcW w:w="1139" w:type="dxa"/>
            <w:noWrap/>
            <w:vAlign w:val="bottom"/>
            <w:hideMark/>
          </w:tcPr>
          <w:p w14:paraId="59ACBCEC" w14:textId="69C37E65"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20</w:t>
            </w:r>
          </w:p>
        </w:tc>
        <w:tc>
          <w:tcPr>
            <w:tcW w:w="1000" w:type="dxa"/>
            <w:noWrap/>
            <w:vAlign w:val="bottom"/>
            <w:hideMark/>
          </w:tcPr>
          <w:p w14:paraId="52D892B5" w14:textId="7D6B3F3D" w:rsidR="000A5AAC" w:rsidRPr="000A5AAC" w:rsidRDefault="000A5AAC" w:rsidP="000A5AAC">
            <w:pPr>
              <w:jc w:val="right"/>
              <w:rPr>
                <w:rFonts w:ascii="Calibri" w:eastAsia="Times New Roman" w:hAnsi="Calibri" w:cs="Calibri"/>
                <w:color w:val="000000"/>
                <w:sz w:val="22"/>
                <w:szCs w:val="22"/>
              </w:rPr>
            </w:pPr>
            <w:r>
              <w:rPr>
                <w:rFonts w:ascii="Calibri" w:hAnsi="Calibri"/>
                <w:color w:val="000000"/>
                <w:sz w:val="22"/>
                <w:szCs w:val="22"/>
              </w:rPr>
              <w:t>3</w:t>
            </w:r>
          </w:p>
        </w:tc>
      </w:tr>
    </w:tbl>
    <w:p w14:paraId="7A8FBB0E" w14:textId="6840F43B" w:rsidR="00E6530D" w:rsidRDefault="00E6530D" w:rsidP="00E6530D">
      <w:pPr>
        <w:pStyle w:val="Compact"/>
        <w:ind w:left="1200"/>
      </w:pPr>
      <w:r>
        <w:rPr>
          <w:noProof/>
        </w:rPr>
        <mc:AlternateContent>
          <mc:Choice Requires="wps">
            <w:drawing>
              <wp:inline distT="0" distB="0" distL="0" distR="0" wp14:anchorId="06505F9D" wp14:editId="08990EFC">
                <wp:extent cx="304800" cy="304800"/>
                <wp:effectExtent l="0" t="0" r="0" b="0"/>
                <wp:docPr id="2" name="Rectangle 2" descr="http://127.0.0.1:33315/graphics/plot_zoom_png?width=1228&amp;height=7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8A7E2" id="Rectangle 2" o:spid="_x0000_s1026" alt="http://127.0.0.1:33315/graphics/plot_zoom_png?width=1228&amp;height=7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tuN63u8CAAAH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1EE65E7E" w14:textId="09A81EE9" w:rsidR="00D60C6F" w:rsidRDefault="00D60C6F" w:rsidP="00E6530D">
      <w:pPr>
        <w:pStyle w:val="Compact"/>
        <w:ind w:left="1200"/>
      </w:pPr>
    </w:p>
    <w:p w14:paraId="11B6913C" w14:textId="23EE744E" w:rsidR="00D60C6F" w:rsidRDefault="00D60C6F" w:rsidP="00E6530D">
      <w:pPr>
        <w:pStyle w:val="Compact"/>
        <w:ind w:left="1200"/>
      </w:pPr>
    </w:p>
    <w:p w14:paraId="0DF08F15" w14:textId="60ADDBB0" w:rsidR="00D60C6F" w:rsidRDefault="00D60C6F" w:rsidP="00E6530D">
      <w:pPr>
        <w:pStyle w:val="Compact"/>
        <w:ind w:left="1200"/>
      </w:pPr>
    </w:p>
    <w:p w14:paraId="2D497A4E" w14:textId="68961A8A" w:rsidR="00D60C6F" w:rsidRDefault="00D60C6F" w:rsidP="00E6530D">
      <w:pPr>
        <w:pStyle w:val="Compact"/>
        <w:ind w:left="1200"/>
      </w:pPr>
    </w:p>
    <w:p w14:paraId="61850728" w14:textId="409320E1" w:rsidR="00D60C6F" w:rsidRDefault="00D60C6F" w:rsidP="00E6530D">
      <w:pPr>
        <w:pStyle w:val="Compact"/>
        <w:ind w:left="1200"/>
      </w:pPr>
      <w:r>
        <w:rPr>
          <w:noProof/>
        </w:rPr>
        <w:lastRenderedPageBreak/>
        <mc:AlternateContent>
          <mc:Choice Requires="wps">
            <w:drawing>
              <wp:anchor distT="45720" distB="45720" distL="114300" distR="114300" simplePos="0" relativeHeight="251661312" behindDoc="0" locked="0" layoutInCell="1" allowOverlap="1" wp14:anchorId="2F252A76" wp14:editId="2F5EF623">
                <wp:simplePos x="0" y="0"/>
                <wp:positionH relativeFrom="margin">
                  <wp:align>left</wp:align>
                </wp:positionH>
                <wp:positionV relativeFrom="paragraph">
                  <wp:posOffset>247650</wp:posOffset>
                </wp:positionV>
                <wp:extent cx="6046470" cy="3211830"/>
                <wp:effectExtent l="0" t="0" r="1143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6470" cy="3211830"/>
                        </a:xfrm>
                        <a:prstGeom prst="rect">
                          <a:avLst/>
                        </a:prstGeom>
                        <a:solidFill>
                          <a:srgbClr val="FFFFFF"/>
                        </a:solidFill>
                        <a:ln w="9525">
                          <a:solidFill>
                            <a:srgbClr val="000000"/>
                          </a:solidFill>
                          <a:miter lim="800000"/>
                          <a:headEnd/>
                          <a:tailEnd/>
                        </a:ln>
                      </wps:spPr>
                      <wps:txbx>
                        <w:txbxContent>
                          <w:p w14:paraId="0F148E8B" w14:textId="2B4969CA" w:rsidR="00D60C6F" w:rsidRDefault="00D60C6F" w:rsidP="00D60C6F">
                            <w:r>
                              <w:rPr>
                                <w:noProof/>
                              </w:rPr>
                              <w:drawing>
                                <wp:inline distT="0" distB="0" distL="0" distR="0" wp14:anchorId="22AD186E" wp14:editId="5F145D3A">
                                  <wp:extent cx="5341620" cy="2670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_mode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1620" cy="2670810"/>
                                          </a:xfrm>
                                          <a:prstGeom prst="rect">
                                            <a:avLst/>
                                          </a:prstGeom>
                                        </pic:spPr>
                                      </pic:pic>
                                    </a:graphicData>
                                  </a:graphic>
                                </wp:inline>
                              </w:drawing>
                            </w:r>
                          </w:p>
                          <w:p w14:paraId="3A6C3D8E" w14:textId="0A2D33F8" w:rsidR="00D60C6F" w:rsidRDefault="00D60C6F" w:rsidP="00D60C6F">
                            <w:r>
                              <w:t>Figure 1: The fits of the 3 projection methods to Scallop Condition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252A76" id="_x0000_t202" coordsize="21600,21600" o:spt="202" path="m,l,21600r21600,l21600,xe">
                <v:stroke joinstyle="miter"/>
                <v:path gradientshapeok="t" o:connecttype="rect"/>
              </v:shapetype>
              <v:shape id="Text Box 2" o:spid="_x0000_s1026" type="#_x0000_t202" style="position:absolute;left:0;text-align:left;margin-left:0;margin-top:19.5pt;width:476.1pt;height:252.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qJAIAAEY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">
                <v:textbox>
                  <w:txbxContent>
                    <w:p w14:paraId="0F148E8B" w14:textId="2B4969CA" w:rsidR="00D60C6F" w:rsidRDefault="00D60C6F" w:rsidP="00D60C6F">
                      <w:r>
                        <w:rPr>
                          <w:noProof/>
                        </w:rPr>
                        <w:drawing>
                          <wp:inline distT="0" distB="0" distL="0" distR="0" wp14:anchorId="22AD186E" wp14:editId="5F145D3A">
                            <wp:extent cx="5341620" cy="2670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_mode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1620" cy="2670810"/>
                                    </a:xfrm>
                                    <a:prstGeom prst="rect">
                                      <a:avLst/>
                                    </a:prstGeom>
                                  </pic:spPr>
                                </pic:pic>
                              </a:graphicData>
                            </a:graphic>
                          </wp:inline>
                        </w:drawing>
                      </w:r>
                    </w:p>
                    <w:p w14:paraId="3A6C3D8E" w14:textId="0A2D33F8" w:rsidR="00D60C6F" w:rsidRDefault="00D60C6F" w:rsidP="00D60C6F">
                      <w:r>
                        <w:t>Figure 1: The fits of the 3 projection methods to Scallop Condition</w:t>
                      </w:r>
                    </w:p>
                  </w:txbxContent>
                </v:textbox>
                <w10:wrap type="square" anchorx="margin"/>
              </v:shape>
            </w:pict>
          </mc:Fallback>
        </mc:AlternateContent>
      </w:r>
    </w:p>
    <w:p w14:paraId="5B6D66FB" w14:textId="44523973" w:rsidR="00D60C6F" w:rsidRDefault="00D60C6F" w:rsidP="00E6530D">
      <w:pPr>
        <w:pStyle w:val="Compact"/>
        <w:ind w:left="1200"/>
      </w:pPr>
    </w:p>
    <w:p w14:paraId="411FDCD7" w14:textId="5E3F0F18" w:rsidR="009C37BC" w:rsidRDefault="00E6530D">
      <w:pPr>
        <w:numPr>
          <w:ilvl w:val="0"/>
          <w:numId w:val="6"/>
        </w:numPr>
      </w:pPr>
      <w:r>
        <w:t>Retrospective Analysis</w:t>
      </w:r>
    </w:p>
    <w:p w14:paraId="22B9ACCD" w14:textId="2ED100E9" w:rsidR="00E6530D" w:rsidRDefault="00E6530D" w:rsidP="00E6530D">
      <w:pPr>
        <w:numPr>
          <w:ilvl w:val="1"/>
          <w:numId w:val="6"/>
        </w:numPr>
      </w:pPr>
      <w:r>
        <w:t>Compared each of these models with the realized biomass estimate from the model from 1987-2019</w:t>
      </w:r>
    </w:p>
    <w:p w14:paraId="5137490D" w14:textId="2ED8D2DB" w:rsidR="00E6530D" w:rsidRDefault="00D03917" w:rsidP="00E6530D">
      <w:pPr>
        <w:numPr>
          <w:ilvl w:val="2"/>
          <w:numId w:val="6"/>
        </w:numPr>
      </w:pPr>
      <w:r>
        <w:t>The biomass from the</w:t>
      </w:r>
      <w:r w:rsidR="00E6530D">
        <w:t xml:space="preserve"> one year projections methods all </w:t>
      </w:r>
      <w:r>
        <w:t xml:space="preserve">were slightly </w:t>
      </w:r>
      <w:r w:rsidR="00E6530D">
        <w:t xml:space="preserve"> positive</w:t>
      </w:r>
      <w:r>
        <w:t>ly</w:t>
      </w:r>
      <w:r w:rsidR="00E6530D">
        <w:t xml:space="preserve"> bias</w:t>
      </w:r>
      <w:r w:rsidR="00D60C6F">
        <w:t>ed</w:t>
      </w:r>
      <w:r w:rsidR="00E6530D">
        <w:t xml:space="preserve"> (≈ 10</w:t>
      </w:r>
      <w:r w:rsidR="007145D2">
        <w:t>-12</w:t>
      </w:r>
      <w:r w:rsidR="00E6530D">
        <w:t>%</w:t>
      </w:r>
      <w:r w:rsidR="00D60C6F">
        <w:t xml:space="preserve"> : Figures 2 and 3)</w:t>
      </w:r>
    </w:p>
    <w:p w14:paraId="6AEA4932" w14:textId="61E89F2E" w:rsidR="00D60C6F" w:rsidRDefault="00E6530D" w:rsidP="00490831">
      <w:pPr>
        <w:numPr>
          <w:ilvl w:val="2"/>
          <w:numId w:val="6"/>
        </w:numPr>
      </w:pPr>
      <w:r>
        <w:t xml:space="preserve">The bias and uncertainty of the currently used method is </w:t>
      </w:r>
      <w:r w:rsidR="00D03917">
        <w:t>slightly</w:t>
      </w:r>
      <w:r>
        <w:t xml:space="preserve"> smaller </w:t>
      </w:r>
      <w:r w:rsidR="007145D2">
        <w:t xml:space="preserve">(though not significantly different) </w:t>
      </w:r>
      <w:r>
        <w:t xml:space="preserve">than either SC-SST model was used.  </w:t>
      </w:r>
      <w:r w:rsidR="007145D2">
        <w:t xml:space="preserve">The currently used method bias was ≈ 2200 tonnes, while the Full Model bias (SST Current + SST Last) was ≈ 2400 tonnes </w:t>
      </w:r>
      <w:r w:rsidR="00D60C6F">
        <w:t>Figures 2 and 3.</w:t>
      </w:r>
    </w:p>
    <w:p w14:paraId="52C12625" w14:textId="2A1BF035" w:rsidR="00D60C6F" w:rsidRDefault="00D60C6F" w:rsidP="00D60C6F">
      <w:pPr>
        <w:ind w:left="1920"/>
      </w:pPr>
      <w:r>
        <w:rPr>
          <w:noProof/>
        </w:rPr>
        <w:lastRenderedPageBreak/>
        <mc:AlternateContent>
          <mc:Choice Requires="wps">
            <w:drawing>
              <wp:anchor distT="45720" distB="45720" distL="114300" distR="114300" simplePos="0" relativeHeight="251659264" behindDoc="0" locked="0" layoutInCell="1" allowOverlap="1" wp14:anchorId="0CDAFCBF" wp14:editId="31192AD5">
                <wp:simplePos x="0" y="0"/>
                <wp:positionH relativeFrom="column">
                  <wp:posOffset>194310</wp:posOffset>
                </wp:positionH>
                <wp:positionV relativeFrom="paragraph">
                  <wp:posOffset>72390</wp:posOffset>
                </wp:positionV>
                <wp:extent cx="6324600" cy="439293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392930"/>
                        </a:xfrm>
                        <a:prstGeom prst="rect">
                          <a:avLst/>
                        </a:prstGeom>
                        <a:solidFill>
                          <a:srgbClr val="FFFFFF"/>
                        </a:solidFill>
                        <a:ln w="9525">
                          <a:solidFill>
                            <a:srgbClr val="000000"/>
                          </a:solidFill>
                          <a:miter lim="800000"/>
                          <a:headEnd/>
                          <a:tailEnd/>
                        </a:ln>
                      </wps:spPr>
                      <wps:txbx>
                        <w:txbxContent>
                          <w:p w14:paraId="70399F87" w14:textId="09EF3DED" w:rsidR="00D60C6F" w:rsidRDefault="00D60C6F">
                            <w:r>
                              <w:rPr>
                                <w:noProof/>
                              </w:rPr>
                              <w:drawing>
                                <wp:inline distT="0" distB="0" distL="0" distR="0" wp14:anchorId="52BC0AAF" wp14:editId="00C1A41B">
                                  <wp:extent cx="2162810" cy="360502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all_eff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2810" cy="3605027"/>
                                          </a:xfrm>
                                          <a:prstGeom prst="rect">
                                            <a:avLst/>
                                          </a:prstGeom>
                                        </pic:spPr>
                                      </pic:pic>
                                    </a:graphicData>
                                  </a:graphic>
                                </wp:inline>
                              </w:drawing>
                            </w:r>
                          </w:p>
                          <w:p w14:paraId="3A27704F" w14:textId="2F377056" w:rsidR="00D60C6F" w:rsidRDefault="00D60C6F">
                            <w:r>
                              <w:t>Figure 2: Difference (tonnes) in median biomass from actual observed biomass estimate for each method.   Second panel is the proportional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AFCBF" id="_x0000_s1027" type="#_x0000_t202" style="position:absolute;left:0;text-align:left;margin-left:15.3pt;margin-top:5.7pt;width:498pt;height:345.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">
                <v:textbox>
                  <w:txbxContent>
                    <w:p w14:paraId="70399F87" w14:textId="09EF3DED" w:rsidR="00D60C6F" w:rsidRDefault="00D60C6F">
                      <w:r>
                        <w:rPr>
                          <w:noProof/>
                        </w:rPr>
                        <w:drawing>
                          <wp:inline distT="0" distB="0" distL="0" distR="0" wp14:anchorId="52BC0AAF" wp14:editId="00C1A41B">
                            <wp:extent cx="2162810" cy="360502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all_eff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2810" cy="3605027"/>
                                    </a:xfrm>
                                    <a:prstGeom prst="rect">
                                      <a:avLst/>
                                    </a:prstGeom>
                                  </pic:spPr>
                                </pic:pic>
                              </a:graphicData>
                            </a:graphic>
                          </wp:inline>
                        </w:drawing>
                      </w:r>
                    </w:p>
                    <w:p w14:paraId="3A27704F" w14:textId="2F377056" w:rsidR="00D60C6F" w:rsidRDefault="00D60C6F">
                      <w:r>
                        <w:t>Figure 2: Difference (tonnes) in median biomass from actual observed biomass estimate for each method.   Second panel is the proportional difference.</w:t>
                      </w:r>
                    </w:p>
                  </w:txbxContent>
                </v:textbox>
                <w10:wrap type="square"/>
              </v:shape>
            </w:pict>
          </mc:Fallback>
        </mc:AlternateContent>
      </w:r>
    </w:p>
    <w:p w14:paraId="6E48B711" w14:textId="60E1D54F" w:rsidR="00E6530D" w:rsidRDefault="00D03917" w:rsidP="00D60C6F">
      <w:pPr>
        <w:ind w:left="1920"/>
      </w:pPr>
      <w:r>
        <w:rPr>
          <w:noProof/>
        </w:rPr>
        <w:lastRenderedPageBreak/>
        <w:drawing>
          <wp:inline distT="0" distB="0" distL="0" distR="0" wp14:anchorId="206B208E" wp14:editId="093C87F3">
            <wp:extent cx="3211830" cy="53530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series_bm_comparis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5398" cy="5358997"/>
                    </a:xfrm>
                    <a:prstGeom prst="rect">
                      <a:avLst/>
                    </a:prstGeom>
                  </pic:spPr>
                </pic:pic>
              </a:graphicData>
            </a:graphic>
          </wp:inline>
        </w:drawing>
      </w:r>
    </w:p>
    <w:p w14:paraId="60B93657" w14:textId="1987FBB3" w:rsidR="00D60C6F" w:rsidRDefault="00D60C6F" w:rsidP="00D60C6F">
      <w:bookmarkStart w:id="4" w:name="discussion"/>
      <w:r>
        <w:t>Figure 3</w:t>
      </w:r>
      <w:r>
        <w:t xml:space="preserve">: </w:t>
      </w:r>
      <w:r>
        <w:t>Time series of the Actual biomass and biomass estimates from the 3 one-year projection models.  Second panel is the d</w:t>
      </w:r>
      <w:r>
        <w:t xml:space="preserve">ifference (tonnes) in median biomass from actual observed biomass estimate for each method.   </w:t>
      </w:r>
      <w:r>
        <w:t>Thrid</w:t>
      </w:r>
      <w:r>
        <w:t xml:space="preserve"> panel is the proportional difference.</w:t>
      </w:r>
    </w:p>
    <w:p w14:paraId="12484EA3" w14:textId="77777777" w:rsidR="00D03917" w:rsidRDefault="00D03917">
      <w:pPr>
        <w:pStyle w:val="Heading2"/>
      </w:pPr>
    </w:p>
    <w:p w14:paraId="411FDCE1" w14:textId="57AFE746" w:rsidR="009C37BC" w:rsidRDefault="001354B9">
      <w:pPr>
        <w:pStyle w:val="Heading2"/>
      </w:pPr>
      <w:r>
        <w:t>Discus</w:t>
      </w:r>
      <w:r>
        <w:t>sion</w:t>
      </w:r>
      <w:bookmarkEnd w:id="4"/>
    </w:p>
    <w:p w14:paraId="411FDCE2" w14:textId="77777777" w:rsidR="009C37BC" w:rsidRDefault="001354B9" w:rsidP="000E65F5">
      <w:pPr>
        <w:numPr>
          <w:ilvl w:val="0"/>
          <w:numId w:val="12"/>
        </w:numPr>
      </w:pPr>
      <w:r>
        <w:t>Summarize results.</w:t>
      </w:r>
    </w:p>
    <w:p w14:paraId="411FDCE6" w14:textId="043FA6EE" w:rsidR="009C37BC" w:rsidRDefault="0016764D">
      <w:pPr>
        <w:pStyle w:val="Compact"/>
        <w:numPr>
          <w:ilvl w:val="1"/>
          <w:numId w:val="13"/>
        </w:numPr>
      </w:pPr>
      <w:r>
        <w:t xml:space="preserve">SST </w:t>
      </w:r>
      <w:r w:rsidR="007145D2">
        <w:t>model can produce better estimates of scallop condition</w:t>
      </w:r>
    </w:p>
    <w:p w14:paraId="734B4B9D" w14:textId="2D8BD796" w:rsidR="007145D2" w:rsidRDefault="007145D2">
      <w:pPr>
        <w:pStyle w:val="Compact"/>
        <w:numPr>
          <w:ilvl w:val="1"/>
          <w:numId w:val="13"/>
        </w:numPr>
      </w:pPr>
      <w:r>
        <w:t xml:space="preserve">But this doesn’t translate into better </w:t>
      </w:r>
      <w:r w:rsidR="00D60C6F">
        <w:t>estimates</w:t>
      </w:r>
      <w:r>
        <w:t xml:space="preserve"> of scallop biomass</w:t>
      </w:r>
    </w:p>
    <w:p w14:paraId="50C3CBC0" w14:textId="0C06EE72" w:rsidR="007145D2" w:rsidRDefault="007145D2">
      <w:pPr>
        <w:pStyle w:val="Compact"/>
        <w:numPr>
          <w:ilvl w:val="1"/>
          <w:numId w:val="13"/>
        </w:numPr>
      </w:pPr>
      <w:r>
        <w:t>This is due to relatively small bias in the biomass predictions from the model due to an over-estimate of other productivity parameters</w:t>
      </w:r>
      <w:r w:rsidR="0016764D">
        <w:t xml:space="preserve"> and the underestimate of condition using the existing method.</w:t>
      </w:r>
    </w:p>
    <w:p w14:paraId="10DF162E" w14:textId="45A49ADB" w:rsidR="007145D2" w:rsidRDefault="007145D2">
      <w:pPr>
        <w:pStyle w:val="Compact"/>
        <w:numPr>
          <w:ilvl w:val="1"/>
          <w:numId w:val="13"/>
        </w:numPr>
      </w:pPr>
      <w:r>
        <w:lastRenderedPageBreak/>
        <w:t>Results show how complex incorporating environmental simple environmental relationships into a stock assessment may not have desired consequences</w:t>
      </w:r>
      <w:r w:rsidR="0016764D">
        <w:t xml:space="preserve"> and you need to test your model before you operationalize it.</w:t>
      </w:r>
    </w:p>
    <w:p w14:paraId="6CE6D068" w14:textId="12DE87A1" w:rsidR="007145D2" w:rsidRDefault="007145D2">
      <w:pPr>
        <w:pStyle w:val="Compact"/>
        <w:numPr>
          <w:ilvl w:val="1"/>
          <w:numId w:val="13"/>
        </w:numPr>
      </w:pPr>
      <w:r>
        <w:t>Points to the need for more integrated modelling frameworks (Next-Gen) in which environmental considerations are directly integrated into the model formu</w:t>
      </w:r>
      <w:r w:rsidR="00EE7996">
        <w:t>lations rather than simple parameters derived outside of the assessment model.</w:t>
      </w:r>
    </w:p>
    <w:p w14:paraId="411FDCF5" w14:textId="56D5A02B" w:rsidR="009C37BC" w:rsidRDefault="001354B9">
      <w:pPr>
        <w:numPr>
          <w:ilvl w:val="0"/>
          <w:numId w:val="12"/>
        </w:numPr>
      </w:pPr>
      <w:r>
        <w:t>Conclusion</w:t>
      </w:r>
    </w:p>
    <w:p w14:paraId="5C6E7EF1" w14:textId="459F61B7" w:rsidR="0016764D" w:rsidRDefault="0016764D" w:rsidP="0016764D">
      <w:pPr>
        <w:numPr>
          <w:ilvl w:val="1"/>
          <w:numId w:val="12"/>
        </w:numPr>
      </w:pPr>
      <w:r>
        <w:t xml:space="preserve">It was a good try, but sadly it didn’t work.  </w:t>
      </w:r>
    </w:p>
    <w:sectPr w:rsidR="001676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FF3E4" w14:textId="77777777" w:rsidR="001354B9" w:rsidRDefault="001354B9">
      <w:pPr>
        <w:spacing w:after="0"/>
      </w:pPr>
      <w:r>
        <w:separator/>
      </w:r>
    </w:p>
  </w:endnote>
  <w:endnote w:type="continuationSeparator" w:id="0">
    <w:p w14:paraId="4DCD57C7" w14:textId="77777777" w:rsidR="001354B9" w:rsidRDefault="00135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213FB" w14:textId="77777777" w:rsidR="001354B9" w:rsidRDefault="001354B9">
      <w:r>
        <w:separator/>
      </w:r>
    </w:p>
  </w:footnote>
  <w:footnote w:type="continuationSeparator" w:id="0">
    <w:p w14:paraId="3B0B3B14" w14:textId="77777777" w:rsidR="001354B9" w:rsidRDefault="00135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46383C44"/>
    <w:lvl w:ilvl="0">
      <w:start w:val="1"/>
      <w:numFmt w:val="decimal"/>
      <w:lvlText w:val="%1."/>
      <w:lvlJc w:val="left"/>
      <w:pPr>
        <w:tabs>
          <w:tab w:val="num" w:pos="0"/>
        </w:tabs>
        <w:ind w:left="480" w:hanging="480"/>
      </w:pPr>
      <w:rPr>
        <w:rFonts w:hint="default"/>
      </w:rPr>
    </w:lvl>
    <w:lvl w:ilvl="1">
      <w:start w:val="1"/>
      <w:numFmt w:val="bullet"/>
      <w:lvlText w:val=""/>
      <w:lvlJc w:val="left"/>
      <w:pPr>
        <w:tabs>
          <w:tab w:val="num" w:pos="720"/>
        </w:tabs>
        <w:ind w:left="1200" w:hanging="480"/>
      </w:pPr>
      <w:rPr>
        <w:rFonts w:ascii="Symbol" w:hAnsi="Symbol" w:hint="default"/>
      </w:rPr>
    </w:lvl>
    <w:lvl w:ilvl="2">
      <w:start w:val="1"/>
      <w:numFmt w:val="bullet"/>
      <w:lvlText w:val=""/>
      <w:lvlJc w:val="left"/>
      <w:pPr>
        <w:tabs>
          <w:tab w:val="num" w:pos="1440"/>
        </w:tabs>
        <w:ind w:left="1920" w:hanging="480"/>
      </w:pPr>
      <w:rPr>
        <w:rFonts w:ascii="Symbol" w:hAnsi="Symbol" w:hint="default"/>
      </w:rPr>
    </w:lvl>
    <w:lvl w:ilvl="3">
      <w:start w:val="7"/>
      <w:numFmt w:val="decimal"/>
      <w:lvlText w:val="%4."/>
      <w:lvlJc w:val="left"/>
      <w:pPr>
        <w:tabs>
          <w:tab w:val="num" w:pos="2160"/>
        </w:tabs>
        <w:ind w:left="2640" w:hanging="480"/>
      </w:pPr>
      <w:rPr>
        <w:rFonts w:hint="default"/>
      </w:rPr>
    </w:lvl>
    <w:lvl w:ilvl="4">
      <w:start w:val="7"/>
      <w:numFmt w:val="decimal"/>
      <w:lvlText w:val="%5."/>
      <w:lvlJc w:val="left"/>
      <w:pPr>
        <w:tabs>
          <w:tab w:val="num" w:pos="2880"/>
        </w:tabs>
        <w:ind w:left="3360" w:hanging="480"/>
      </w:pPr>
      <w:rPr>
        <w:rFonts w:hint="default"/>
      </w:rPr>
    </w:lvl>
    <w:lvl w:ilvl="5">
      <w:start w:val="7"/>
      <w:numFmt w:val="decimal"/>
      <w:lvlText w:val="%6."/>
      <w:lvlJc w:val="left"/>
      <w:pPr>
        <w:tabs>
          <w:tab w:val="num" w:pos="3600"/>
        </w:tabs>
        <w:ind w:left="4080" w:hanging="480"/>
      </w:pPr>
      <w:rPr>
        <w:rFonts w:hint="default"/>
      </w:rPr>
    </w:lvl>
    <w:lvl w:ilvl="6">
      <w:start w:val="7"/>
      <w:numFmt w:val="decimal"/>
      <w:lvlText w:val="%7."/>
      <w:lvlJc w:val="left"/>
      <w:pPr>
        <w:tabs>
          <w:tab w:val="num" w:pos="4320"/>
        </w:tabs>
        <w:ind w:left="4800" w:hanging="480"/>
      </w:pPr>
      <w:rPr>
        <w:rFonts w:hint="default"/>
      </w:rPr>
    </w:lvl>
    <w:lvl w:ilvl="7">
      <w:start w:val="7"/>
      <w:numFmt w:val="decimal"/>
      <w:lvlText w:val="%8."/>
      <w:lvlJc w:val="left"/>
      <w:pPr>
        <w:tabs>
          <w:tab w:val="num" w:pos="5040"/>
        </w:tabs>
        <w:ind w:left="5520" w:hanging="480"/>
      </w:pPr>
      <w:rPr>
        <w:rFonts w:hint="default"/>
      </w:rPr>
    </w:lvl>
    <w:lvl w:ilvl="8">
      <w:start w:val="7"/>
      <w:numFmt w:val="decimal"/>
      <w:lvlText w:val="%9."/>
      <w:lvlJc w:val="left"/>
      <w:pPr>
        <w:tabs>
          <w:tab w:val="num" w:pos="5760"/>
        </w:tabs>
        <w:ind w:left="6240" w:hanging="480"/>
      </w:pPr>
      <w:rPr>
        <w:rFonts w:hint="default"/>
      </w:rPr>
    </w:lvl>
  </w:abstractNum>
  <w:abstractNum w:abstractNumId="1" w15:restartNumberingAfterBreak="0">
    <w:nsid w:val="EA454B4C"/>
    <w:multiLevelType w:val="multilevel"/>
    <w:tmpl w:val="A6720C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98B0CB4"/>
    <w:multiLevelType w:val="hybridMultilevel"/>
    <w:tmpl w:val="247ABF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1AE401"/>
    <w:multiLevelType w:val="multilevel"/>
    <w:tmpl w:val="FCC6DF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FA52A09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4FBE019A"/>
    <w:multiLevelType w:val="multilevel"/>
    <w:tmpl w:val="46383C44"/>
    <w:lvl w:ilvl="0">
      <w:start w:val="1"/>
      <w:numFmt w:val="decimal"/>
      <w:lvlText w:val="%1."/>
      <w:lvlJc w:val="left"/>
      <w:pPr>
        <w:tabs>
          <w:tab w:val="num" w:pos="0"/>
        </w:tabs>
        <w:ind w:left="480" w:hanging="480"/>
      </w:pPr>
      <w:rPr>
        <w:rFonts w:hint="default"/>
      </w:rPr>
    </w:lvl>
    <w:lvl w:ilvl="1">
      <w:start w:val="1"/>
      <w:numFmt w:val="bullet"/>
      <w:lvlText w:val=""/>
      <w:lvlJc w:val="left"/>
      <w:pPr>
        <w:tabs>
          <w:tab w:val="num" w:pos="720"/>
        </w:tabs>
        <w:ind w:left="1200" w:hanging="480"/>
      </w:pPr>
      <w:rPr>
        <w:rFonts w:ascii="Symbol" w:hAnsi="Symbol" w:hint="default"/>
      </w:rPr>
    </w:lvl>
    <w:lvl w:ilvl="2">
      <w:start w:val="1"/>
      <w:numFmt w:val="bullet"/>
      <w:lvlText w:val=""/>
      <w:lvlJc w:val="left"/>
      <w:pPr>
        <w:tabs>
          <w:tab w:val="num" w:pos="1440"/>
        </w:tabs>
        <w:ind w:left="1920" w:hanging="480"/>
      </w:pPr>
      <w:rPr>
        <w:rFonts w:ascii="Symbol" w:hAnsi="Symbol" w:hint="default"/>
      </w:rPr>
    </w:lvl>
    <w:lvl w:ilvl="3">
      <w:start w:val="7"/>
      <w:numFmt w:val="decimal"/>
      <w:lvlText w:val="%4."/>
      <w:lvlJc w:val="left"/>
      <w:pPr>
        <w:tabs>
          <w:tab w:val="num" w:pos="2160"/>
        </w:tabs>
        <w:ind w:left="2640" w:hanging="480"/>
      </w:pPr>
      <w:rPr>
        <w:rFonts w:hint="default"/>
      </w:rPr>
    </w:lvl>
    <w:lvl w:ilvl="4">
      <w:start w:val="7"/>
      <w:numFmt w:val="decimal"/>
      <w:lvlText w:val="%5."/>
      <w:lvlJc w:val="left"/>
      <w:pPr>
        <w:tabs>
          <w:tab w:val="num" w:pos="2880"/>
        </w:tabs>
        <w:ind w:left="3360" w:hanging="480"/>
      </w:pPr>
      <w:rPr>
        <w:rFonts w:hint="default"/>
      </w:rPr>
    </w:lvl>
    <w:lvl w:ilvl="5">
      <w:start w:val="7"/>
      <w:numFmt w:val="decimal"/>
      <w:lvlText w:val="%6."/>
      <w:lvlJc w:val="left"/>
      <w:pPr>
        <w:tabs>
          <w:tab w:val="num" w:pos="3600"/>
        </w:tabs>
        <w:ind w:left="4080" w:hanging="480"/>
      </w:pPr>
      <w:rPr>
        <w:rFonts w:hint="default"/>
      </w:rPr>
    </w:lvl>
    <w:lvl w:ilvl="6">
      <w:start w:val="7"/>
      <w:numFmt w:val="decimal"/>
      <w:lvlText w:val="%7."/>
      <w:lvlJc w:val="left"/>
      <w:pPr>
        <w:tabs>
          <w:tab w:val="num" w:pos="4320"/>
        </w:tabs>
        <w:ind w:left="4800" w:hanging="480"/>
      </w:pPr>
      <w:rPr>
        <w:rFonts w:hint="default"/>
      </w:rPr>
    </w:lvl>
    <w:lvl w:ilvl="7">
      <w:start w:val="7"/>
      <w:numFmt w:val="decimal"/>
      <w:lvlText w:val="%8."/>
      <w:lvlJc w:val="left"/>
      <w:pPr>
        <w:tabs>
          <w:tab w:val="num" w:pos="5040"/>
        </w:tabs>
        <w:ind w:left="5520" w:hanging="480"/>
      </w:pPr>
      <w:rPr>
        <w:rFonts w:hint="default"/>
      </w:rPr>
    </w:lvl>
    <w:lvl w:ilvl="8">
      <w:start w:val="7"/>
      <w:numFmt w:val="decimal"/>
      <w:lvlText w:val="%9."/>
      <w:lvlJc w:val="left"/>
      <w:pPr>
        <w:tabs>
          <w:tab w:val="num" w:pos="5760"/>
        </w:tabs>
        <w:ind w:left="6240" w:hanging="480"/>
      </w:pPr>
      <w:rPr>
        <w:rFonts w:hint="default"/>
      </w:rPr>
    </w:lvl>
  </w:abstractNum>
  <w:abstractNum w:abstractNumId="6" w15:restartNumberingAfterBreak="0">
    <w:nsid w:val="71315DCA"/>
    <w:multiLevelType w:val="multilevel"/>
    <w:tmpl w:val="6CE8A1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6"/>
  </w:num>
  <w:num w:numId="6">
    <w:abstractNumId w:val="0"/>
  </w:num>
  <w:num w:numId="7">
    <w:abstractNumId w:val="6"/>
  </w:num>
  <w:num w:numId="8">
    <w:abstractNumId w:val="6"/>
  </w:num>
  <w:num w:numId="9">
    <w:abstractNumId w:val="6"/>
  </w:num>
  <w:num w:numId="10">
    <w:abstractNumId w:val="6"/>
  </w:num>
  <w:num w:numId="11">
    <w:abstractNumId w:val="6"/>
  </w:num>
  <w:num w:numId="12">
    <w:abstractNumId w:val="5"/>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5AAC"/>
    <w:rsid w:val="000E65F5"/>
    <w:rsid w:val="001354B9"/>
    <w:rsid w:val="0016764D"/>
    <w:rsid w:val="00287E5C"/>
    <w:rsid w:val="0030350B"/>
    <w:rsid w:val="004E29B3"/>
    <w:rsid w:val="00590D07"/>
    <w:rsid w:val="007145D2"/>
    <w:rsid w:val="007571A9"/>
    <w:rsid w:val="00784D58"/>
    <w:rsid w:val="007906A2"/>
    <w:rsid w:val="008D5F92"/>
    <w:rsid w:val="008D6863"/>
    <w:rsid w:val="009C37BC"/>
    <w:rsid w:val="00B61BA2"/>
    <w:rsid w:val="00B86B75"/>
    <w:rsid w:val="00BC48D5"/>
    <w:rsid w:val="00C042C9"/>
    <w:rsid w:val="00C276F1"/>
    <w:rsid w:val="00C36279"/>
    <w:rsid w:val="00D03917"/>
    <w:rsid w:val="00D60C6F"/>
    <w:rsid w:val="00E315A3"/>
    <w:rsid w:val="00E6530D"/>
    <w:rsid w:val="00EC58A2"/>
    <w:rsid w:val="00EE7996"/>
    <w:rsid w:val="00FE41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DCC0"/>
  <w15:docId w15:val="{FC29DAF7-E7DD-4495-9F3C-C1823C3F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A5AA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0407">
      <w:bodyDiv w:val="1"/>
      <w:marLeft w:val="0"/>
      <w:marRight w:val="0"/>
      <w:marTop w:val="0"/>
      <w:marBottom w:val="0"/>
      <w:divBdr>
        <w:top w:val="none" w:sz="0" w:space="0" w:color="auto"/>
        <w:left w:val="none" w:sz="0" w:space="0" w:color="auto"/>
        <w:bottom w:val="none" w:sz="0" w:space="0" w:color="auto"/>
        <w:right w:val="none" w:sz="0" w:space="0" w:color="auto"/>
      </w:divBdr>
    </w:div>
    <w:div w:id="1253515771">
      <w:bodyDiv w:val="1"/>
      <w:marLeft w:val="0"/>
      <w:marRight w:val="0"/>
      <w:marTop w:val="0"/>
      <w:marBottom w:val="0"/>
      <w:divBdr>
        <w:top w:val="none" w:sz="0" w:space="0" w:color="auto"/>
        <w:left w:val="none" w:sz="0" w:space="0" w:color="auto"/>
        <w:bottom w:val="none" w:sz="0" w:space="0" w:color="auto"/>
        <w:right w:val="none" w:sz="0" w:space="0" w:color="auto"/>
      </w:divBdr>
      <w:divsChild>
        <w:div w:id="42096488">
          <w:marLeft w:val="0"/>
          <w:marRight w:val="0"/>
          <w:marTop w:val="0"/>
          <w:marBottom w:val="0"/>
          <w:divBdr>
            <w:top w:val="none" w:sz="0" w:space="0" w:color="auto"/>
            <w:left w:val="none" w:sz="0" w:space="0" w:color="auto"/>
            <w:bottom w:val="none" w:sz="0" w:space="0" w:color="auto"/>
            <w:right w:val="none" w:sz="0" w:space="0" w:color="auto"/>
          </w:divBdr>
          <w:divsChild>
            <w:div w:id="6386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898">
      <w:bodyDiv w:val="1"/>
      <w:marLeft w:val="0"/>
      <w:marRight w:val="0"/>
      <w:marTop w:val="0"/>
      <w:marBottom w:val="0"/>
      <w:divBdr>
        <w:top w:val="none" w:sz="0" w:space="0" w:color="auto"/>
        <w:left w:val="none" w:sz="0" w:space="0" w:color="auto"/>
        <w:bottom w:val="none" w:sz="0" w:space="0" w:color="auto"/>
        <w:right w:val="none" w:sz="0" w:space="0" w:color="auto"/>
      </w:divBdr>
      <w:divsChild>
        <w:div w:id="898906843">
          <w:marLeft w:val="0"/>
          <w:marRight w:val="0"/>
          <w:marTop w:val="0"/>
          <w:marBottom w:val="0"/>
          <w:divBdr>
            <w:top w:val="none" w:sz="0" w:space="0" w:color="auto"/>
            <w:left w:val="none" w:sz="0" w:space="0" w:color="auto"/>
            <w:bottom w:val="none" w:sz="0" w:space="0" w:color="auto"/>
            <w:right w:val="none" w:sz="0" w:space="0" w:color="auto"/>
          </w:divBdr>
          <w:divsChild>
            <w:div w:id="9407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D5E886ED00CC4CB901B486584A9323" ma:contentTypeVersion="8" ma:contentTypeDescription="Create a new document." ma:contentTypeScope="" ma:versionID="70ed65a1c9632aab9b445997c17b1276">
  <xsd:schema xmlns:xsd="http://www.w3.org/2001/XMLSchema" xmlns:xs="http://www.w3.org/2001/XMLSchema" xmlns:p="http://schemas.microsoft.com/office/2006/metadata/properties" xmlns:ns2="45933cd7-4249-411b-b362-7bafb5cda723" targetNamespace="http://schemas.microsoft.com/office/2006/metadata/properties" ma:root="true" ma:fieldsID="348c33c543ec83f380590b5d7ffcff4b" ns2:_="">
    <xsd:import namespace="45933cd7-4249-411b-b362-7bafb5cda7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33cd7-4249-411b-b362-7bafb5cda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C88B25-7210-4275-8AE4-268F366151C7}">
  <ds:schemaRefs>
    <ds:schemaRef ds:uri="http://schemas.microsoft.com/sharepoint/v3/contenttype/forms"/>
  </ds:schemaRefs>
</ds:datastoreItem>
</file>

<file path=customXml/itemProps2.xml><?xml version="1.0" encoding="utf-8"?>
<ds:datastoreItem xmlns:ds="http://schemas.openxmlformats.org/officeDocument/2006/customXml" ds:itemID="{10DDB016-46D7-479D-A932-C777592C0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33cd7-4249-411b-b362-7bafb5cda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2C4615-241A-4F2F-A668-BC6B34C2D9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6</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Spatio-temporal Paper Draft Story Summary</vt:lpstr>
    </vt:vector>
  </TitlesOfParts>
  <Company>DFO-MPO</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Spatio-temporal Paper Draft Story Summary</dc:title>
  <dc:creator>DK</dc:creator>
  <cp:keywords/>
  <cp:lastModifiedBy>Keith, David</cp:lastModifiedBy>
  <cp:revision>12</cp:revision>
  <dcterms:created xsi:type="dcterms:W3CDTF">2021-05-13T13:03:00Z</dcterms:created>
  <dcterms:modified xsi:type="dcterms:W3CDTF">2021-05-14T16:52:00Z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9/3/2020</vt:lpwstr>
  </property>
  <property fmtid="{D5CDD505-2E9C-101B-9397-08002B2CF9AE}" pid="3" name="output">
    <vt:lpwstr/>
  </property>
  <property fmtid="{D5CDD505-2E9C-101B-9397-08002B2CF9AE}" pid="4" name="ContentTypeId">
    <vt:lpwstr>0x01010039D5E886ED00CC4CB901B486584A9323</vt:lpwstr>
  </property>
  <property fmtid="{D5CDD505-2E9C-101B-9397-08002B2CF9AE}" pid="5" name="MSIP_Label_1bfb733f-faef-464c-9b6d-731b56f94973_Enabled">
    <vt:lpwstr>true</vt:lpwstr>
  </property>
  <property fmtid="{D5CDD505-2E9C-101B-9397-08002B2CF9AE}" pid="6" name="MSIP_Label_1bfb733f-faef-464c-9b6d-731b56f94973_SetDate">
    <vt:lpwstr>2021-05-13T13:03:27Z</vt:lpwstr>
  </property>
  <property fmtid="{D5CDD505-2E9C-101B-9397-08002B2CF9AE}" pid="7" name="MSIP_Label_1bfb733f-faef-464c-9b6d-731b56f94973_Method">
    <vt:lpwstr>Standard</vt:lpwstr>
  </property>
  <property fmtid="{D5CDD505-2E9C-101B-9397-08002B2CF9AE}" pid="8" name="MSIP_Label_1bfb733f-faef-464c-9b6d-731b56f94973_Name">
    <vt:lpwstr>Unclass - Non-Classifié</vt:lpwstr>
  </property>
  <property fmtid="{D5CDD505-2E9C-101B-9397-08002B2CF9AE}" pid="9" name="MSIP_Label_1bfb733f-faef-464c-9b6d-731b56f94973_SiteId">
    <vt:lpwstr>1594fdae-a1d9-4405-915d-011467234338</vt:lpwstr>
  </property>
  <property fmtid="{D5CDD505-2E9C-101B-9397-08002B2CF9AE}" pid="10" name="MSIP_Label_1bfb733f-faef-464c-9b6d-731b56f94973_ActionId">
    <vt:lpwstr>02c3b888-c696-4e0c-ba46-0000f6eded81</vt:lpwstr>
  </property>
</Properties>
</file>