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8.png" ContentType="image/png"/>
  <Override PartName="/word/media/rId49.png" ContentType="image/png"/>
  <Override PartName="/word/media/rId46.png" ContentType="image/png"/>
  <Override PartName="/word/media/rId43.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Ward-Paige</w:t>
      </w:r>
      <w:r>
        <w:t xml:space="preserve"> </w:t>
      </w:r>
      <w:r>
        <w:t xml:space="preserve">C.A.</w:t>
      </w:r>
      <w:r>
        <w:rPr>
          <w:vertAlign w:val="superscript"/>
        </w:rPr>
        <w:t xml:space="preserve">c</w:t>
      </w:r>
      <w:r>
        <w:t xml:space="preserve">,</w:t>
      </w:r>
      <w:r>
        <w:t xml:space="preserve"> </w:t>
      </w:r>
      <w:r>
        <w:t xml:space="preserve">Andrushchenko</w:t>
      </w:r>
      <w:r>
        <w:t xml:space="preserve"> </w:t>
      </w:r>
      <w:r>
        <w:t xml:space="preserve">I.^</w:t>
      </w:r>
    </w:p>
    <w:p>
      <w:pPr>
        <w:pStyle w:val="Date"/>
      </w:pPr>
      <w:r>
        <w:rPr>
          <w:vertAlign w:val="superscript"/>
        </w:rPr>
        <w:t xml:space="preserve">a</w:t>
      </w:r>
      <w:r>
        <w:t xml:space="preserve"> </w:t>
      </w:r>
      <w:r>
        <w:t xml:space="preserve">Bedford</w:t>
      </w:r>
      <w:r>
        <w:t xml:space="preserve"> </w:t>
      </w:r>
      <w:r>
        <w:t xml:space="preserve">Institue</w:t>
      </w:r>
      <w:r>
        <w:t xml:space="preserve"> </w:t>
      </w:r>
      <w:r>
        <w:t xml:space="preserve">of</w:t>
      </w:r>
      <w:r>
        <w:t xml:space="preserve"> </w:t>
      </w:r>
      <w:r>
        <w:t xml:space="preserve">Oceanography,</w:t>
      </w:r>
      <w:r>
        <w:t xml:space="preserve"> </w:t>
      </w:r>
      <w:r>
        <w:rPr>
          <w:vertAlign w:val="superscript"/>
        </w:rPr>
        <w:t xml:space="preserve">b</w:t>
      </w:r>
      <w:r>
        <w:t xml:space="preserve"> </w:t>
      </w:r>
      <w:r>
        <w:t xml:space="preserve">Dalhousie</w:t>
      </w:r>
      <w:r>
        <w:t xml:space="preserve"> </w:t>
      </w:r>
      <w:r>
        <w:t xml:space="preserve">University,</w:t>
      </w:r>
      <w:r>
        <w:t xml:space="preserve"> </w:t>
      </w:r>
      <w:r>
        <w:rPr>
          <w:vertAlign w:val="superscript"/>
        </w:rPr>
        <w:t xml:space="preserve">c</w:t>
      </w:r>
      <w:r>
        <w:t xml:space="preserve"> </w:t>
      </w:r>
      <w:r>
        <w:t xml:space="preserve">eOceans</w:t>
      </w:r>
    </w:p>
    <w:p>
      <w:pPr>
        <w:pStyle w:val="Compact"/>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a</w:t>
      </w:r>
      <w:r>
        <w:t xml:space="preserve"> </w:t>
      </w:r>
      <w:r>
        <w:t xml:space="preserve">stock</w:t>
      </w:r>
      <w:r>
        <w:t xml:space="preserve"> </w:t>
      </w:r>
      <w:r>
        <w:t xml:space="preserve">as</w:t>
      </w:r>
      <w:r>
        <w:t xml:space="preserve"> </w:t>
      </w:r>
      <w:r>
        <w:t xml:space="preserve">a</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between</w:t>
      </w:r>
      <w:r>
        <w:t xml:space="preserve"> </w:t>
      </w:r>
      <w:r>
        <w:t xml:space="preserve">XXXX</w:t>
      </w:r>
      <w:r>
        <w:t xml:space="preserve"> </w:t>
      </w:r>
      <w:r>
        <w:t xml:space="preserve">and</w:t>
      </w:r>
      <w:r>
        <w:t xml:space="preserve"> </w:t>
      </w:r>
      <w:r>
        <w:t xml:space="preserve">YYYY)</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every</w:t>
      </w:r>
      <w:r>
        <w:t xml:space="preserve"> </w:t>
      </w:r>
      <w:r>
        <w:t xml:space="preserve">3</w:t>
      </w:r>
      <w:r>
        <w:t xml:space="preserve"> </w:t>
      </w:r>
      <w:r>
        <w:t xml:space="preserve">years.</w:t>
      </w:r>
      <w:r>
        <w:t xml:space="preserve"> </w:t>
      </w:r>
      <w:r>
        <w:t xml:space="preserve">These</w:t>
      </w:r>
      <w:r>
        <w:t xml:space="preserve"> </w:t>
      </w:r>
      <w:r>
        <w:t xml:space="preserve">shifts</w:t>
      </w:r>
      <w:r>
        <w:t xml:space="preserve"> </w:t>
      </w:r>
      <w:r>
        <w:t xml:space="preserve">in</w:t>
      </w:r>
      <w:r>
        <w:t xml:space="preserve"> </w:t>
      </w:r>
      <w:r>
        <w:t xml:space="preserve">distribution</w:t>
      </w:r>
      <w:r>
        <w:t xml:space="preserve"> </w:t>
      </w:r>
      <w:r>
        <w:t xml:space="preserve">are</w:t>
      </w:r>
      <w:r>
        <w:t xml:space="preserve"> </w:t>
      </w:r>
      <w:r>
        <w:t xml:space="preserve">not</w:t>
      </w:r>
      <w:r>
        <w:t xml:space="preserve"> </w:t>
      </w:r>
      <w:r>
        <w:t xml:space="preserve">random,</w:t>
      </w:r>
      <w:r>
        <w:t xml:space="preserve"> </w:t>
      </w:r>
      <w:r>
        <w:t xml:space="preserve">with</w:t>
      </w:r>
      <w:r>
        <w:t xml:space="preserve"> </w:t>
      </w:r>
      <w:r>
        <w:t xml:space="preserve">the</w:t>
      </w:r>
      <w:r>
        <w:t xml:space="preserve"> </w:t>
      </w:r>
      <w:r>
        <w:t xml:space="preserve">center</w:t>
      </w:r>
      <w:r>
        <w:t xml:space="preserve"> </w:t>
      </w:r>
      <w:r>
        <w:t xml:space="preserve">of</w:t>
      </w:r>
      <w:r>
        <w:t xml:space="preserve"> </w:t>
      </w:r>
      <w:r>
        <w:t xml:space="preserve">gravity</w:t>
      </w:r>
      <w:r>
        <w:t xml:space="preserve"> </w:t>
      </w:r>
      <w:r>
        <w:t xml:space="preserve">of</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shifting</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Georges</w:t>
      </w:r>
      <w:r>
        <w:t xml:space="preserve"> </w:t>
      </w:r>
      <w:r>
        <w:t xml:space="preserve">Bank.</w:t>
      </w:r>
      <w:r>
        <w:t xml:space="preserve"> </w:t>
      </w:r>
      <w:r>
        <w:t xml:space="preserve">Models</w:t>
      </w:r>
      <w:r>
        <w:t xml:space="preserve"> </w:t>
      </w:r>
      <w:r>
        <w:t xml:space="preserve">for</w:t>
      </w:r>
      <w:r>
        <w:t xml:space="preserve"> </w:t>
      </w:r>
      <w:r>
        <w:t xml:space="preserve">both</w:t>
      </w:r>
      <w:r>
        <w:t xml:space="preserve"> </w:t>
      </w:r>
      <w:r>
        <w:t xml:space="preserve">species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capturing</w:t>
      </w:r>
      <w:r>
        <w:t xml:space="preserve"> </w:t>
      </w:r>
      <w:r>
        <w:t xml:space="preserve">the</w:t>
      </w:r>
      <w:r>
        <w:t xml:space="preserve"> </w:t>
      </w:r>
      <w:r>
        <w:t xml:space="preserve">spatial</w:t>
      </w:r>
      <w:r>
        <w:t xml:space="preserve"> </w:t>
      </w:r>
      <w:r>
        <w:t xml:space="preserve">dynamics</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while</w:t>
      </w:r>
      <w:r>
        <w:t xml:space="preserve"> </w:t>
      </w:r>
      <w:r>
        <w:t xml:space="preserve">it</w:t>
      </w:r>
      <w:r>
        <w:t xml:space="preserve"> </w:t>
      </w:r>
      <w:r>
        <w:t xml:space="preserve">appears</w:t>
      </w:r>
      <w:r>
        <w:t xml:space="preserve"> </w:t>
      </w:r>
      <w:r>
        <w:t xml:space="preserve">the</w:t>
      </w:r>
      <w:r>
        <w:t xml:space="preserve"> </w:t>
      </w:r>
      <w:r>
        <w:t xml:space="preserve">catchability</w:t>
      </w:r>
      <w:r>
        <w:t xml:space="preserve"> </w:t>
      </w:r>
      <w:r>
        <w:t xml:space="preserve">of</w:t>
      </w:r>
      <w:r>
        <w:t xml:space="preserve"> </w:t>
      </w:r>
      <w:r>
        <w:t xml:space="preserve">yellowtail</w:t>
      </w:r>
      <w:r>
        <w:t xml:space="preserve"> </w:t>
      </w:r>
      <w:r>
        <w:t xml:space="preserve">declines</w:t>
      </w:r>
      <w:r>
        <w:t xml:space="preserve"> </w:t>
      </w:r>
      <w:r>
        <w:t xml:space="preserve">during</w:t>
      </w:r>
      <w:r>
        <w:t xml:space="preserve"> </w:t>
      </w:r>
      <w:r>
        <w:t xml:space="preserve">the</w:t>
      </w:r>
      <w:r>
        <w:t xml:space="preserve"> </w:t>
      </w:r>
      <w:r>
        <w:t xml:space="preserve">this</w:t>
      </w:r>
      <w:r>
        <w:t xml:space="preserve"> </w:t>
      </w:r>
      <w:r>
        <w:t xml:space="preserve">time.</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and</w:t>
      </w:r>
      <w:r>
        <w:t xml:space="preserve"> </w:t>
      </w:r>
      <w:r>
        <w:t xml:space="preserve">identify</w:t>
      </w:r>
      <w:r>
        <w:t xml:space="preserve"> </w:t>
      </w:r>
      <w:r>
        <w:t xml:space="preserve">environmental</w:t>
      </w:r>
      <w:r>
        <w:t xml:space="preserve"> </w:t>
      </w:r>
      <w:r>
        <w:t xml:space="preserve">covariates</w:t>
      </w:r>
      <w:r>
        <w:t xml:space="preserve"> </w:t>
      </w:r>
      <w:r>
        <w:t xml:space="preserve">which</w:t>
      </w:r>
      <w:r>
        <w:t xml:space="preserve"> </w:t>
      </w:r>
      <w:r>
        <w:t xml:space="preserve">have</w:t>
      </w:r>
      <w:r>
        <w:t xml:space="preserve"> </w:t>
      </w:r>
      <w:r>
        <w:t xml:space="preserve">a</w:t>
      </w:r>
      <w:r>
        <w:t xml:space="preserve"> </w:t>
      </w:r>
      <w:r>
        <w:t xml:space="preserve">relationship</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these</w:t>
      </w:r>
      <w:r>
        <w:t xml:space="preserve"> </w:t>
      </w:r>
      <w:r>
        <w:t xml:space="preserve">species.</w:t>
      </w:r>
      <w:r>
        <w:t xml:space="preserve"> </w:t>
      </w:r>
      <w:r>
        <w:t xml:space="preserve">Incorporation</w:t>
      </w:r>
      <w:r>
        <w:t xml:space="preserve"> </w:t>
      </w:r>
      <w:r>
        <w:t xml:space="preserve">of</w:t>
      </w:r>
      <w:r>
        <w:t xml:space="preserve"> </w:t>
      </w:r>
      <w:r>
        <w:t xml:space="preserve">this</w:t>
      </w:r>
      <w:r>
        <w:t xml:space="preserve"> </w:t>
      </w:r>
      <w:r>
        <w:t xml:space="preserve">kind</w:t>
      </w:r>
      <w:r>
        <w:t xml:space="preserve"> </w:t>
      </w:r>
      <w:r>
        <w:t xml:space="preserve">of</w:t>
      </w:r>
      <w:r>
        <w:t xml:space="preserve"> </w:t>
      </w:r>
      <w:r>
        <w:t xml:space="preserve">information</w:t>
      </w:r>
      <w:r>
        <w:t xml:space="preserve"> </w:t>
      </w:r>
      <w:r>
        <w:t xml:space="preserve">into</w:t>
      </w:r>
      <w:r>
        <w:t xml:space="preserve"> </w:t>
      </w:r>
      <w:r>
        <w:t xml:space="preserve">stock</w:t>
      </w:r>
      <w:r>
        <w:t xml:space="preserve"> </w:t>
      </w:r>
      <w:r>
        <w:t xml:space="preserve">assessment</w:t>
      </w:r>
      <w:r>
        <w:t xml:space="preserve"> </w:t>
      </w:r>
      <w:r>
        <w:t xml:space="preserve">processes</w:t>
      </w:r>
      <w:r>
        <w:t xml:space="preserve"> </w:t>
      </w:r>
      <w:r>
        <w:t xml:space="preserve">will</w:t>
      </w:r>
      <w:r>
        <w:t xml:space="preserve"> </w:t>
      </w:r>
      <w:r>
        <w:t xml:space="preserve">improve</w:t>
      </w:r>
      <w:r>
        <w:t xml:space="preserve"> </w:t>
      </w:r>
      <w:r>
        <w:t xml:space="preserve">science</w:t>
      </w:r>
      <w:r>
        <w:t xml:space="preserve"> </w:t>
      </w:r>
      <w:r>
        <w:t xml:space="preserve">advice</w:t>
      </w:r>
      <w:r>
        <w:t xml:space="preserve"> </w:t>
      </w:r>
      <w:r>
        <w:t xml:space="preserve">and</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[@cbdAichiBiodiversityTargets2018]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 (CITE Anders, Kasper, Jim, Yihao, and Raph if ready too).)</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where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has been home to some of the most productive fisheries in the world for centuries and is home to a wealth of natural resources.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Georges Bank fell under the jurisdiction of Canada and the United States (CITE NAFO something). The final demarcation of the Canadian and United States territorial waters on Georges Bank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Georges bank was home to large groundfish fisheries including Atlantic cod (</w:t>
      </w:r>
      <w:r>
        <w:rPr>
          <w:i/>
        </w:rPr>
        <w:t xml:space="preserve">Gadus morhua</w:t>
      </w:r>
      <w:r>
        <w:t xml:space="preserve">), Altantic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Georges Bank declined significantly in early 1990’s and there have been little evidence for recovery of this stock since this collapse (CITE TRAC). Yellowtail flounder on Geroges Bank had been at low abundnace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 (CITE). While the status of these two groundfish species remains bleak, other groundfish stocks (e.g. Atlantic haddock) have experienced large increases in biomass over the last decade, and currently the most lucrative fishery on Georges Bank has been an invertebrate sea scallop fishery which has experienced unprecedented productivity over the last two decades (CITE SABHU and DVORA).</w:t>
      </w:r>
    </w:p>
    <w:p>
      <w:pPr>
        <w:pStyle w:val="BodyText"/>
      </w:pPr>
      <w:r>
        <w:t xml:space="preserve">Fisheries management bodies in both Canada and the United States have implemented measures to protect cod and yellowtail on Georges Bank. While these measures vary between the countries, both countries have collaborated to develop a shared bycatch quota for these two species; this quota has declined substantially for both species over the last decade (CITE). There has been no directed fishery for cod on Georges bank for either country since XXXX. In addition to these regulations which attempt to directly limit the removals of these two species, both countries have implemented closures. In the United States two large closed area were implemented (Closed Area I and II) in the 1990’s, these closures were designed aid in the recover of groundfish and invertebrate stocks on Georges Bank (CHECK RATIONALE FOR CAI and CAII, Murawoski paper likely has good review of it). In Canada the groundfish fishery is not permitted to fish on Georges Bank during cod spawning, generally this closure runs from early February to the end of May since XXXX (CHECK!). The Canadian Offshore scallop fishery also faces rescritions on fishing during the peak spawning periods for both cod and yellowtail although the effect of these closures appears to be limitied (CITE OUR FIRST PAPER).</w:t>
      </w:r>
    </w:p>
    <w:p>
      <w:pPr>
        <w:pStyle w:val="BodyText"/>
      </w:pPr>
      <w:r>
        <w:t xml:space="preserve">Here we use a recently developed statistical framework (CITE R-INLA) to develop spatio-temporal species distribution models for two depleted groundfish stocks on Georges Bank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determine how well these models can predict the distribution of these species 1, 2, and 3 years into the future.</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[@townsendNitrogenLimitationSecondary1997]</w:t>
      </w:r>
      <w:r>
        <w:t xml:space="preserve">. It is an eroding bank with no sediment recharge, and covered with coarse gravel and sand that provides important habitat for many species</w:t>
      </w:r>
      <w:r>
        <w:t xml:space="preserve"> </w:t>
      </w:r>
      <w:r>
        <w:t xml:space="preserve">[@valentineSeaFloorEnvironment1991]</w:t>
      </w:r>
      <w:r>
        <w:t xml:space="preserve">. Since 1984, Georges Bank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Georges Bank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 XX).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2</w:t>
      </w:r>
      <w:r>
        <w:t xml:space="preserve">).</w:t>
      </w:r>
    </w:p>
    <w:p>
      <w:pPr>
        <w:pStyle w:val="BodyText"/>
      </w:pPr>
      <w:r>
        <w:t xml:space="preserve">For the INLA models data up to 2016 were used, while survey data from 2017-2019 were excluded from the main analysis and used only as testing data.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number (Sed) 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number. This amalgamated level represented approximately 7% of survey tows across the three surveys (approximately 93% of the survey tows were on Sediment type 3 or 4).</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and DIC; the results for both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scores were observed across multiple models. For cod this analysis identified depth (DEP) and the average sea surface temperature between 1997 and 2008 (SST) as having low WAIC scores in 2 of the 3 surveys.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and-prediction"/>
      <w:r>
        <w:t xml:space="preserve">Model Validation and Prediction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DEP, DEP + SST, the 5 year random field was used for all model validation for both species.</w:t>
      </w:r>
    </w:p>
    <w:p>
      <w:pPr>
        <w:pStyle w:val="BodyText"/>
      </w:pPr>
      <w:r>
        <w:t xml:space="preserve">In addition to the 5-fold cross validation the survey data from 2017-2019 was excluded from the models and was used as a testing dataset to determine how well the models were able to predict future species distributions and to quantify how the predictions of species distributions differ 1, 2, and 3 years after the final year of survey data. The predictive error was estimated using RMSE, MAE, and SD and this was compared to the residual error from each model.</w:t>
      </w:r>
    </w:p>
    <w:p>
      <w:pPr>
        <w:pStyle w:val="Heading1"/>
      </w:pPr>
      <w:bookmarkStart w:id="27" w:name="results"/>
      <w:r>
        <w:t xml:space="preserve">Results</w:t>
      </w:r>
      <w:bookmarkEnd w:id="27"/>
    </w:p>
    <w:p>
      <w:pPr>
        <w:pStyle w:val="Heading3"/>
      </w:pPr>
      <w:bookmarkStart w:id="28" w:name="model-selection"/>
      <w:r>
        <w:t xml:space="preserve">Model Selection</w:t>
      </w:r>
      <w:bookmarkEnd w:id="28"/>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 @ref(fig:diag.1.fe). For yellowtail, inclusion of depth significantly improved the models in all 3 seasons (surveys), while Sediment grain size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 @ref(fig:diag.2.fe). For yellowtail the best models with 2 covariates included some combination of Dep, SST, and Sed, further model selection indicated that the best model for yellowtail in all 3 seasons was an additive model including Dep, SST, and Sed (Figure @ref(fig:diag.2.fe and @ref(fig:diag.3.fe)). The cod the 5 year random field had the lowest WAIC in all seasons, whlie for yellowtail the 3 year field was prefered for Winter and Spring, while the 5 year field was preferred for Fall. (Figure @ref(fig:diag.rf))</w:t>
      </w:r>
    </w:p>
    <w:p>
      <w:pPr>
        <w:pStyle w:val="Heading3"/>
      </w:pPr>
      <w:bookmarkStart w:id="29" w:name="environmental-variables"/>
      <w:r>
        <w:t xml:space="preserve">Environmental Variables</w:t>
      </w:r>
      <w:bookmarkEnd w:id="29"/>
    </w:p>
    <w:p>
      <w:pPr>
        <w:pStyle w:val="FirstParagraph"/>
      </w:pPr>
      <w:r>
        <w:t xml:space="preserve">The depth relationship for cod (FIG: show cod depth for each survey) indicates…. The seasonal variation in this relationship…. (Figure X). The SST (FIG: show SST for every survey)… The seasonal variation in this…</w:t>
      </w:r>
    </w:p>
    <w:p>
      <w:pPr>
        <w:pStyle w:val="BodyText"/>
      </w:pPr>
      <w:r>
        <w:t xml:space="preserve">For yellowtail say the same stuff</w:t>
      </w:r>
    </w:p>
    <w:p>
      <w:pPr>
        <w:pStyle w:val="Heading3"/>
      </w:pPr>
      <w:bookmarkStart w:id="30" w:name="random-fields"/>
      <w:r>
        <w:t xml:space="preserve">Random Fields</w:t>
      </w:r>
      <w:bookmarkEnd w:id="30"/>
    </w:p>
    <w:p>
      <w:pPr>
        <w:pStyle w:val="FirstParagraph"/>
      </w:pPr>
      <w:r>
        <w:t xml:space="preserve">For cod the preferred random field changes every 5 years (TABLE) and this was consistent for each of the 3 surveys.</w:t>
      </w:r>
    </w:p>
    <w:p>
      <w:pPr>
        <w:pStyle w:val="BodyText"/>
      </w:pPr>
      <w:r>
        <w:t xml:space="preserve">For yellowtail the preferred model had a random field which changed every 3 years (TABLE) and this was consistent for each of the 3 surveys.</w:t>
      </w:r>
    </w:p>
    <w:p>
      <w:pPr>
        <w:pStyle w:val="Heading3"/>
      </w:pPr>
      <w:bookmarkStart w:id="31" w:name="validation"/>
      <w:r>
        <w:t xml:space="preserve">Validation</w:t>
      </w:r>
      <w:bookmarkEnd w:id="31"/>
    </w:p>
    <w:p>
      <w:pPr>
        <w:pStyle w:val="FirstParagraph"/>
      </w:pPr>
      <w:r>
        <w:t xml:space="preserve">The 5-fold cross validation indicated that the model was able to predict the distribution for all species and surveys without a significant loss of accuracy, the precision of the validation test set predictions was higher than the precision of the training data. In addition the prediction from the models using only the random fields was similar to the predictions from the models in which all covariates were used.</w:t>
      </w:r>
    </w:p>
    <w:p>
      <w:pPr>
        <w:pStyle w:val="Heading3"/>
      </w:pPr>
      <w:bookmarkStart w:id="32" w:name="prediction"/>
      <w:r>
        <w:t xml:space="preserve">Prediction</w:t>
      </w:r>
      <w:bookmarkEnd w:id="32"/>
    </w:p>
    <w:p>
      <w:pPr>
        <w:pStyle w:val="FirstParagraph"/>
      </w:pPr>
      <w:r>
        <w:t xml:space="preserve">All of the models were able to predict the distribution of each species 1, 2, and 3 years into the future (RMSE and other stats). The 2018 Yellowtail NMFS-spring data had the lowest prediction accuracy, this is likely related to the unusually sparse coverage of this survey in the region in which the probability of encountering yellowtail was elevated (DASHBOARD?).</w:t>
      </w:r>
    </w:p>
    <w:p>
      <w:pPr>
        <w:pStyle w:val="BodyText"/>
      </w:pPr>
      <w:r>
        <w:t xml:space="preserve">Inter-annual Variability</w:t>
      </w:r>
    </w:p>
    <w:p>
      <w:pPr>
        <w:pStyle w:val="BodyText"/>
      </w:pPr>
      <w:r>
        <w:t xml:space="preserve">For both species their distributions shifted towards the north and east throughout the study period (COG + FIG). Much of this shift was driven by a decline in the probability of encounter in the western and southern portions of GB (FIG).</w:t>
      </w:r>
    </w:p>
    <w:p>
      <w:pPr>
        <w:pStyle w:val="BodyText"/>
      </w:pPr>
      <w:r>
        <w:t xml:space="preserve">For cod the area in which the probability of encountering cod was high (&gt; 75?) declined significantly throughout the study period with a rapid decline occurring in the early 1990s which has persisted thereafter (FIG or DASHBOARD). The cod population now is predominately found in the northeast corner of the bank, this becomes more pronounced during the fall which the highest probability of encounter is found along the edge of the northern portion of the survey area.</w:t>
      </w:r>
    </w:p>
    <w:p>
      <w:pPr>
        <w:pStyle w:val="BodyText"/>
      </w:pPr>
      <w:r>
        <w:t xml:space="preserve">For yellowtail the population also shifted from the south and west portion of the bank and the population appeared to straddle the ICJ line separating Can/US. The size of the core area (PE &gt;75%) has changed during the study period, with the largest areas of high probability of encounter observed in the early 2000s, the expansion of this core area occurred rapidly from a very small core area observed in the 1990s.</w:t>
      </w:r>
    </w:p>
    <w:p>
      <w:pPr>
        <w:pStyle w:val="Heading3"/>
      </w:pPr>
      <w:bookmarkStart w:id="33" w:name="seasonal-variability"/>
      <w:r>
        <w:t xml:space="preserve">Seasonal Variability</w:t>
      </w:r>
      <w:bookmarkEnd w:id="33"/>
    </w:p>
    <w:p>
      <w:pPr>
        <w:pStyle w:val="FirstParagraph"/>
      </w:pPr>
      <w:r>
        <w:t xml:space="preserve">For cod the distribution of the species was similar for the DFO-winter (Feb-Mar) and NMFS-spring (April-May) surveys, while a clear shift in the distribution was observed for the NMFS-fall survey (Sept-Nov).</w:t>
      </w:r>
    </w:p>
    <w:p>
      <w:pPr>
        <w:pStyle w:val="BodyText"/>
      </w:pPr>
      <w:r>
        <w:t xml:space="preserve">For yellowtail the distribution was observed to be similar for all three surveys with a clear core area consistently identified. In the fall the probability of encounter is generally lower that observed in the winter and spring despite the spatial distribution remaining similar (FIG, simple fig showing mean + SE for each survey from best model).</w:t>
      </w:r>
    </w:p>
    <w:p>
      <w:pPr>
        <w:pStyle w:val="BodyText"/>
      </w:pPr>
      <w:r>
        <w:t xml:space="preserve">COMPARE THE DEPTH/SST relationships between surveys here, I believe they were very similar throughout but explore this here.</w:t>
      </w:r>
    </w:p>
    <w:p>
      <w:pPr>
        <w:pStyle w:val="Heading1"/>
      </w:pPr>
      <w:bookmarkStart w:id="34" w:name="discussion"/>
      <w:r>
        <w:t xml:space="preserve">Discussion</w:t>
      </w:r>
      <w:bookmarkEnd w:id="34"/>
    </w:p>
    <w:p>
      <w:pPr>
        <w:pStyle w:val="FirstParagraph"/>
      </w:pPr>
      <w:r>
        <w:t xml:space="preserve">Here we have shown how models which incorporate both environmental and spatial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w:t>
      </w:r>
    </w:p>
    <w:p>
      <w:pPr>
        <w:pStyle w:val="BodyText"/>
      </w:pPr>
      <w:r>
        <w:t xml:space="preserve">If you want to protect something, knowing where it is going to be is kinda helpful. Implications for closures.</w:t>
      </w:r>
    </w:p>
    <w:p>
      <w:pPr>
        <w:pStyle w:val="BodyText"/>
      </w:pPr>
      <w:r>
        <w:t xml:space="preserve">Cod is likely moving off the bank in the Fall now, implications for using the Fall as a survey index for cod.</w:t>
      </w:r>
    </w:p>
    <w:p>
      <w:pPr>
        <w:pStyle w:val="BodyText"/>
      </w:pPr>
      <w:r>
        <w:t xml:space="preserve">Talk about YT protection efforts in Can/US and how the strategies don’t appear to be doing anything. The US has put in large protected areas, one of which is in the right spot (check the year that the closed area 1/2 was put in place), seemed to help initially, but population still declined after initial rebound.</w:t>
      </w:r>
    </w:p>
    <w:p>
      <w:pPr>
        <w:pStyle w:val="BodyText"/>
      </w:pPr>
      <w:r>
        <w:t xml:space="preserve">Is yellowtail drop in encounter probability due to yellowtail being less susceptible to fishing gear during this period or due to a migration off the bank during this period?</w:t>
      </w:r>
    </w:p>
    <w:p>
      <w:pPr>
        <w:pStyle w:val="BodyText"/>
      </w:pPr>
      <w:r>
        <w:t xml:space="preserve">Knowing where firsh are seasonally would surely hlpe then trying to manage incidental mortality for these stocks</w:t>
      </w:r>
    </w:p>
    <w:p>
      <w:pPr>
        <w:pStyle w:val="Heading3"/>
      </w:pPr>
      <w:bookmarkStart w:id="35" w:name="yellowtail"/>
      <w:r>
        <w:t xml:space="preserve">Yellowtail</w:t>
      </w:r>
      <w:bookmarkEnd w:id="35"/>
    </w:p>
    <w:p>
      <w:pPr>
        <w:pStyle w:val="FirstParagraph"/>
      </w:pPr>
      <w:r>
        <w:t xml:space="preserve">On the U.S. side closures were put in place in 1994 to assest with the rebuilding of stocks in the region (CITE LINK 2005 maybe? SOME MORE DETAILS OF THESE CLOSURES MAY BE USEFUL). Closed Area II straddels the ICJ line and includes much of the area identified as core yellowtail habitat on on the U.S. side of Georges Bank. Intreguingly, the expansion of the yellowtail populaiton occured shortly after the implementation of this closure, and the expansion of the core yellowtail habitat in the early 2000’s was centered around this closed area. The expansion of the yellowtail core area corresponded to a rapid, yet ephemerial increase in yellowtail biomass. This might suggest evidence of a positivie assocaition between this closure and yellowtail status, but unfortunately the yellowtail population has subsequently declined and is near historical low levels on the bank and the core area of yellowtail is similar in size to what was observed before this closure was put in place.</w:t>
      </w:r>
    </w:p>
    <w:p>
      <w:pPr>
        <w:pStyle w:val="BodyText"/>
      </w:pPr>
      <w:r>
        <w:t xml:space="preserve">The recent declines may be tied to environmental change on Georges Bank (CITE!) and given the loss of Yellowtail from the warmer portions of the bank (West and South) it is possible that the remaining core area represents the last suitable habitat on Georges Bank for this species. Yellowtail prefer depths of 40-70 meters (CITE + these results) and the core area identifed here represents the most northern region of these depths on Georges Bank. If temperatures continue to increase as projected (CITE:</w:t>
      </w:r>
      <w:r>
        <w:t xml:space="preserve"> </w:t>
      </w:r>
      <w:hyperlink r:id="rId36">
        <w:r>
          <w:rPr>
            <w:rStyle w:val="Hyperlink"/>
          </w:rPr>
          <w:t xml:space="preserve">https://journals.plos.org/plosone/article?id=10.1371/journal.pone.0231595#sec024</w:t>
        </w:r>
      </w:hyperlink>
      <w:r>
        <w:t xml:space="preserve">) the suitability of this habitat may continue to decline and may effectively lead to the extirpation of yellowtail from Georges Bank irrespective of any fisheries management action.</w:t>
      </w:r>
    </w:p>
    <w:p>
      <w:pPr>
        <w:pStyle w:val="BodyText"/>
      </w:pPr>
      <w:r>
        <w:t xml:space="preserve">Abundances of yellowtail are low throughout the entirety of the U.S. (CITE the 3 assessments here</w:t>
      </w:r>
      <w:r>
        <w:t xml:space="preserve"> </w:t>
      </w:r>
      <w:hyperlink r:id="rId37">
        <w:r>
          <w:rPr>
            <w:rStyle w:val="Hyperlink"/>
          </w:rPr>
          <w:t xml:space="preserve">https://www.fisheries.noaa.gov/species/yellowtail-flounder#overview</w:t>
        </w:r>
      </w:hyperlink>
      <w:r>
        <w:t xml:space="preserve">) which represents the southern limit of the historical ranage of this species.</w:t>
      </w:r>
    </w:p>
    <w:p>
      <w:pPr>
        <w:pStyle w:val="BodyText"/>
      </w:pPr>
      <w:r>
        <w:t xml:space="preserve">On the Canadian side of Georges Bank there has been no directed yellowtail fishery since XXXX (Freya) and Georges Bank is close to groundfish fishery from March 1 to May 31 each year. These closures are implemented to protect cod and haddock spawning aggregations but likely provide some benefit for yellowail spawners (OBrien, spanwing is ?May-July?). A seperate closure of the scallop fishery in June of the year closes a small variable subset of the bank to the scallop fishery to protect spawning yellowtail from bycatch in this fishery. The effectiveness of the yellowtail closures in achieving their management objective are questionable in large part due to the small size and short duration of these closures; this analysis supports the conclusion that the size of these time-area closures of the scallop fishery are too small given the size of the core area on the Canadian side of Georges Bank (Cite me).</w:t>
      </w:r>
    </w:p>
    <w:p>
      <w:pPr>
        <w:pStyle w:val="Heading3"/>
      </w:pPr>
      <w:bookmarkStart w:id="38" w:name="cod"/>
      <w:r>
        <w:t xml:space="preserve">Cod</w:t>
      </w:r>
      <w:bookmarkEnd w:id="38"/>
    </w:p>
    <w:p>
      <w:pPr>
        <w:pStyle w:val="FirstParagraph"/>
      </w:pPr>
      <w:r>
        <w:t xml:space="preserve">The distribtion of cod has steadily shifted throughout the duration of the study period. The depth preference of cod is more variable than yellowtail (6-400 meeters ish, find a real citation) but as observed with yellowtial the core area in the more southern and western reaches of the bank have declined over the course of the study period. The core area for cod collapsed rapidly in the early 1990’s in unison with the collapse of the stock throughout the Northwest Atlantic. Since the collapse the core area has remained relatively consistent but has continued to slowly shift to the north and east throughout the year, though the shift is more pronouced in the fall.</w:t>
      </w:r>
    </w:p>
    <w:p>
      <w:pPr>
        <w:pStyle w:val="BodyText"/>
      </w:pPr>
      <w:r>
        <w:t xml:space="preserve">The fall distribution of cod is likely now located on the northeastern slope of the bank outside of the core survey domains of any of the surveys. This northeastern shift of the population over the course of this study suggests that the surveys are no longer sampling the entirety of this population throughout the course of the year (i.e. a higher proportion of the stock is now located outside of the survey domain). Each of the survey indicies are used as inputs to the cod stock assessment model for eastern Georges Bank cod (CITE). This assessment model suffered from such significant retrostpective patterns that this stock assessment model was eventually rejected; it is likely that the observed shift in the distribution of cod outside of the survey domain contributed to the model retrospective problems (CITE)</w:t>
      </w:r>
    </w:p>
    <w:p>
      <w:pPr>
        <w:pStyle w:val="BodyText"/>
      </w:pPr>
      <w:r>
        <w:t xml:space="preserve">(CITE Link 2005 Am Fish, not yet downloaded The Effects of Area Closures on Georges Bank)</w:t>
      </w:r>
    </w:p>
    <w:p>
      <w:pPr>
        <w:pStyle w:val="Heading3"/>
      </w:pPr>
      <w:bookmarkStart w:id="39" w:name="closures-may-all-be-above"/>
      <w:r>
        <w:t xml:space="preserve">Closures (May all be above…)</w:t>
      </w:r>
      <w:bookmarkEnd w:id="39"/>
    </w:p>
    <w:p>
      <w:pPr>
        <w:pStyle w:val="FirstParagraph"/>
      </w:pPr>
      <w:r>
        <w:t xml:space="preserve">Both the U.S. and Canadian jurisdications have iplemented closures to protect these species. CA II aligns with the observed yellowtail distribution.</w:t>
      </w:r>
    </w:p>
    <w:p>
      <w:pPr>
        <w:pStyle w:val="BodyText"/>
      </w:pPr>
      <w:r>
        <w:t xml:space="preserve">On the Canadian side several seasonal closures are put in place to protect spawning groundfish aggregations. The Canadian Groundfish fleet on GB predominately target Atlantic haddock (</w:t>
      </w:r>
      <w:r>
        <w:rPr>
          <w:i/>
        </w:rPr>
        <w:t xml:space="preserve">Melanogrammus aeglefinus</w:t>
      </w:r>
      <w:r>
        <w:t xml:space="preserve">) and is subjected to a closure to protect cod and haddock spawning aggregations from March 1 to May 31. The other major Canadian fishery on Georges Bank is the Offshore Scallop Fishery; this fishery is also subjected to closures of variable size and location (</w:t>
      </w:r>
      <m:oMath>
        <m:r>
          <m:t>≈</m:t>
        </m:r>
        <m:r>
          <m:t>300</m:t>
        </m:r>
        <m:r>
          <m:t>k</m:t>
        </m:r>
        <m:sSup>
          <m:e>
            <m:r>
              <m:t>m</m:t>
            </m:r>
          </m:e>
          <m:sup>
            <m:r>
              <m:t>2</m:t>
            </m:r>
          </m:sup>
        </m:sSup>
      </m:oMath>
      <w:r>
        <w:t xml:space="preserve">). These closures occur in February and March (protecting cod spawning aggregations) and June (protecting yellowtail spawning aggregations). For closures of limited size and variable location a means of predicting the spatial likelihood of encounter of the species to be protected is required for the upcoming year such as what has been developed here. These results indicate that for both species the core spawning area is significantly larger than the area protected by the scallop fishery time-area closures and as such these closures would not be able to provide complete protection of these species spawning aggregations.</w:t>
      </w:r>
    </w:p>
    <w:p>
      <w:pPr>
        <w:pStyle w:val="Heading1"/>
      </w:pPr>
      <w:bookmarkStart w:id="40" w:name="conclusions"/>
      <w:r>
        <w:t xml:space="preserve">Conclusions</w:t>
      </w:r>
      <w:bookmarkEnd w:id="40"/>
    </w:p>
    <w:p>
      <w:pPr>
        <w:pStyle w:val="FirstParagraph"/>
      </w:pPr>
      <w:r>
        <w:t xml:space="preserve">These models provides insight into how the distribution of both species changes both seasonally and inter-annually. This insight can support the provision of improved science advice (e.g. stock assessment and protected areas) and sustainable fisheries management.</w:t>
      </w:r>
    </w:p>
    <w:p>
      <w:pPr>
        <w:pStyle w:val="Heading1"/>
      </w:pPr>
      <w:bookmarkStart w:id="41" w:name="conclusions-1"/>
      <w:r>
        <w:t xml:space="preserve">Conclusions</w:t>
      </w:r>
      <w:bookmarkEnd w:id="41"/>
    </w:p>
    <w:p>
      <w:pPr>
        <w:pStyle w:val="Heading2"/>
      </w:pPr>
      <w:bookmarkStart w:id="42" w:name="acknowledgements"/>
      <w:r>
        <w:t xml:space="preserve">Acknowledgements</w:t>
      </w:r>
      <w:bookmarkEnd w:id="42"/>
    </w:p>
    <w:p>
      <w:pPr>
        <w:pStyle w:val="FirstParagraph"/>
      </w:pPr>
      <w:r>
        <w:t xml:space="preserve">I’m not sure who to thank…</w:t>
      </w:r>
    </w:p>
    <w:p>
      <w:pPr>
        <w:pStyle w:val="BodyText"/>
      </w:pPr>
    </w:p>
    <w:p>
      <w:pPr>
        <w:pStyle w:val="CaptionedFigure"/>
      </w:pPr>
      <w:r>
        <w:drawing>
          <wp:inline>
            <wp:extent cx="5334000" cy="7112000"/>
            <wp:effectExtent b="0" l="0" r="0" t="0"/>
            <wp:docPr descr="Figure 1: Georges Bank study area"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43"/>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study area</w:t>
      </w:r>
    </w:p>
    <w:p>
      <w:pPr>
        <w:pStyle w:val="CaptionedFigure"/>
      </w:pPr>
      <w:r>
        <w:drawing>
          <wp:inline>
            <wp:extent cx="5334000" cy="2667000"/>
            <wp:effectExtent b="0" l="0" r="0" t="0"/>
            <wp:docPr descr="(#fig:SST_and_Depth)SST (199X - 20XX average field) and Depth fields on Georges Bank" title="" id="1" name="Picture"/>
            <a:graphic>
              <a:graphicData uri="http://schemas.openxmlformats.org/drawingml/2006/picture">
                <pic:pic>
                  <pic:nvPicPr>
                    <pic:cNvPr descr="D:/Github/Paper_2_SDMs/Results/Figures/depth_and_sst_fields.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(#fig:SST_and_Depth)SST (199X - 20XX average field) and Depth fields on Georges Bank</w:t>
      </w:r>
    </w:p>
    <w:p>
      <w:pPr>
        <w:pStyle w:val="CaptionedFigure"/>
      </w:pPr>
      <w:r>
        <w:drawing>
          <wp:inline>
            <wp:extent cx="5334000" cy="5334000"/>
            <wp:effectExtent b="0" l="0" r="0" t="0"/>
            <wp:docPr descr="Figure 2: Mesh used for INLA."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Mesh used for INLA.</w:t>
      </w:r>
    </w:p>
    <w:p>
      <w:pPr>
        <w:pStyle w:val="CaptionedFigure"/>
      </w:pPr>
      <w:r>
        <w:drawing>
          <wp:inline>
            <wp:extent cx="5334000" cy="5334000"/>
            <wp:effectExtent b="0" l="0" r="0" t="0"/>
            <wp:docPr descr="(#fig:diag.1.fe)Initial model selection"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(#fig:diag.1.fe)Initial model selection</w:t>
      </w:r>
    </w:p>
    <w:p>
      <w:pPr>
        <w:pStyle w:val="CaptionedFigure"/>
      </w:pPr>
      <w:r>
        <w:drawing>
          <wp:inline>
            <wp:extent cx="5334000" cy="5334000"/>
            <wp:effectExtent b="0" l="0" r="0" t="0"/>
            <wp:docPr descr="(#fig:diag.2.fe)Step 2 model selection"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(#fig:diag.2.fe)Step 2 model selection</w:t>
      </w:r>
    </w:p>
    <w:p>
      <w:pPr>
        <w:pStyle w:val="CaptionedFigure"/>
      </w:pPr>
      <w:r>
        <w:drawing>
          <wp:inline>
            <wp:extent cx="5334000" cy="5334000"/>
            <wp:effectExtent b="0" l="0" r="0" t="0"/>
            <wp:docPr descr="(#fig:diag.3.fe)Step 3 model selection"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(#fig:diag.3.fe)Step 3 model selection</w:t>
      </w:r>
    </w:p>
    <w:p>
      <w:pPr>
        <w:pStyle w:val="CaptionedFigure"/>
      </w:pPr>
      <w:r>
        <w:drawing>
          <wp:inline>
            <wp:extent cx="5334000" cy="8000999"/>
            <wp:effectExtent b="0" l="0" r="0" t="0"/>
            <wp:docPr descr="(#fig:diag.rf)Random field model selection. For cod the model used is Dep + SST for all of the random fields. For Yellowtail the 5 and 10 fields were compared using the Dep + SST model, while the 5 and 3 fields were compared using the full Dep + SST + Sed model"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9"/>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(#fig:diag.rf)Random field model selection. For cod the model used is Dep + SST for all of the random fields. For Yellowtail the 5 and 10 fields were compared using the Dep + SST model, while the 5 and 3 fields were compared using the full Dep + SST + Sed model</w:t>
      </w:r>
    </w:p>
    <w:p>
      <w:r>
        <w:br w:type="page"/>
      </w:r>
    </w:p>
    <w:p>
      <w:pPr>
        <w:pStyle w:val="BodyText"/>
      </w:pPr>
    </w:p>
    <w:p>
      <w:pPr>
        <w:pStyle w:val="Heading1"/>
      </w:pPr>
      <w:bookmarkStart w:id="50" w:name="references"/>
      <w:r>
        <w:t xml:space="preserve">References</w:t>
      </w:r>
      <w:bookmarkEnd w:id="5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36" Target="https://journals.plos.org/plosone/article?id=10.1371/journal.pone.0231595#sec024" TargetMode="External" /><Relationship Type="http://schemas.openxmlformats.org/officeDocument/2006/relationships/hyperlink" Id="rId37" Target="https://www.fisheries.noaa.gov/species/yellowtail-flounder#overview" TargetMode="External" /></Relationships>
</file>

<file path=word/_rels/footnotes.xml.rels><?xml version="1.0" encoding="UTF-8"?>
<Relationships xmlns="http://schemas.openxmlformats.org/package/2006/relationships"><Relationship Type="http://schemas.openxmlformats.org/officeDocument/2006/relationships/hyperlink" Id="rId36" Target="https://journals.plos.org/plosone/article?id=10.1371/journal.pone.0231595#sec024" TargetMode="External" /><Relationship Type="http://schemas.openxmlformats.org/officeDocument/2006/relationships/hyperlink" Id="rId37" Target="https://www.fisheries.noaa.gov/species/yellowtail-flounder#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Ward-Paige C.A.c, Andrushchenko I.^</dc:creator>
  <cp:keywords/>
  <dcterms:created xsi:type="dcterms:W3CDTF">2020-08-26T12:36:03Z</dcterms:created>
  <dcterms:modified xsi:type="dcterms:W3CDTF">2020-08-26T12:36:03Z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a stock as a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between XXXX and YYYY)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every 3 years. These shifts in distribution are not random, with the center of gravity of the core areas for both species shifting to the north and east throughout the study period. Much of this shift is due to the loss of the species from southern and western portions of Georges Bank. Models for both species were also relatively successful at capturing the spatial dynamics of the stock up to 3 years into the future. The seasonal distribution of cod and yellowtail are relatively consistent throughout the late winter and spring. In the fall the distribution of cod shifts towards the edge of the bank, while it appears the catchability of yellowtail declines during the this time. Here we show how these models are able to provide novel insights into both seasonal and inter-annual variability in species distributions and identify environmental covariates which have a relationship with the distribution of these species. Incorporation of this kind of information into stock assessment processes will improve science advice and our ability to sustainably manage these stocks.</vt:lpwstr>
  </property>
  <property fmtid="{D5CDD505-2E9C-101B-9397-08002B2CF9AE}" pid="3" name="date">
    <vt:lpwstr>a Bedford Institue of Oceanography, b Dalhousie University, c eOceans</vt:lpwstr>
  </property>
  <property fmtid="{D5CDD505-2E9C-101B-9397-08002B2CF9AE}" pid="4" name="output">
    <vt:lpwstr/>
  </property>
</Properties>
</file>