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4.png" ContentType="image/png"/>
  <Override PartName="/word/media/rId48.png" ContentType="image/png"/>
  <Override PartName="/word/media/rId44.png" ContentType="image/png"/>
  <Override PartName="/word/media/rId45.png" ContentType="image/png"/>
  <Override PartName="/word/media/rId46.png" ContentType="image/png"/>
  <Override PartName="/word/media/rId43.png" ContentType="image/png"/>
  <Override PartName="/word/media/rId41.png" ContentType="image/png"/>
  <Override PartName="/word/media/rId50.png" ContentType="image/png"/>
  <Override PartName="/word/media/rId52.png" ContentType="image/png"/>
  <Override PartName="/word/media/rId47.png" ContentType="image/png"/>
  <Override PartName="/word/media/rId42.png" ContentType="image/png"/>
  <Override PartName="/word/media/rId53.png" ContentType="image/png"/>
  <Override PartName="/word/media/rId55.png" ContentType="image/png"/>
  <Override PartName="/word/media/rId56.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Ward-Paige</w:t>
      </w:r>
      <w:r>
        <w:t xml:space="preserve"> </w:t>
      </w:r>
      <w:r>
        <w:t xml:space="preserve">C.A.</w:t>
      </w:r>
      <w:r>
        <w:rPr>
          <w:vertAlign w:val="superscript"/>
        </w:rPr>
        <w:t xml:space="preserve">c</w:t>
      </w:r>
      <w:r>
        <w:t xml:space="preserve">,</w:t>
      </w:r>
      <w:r>
        <w:t xml:space="preserve"> </w:t>
      </w:r>
      <w:r>
        <w:t xml:space="preserve">Andrushchenko</w:t>
      </w:r>
      <w:r>
        <w:t xml:space="preserve"> </w:t>
      </w:r>
      <w:r>
        <w:t xml:space="preserve">I.^</w:t>
      </w:r>
    </w:p>
    <w:p>
      <w:pPr>
        <w:pStyle w:val="Date"/>
      </w:pPr>
      <w:r>
        <w:rPr>
          <w:vertAlign w:val="superscript"/>
        </w:rPr>
        <w:t xml:space="preserve">a</w:t>
      </w:r>
      <w:r>
        <w:t xml:space="preserve"> </w:t>
      </w:r>
      <w:r>
        <w:t xml:space="preserve">Bedford</w:t>
      </w:r>
      <w:r>
        <w:t xml:space="preserve"> </w:t>
      </w:r>
      <w:r>
        <w:t xml:space="preserve">Institue</w:t>
      </w:r>
      <w:r>
        <w:t xml:space="preserve"> </w:t>
      </w:r>
      <w:r>
        <w:t xml:space="preserve">of</w:t>
      </w:r>
      <w:r>
        <w:t xml:space="preserve"> </w:t>
      </w:r>
      <w:r>
        <w:t xml:space="preserve">Oceanography,</w:t>
      </w:r>
      <w:r>
        <w:t xml:space="preserve"> </w:t>
      </w:r>
      <w:r>
        <w:rPr>
          <w:vertAlign w:val="superscript"/>
        </w:rPr>
        <w:t xml:space="preserve">b</w:t>
      </w:r>
      <w:r>
        <w:t xml:space="preserve"> </w:t>
      </w:r>
      <w:r>
        <w:t xml:space="preserve">Dalhousie</w:t>
      </w:r>
      <w:r>
        <w:t xml:space="preserve"> </w:t>
      </w:r>
      <w:r>
        <w:t xml:space="preserve">University,</w:t>
      </w:r>
      <w:r>
        <w:t xml:space="preserve"> </w:t>
      </w:r>
      <w:r>
        <w:rPr>
          <w:vertAlign w:val="superscript"/>
        </w:rPr>
        <w:t xml:space="preserve">c</w:t>
      </w:r>
      <w:r>
        <w:t xml:space="preserve"> </w:t>
      </w:r>
      <w:r>
        <w:t xml:space="preserve">eOceans</w:t>
      </w:r>
    </w:p>
    <w:p>
      <w:pPr>
        <w:pStyle w:val="Compact"/>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a</w:t>
      </w:r>
      <w:r>
        <w:t xml:space="preserve"> </w:t>
      </w:r>
      <w:r>
        <w:t xml:space="preserve">stock</w:t>
      </w:r>
      <w:r>
        <w:t xml:space="preserve"> </w:t>
      </w:r>
      <w:r>
        <w:t xml:space="preserve">as</w:t>
      </w:r>
      <w:r>
        <w:t xml:space="preserve"> </w:t>
      </w:r>
      <w:r>
        <w:t xml:space="preserve">a</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every</w:t>
      </w:r>
      <w:r>
        <w:t xml:space="preserve"> </w:t>
      </w:r>
      <w:r>
        <w:t xml:space="preserve">3</w:t>
      </w:r>
      <w:r>
        <w:t xml:space="preserve"> </w:t>
      </w:r>
      <w:r>
        <w:t xml:space="preserve">years.</w:t>
      </w:r>
      <w:r>
        <w:t xml:space="preserve"> </w:t>
      </w:r>
      <w:r>
        <w:t xml:space="preserve">These</w:t>
      </w:r>
      <w:r>
        <w:t xml:space="preserve"> </w:t>
      </w:r>
      <w:r>
        <w:t xml:space="preserve">shifts</w:t>
      </w:r>
      <w:r>
        <w:t xml:space="preserve"> </w:t>
      </w:r>
      <w:r>
        <w:t xml:space="preserve">in</w:t>
      </w:r>
      <w:r>
        <w:t xml:space="preserve"> </w:t>
      </w:r>
      <w:r>
        <w:t xml:space="preserve">distribution</w:t>
      </w:r>
      <w:r>
        <w:t xml:space="preserve"> </w:t>
      </w:r>
      <w:r>
        <w:t xml:space="preserve">are</w:t>
      </w:r>
      <w:r>
        <w:t xml:space="preserve"> </w:t>
      </w:r>
      <w:r>
        <w:t xml:space="preserve">not</w:t>
      </w:r>
      <w:r>
        <w:t xml:space="preserve"> </w:t>
      </w:r>
      <w:r>
        <w:t xml:space="preserve">random,</w:t>
      </w:r>
      <w:r>
        <w:t xml:space="preserve"> </w:t>
      </w:r>
      <w:r>
        <w:t xml:space="preserve">with</w:t>
      </w:r>
      <w:r>
        <w:t xml:space="preserve"> </w:t>
      </w:r>
      <w:r>
        <w:t xml:space="preserve">the</w:t>
      </w:r>
      <w:r>
        <w:t xml:space="preserve"> </w:t>
      </w:r>
      <w:r>
        <w:t xml:space="preserve">center</w:t>
      </w:r>
      <w:r>
        <w:t xml:space="preserve"> </w:t>
      </w:r>
      <w:r>
        <w:t xml:space="preserve">of</w:t>
      </w:r>
      <w:r>
        <w:t xml:space="preserve"> </w:t>
      </w:r>
      <w:r>
        <w:t xml:space="preserve">gravity</w:t>
      </w:r>
      <w:r>
        <w:t xml:space="preserve"> </w:t>
      </w:r>
      <w:r>
        <w:t xml:space="preserve">of</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shifting</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Models</w:t>
      </w:r>
      <w:r>
        <w:t xml:space="preserve"> </w:t>
      </w:r>
      <w:r>
        <w:t xml:space="preserve">for</w:t>
      </w:r>
      <w:r>
        <w:t xml:space="preserve"> </w:t>
      </w:r>
      <w:r>
        <w:t xml:space="preserve">both</w:t>
      </w:r>
      <w:r>
        <w:t xml:space="preserve"> </w:t>
      </w:r>
      <w:r>
        <w:t xml:space="preserve">species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capturing</w:t>
      </w:r>
      <w:r>
        <w:t xml:space="preserve"> </w:t>
      </w:r>
      <w:r>
        <w:t xml:space="preserve">the</w:t>
      </w:r>
      <w:r>
        <w:t xml:space="preserve"> </w:t>
      </w:r>
      <w:r>
        <w:t xml:space="preserve">spatial</w:t>
      </w:r>
      <w:r>
        <w:t xml:space="preserve"> </w:t>
      </w:r>
      <w:r>
        <w:t xml:space="preserve">dynamics</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SOMETHING</w:t>
      </w:r>
      <w:r>
        <w:t xml:space="preserve"> </w:t>
      </w:r>
      <w:r>
        <w:t xml:space="preserve">ABOUT</w:t>
      </w:r>
      <w:r>
        <w:t xml:space="preserve"> </w:t>
      </w:r>
      <w:r>
        <w:t xml:space="preserve">THE</w:t>
      </w:r>
      <w:r>
        <w:t xml:space="preserve"> </w:t>
      </w:r>
      <w:r>
        <w:t xml:space="preserve">CASE</w:t>
      </w:r>
      <w:r>
        <w:t xml:space="preserve"> </w:t>
      </w:r>
      <w:r>
        <w:t xml:space="preserve">STUDIES</w:t>
      </w:r>
      <w:r>
        <w:t xml:space="preserve"> </w:t>
      </w:r>
      <w:r>
        <w:t xml:space="preserve">HERE!!!</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and</w:t>
      </w:r>
      <w:r>
        <w:t xml:space="preserve"> </w:t>
      </w:r>
      <w:r>
        <w:t xml:space="preserve">identify</w:t>
      </w:r>
      <w:r>
        <w:t xml:space="preserve"> </w:t>
      </w:r>
      <w:r>
        <w:t xml:space="preserve">environmental</w:t>
      </w:r>
      <w:r>
        <w:t xml:space="preserve"> </w:t>
      </w:r>
      <w:r>
        <w:t xml:space="preserve">covariates</w:t>
      </w:r>
      <w:r>
        <w:t xml:space="preserve"> </w:t>
      </w:r>
      <w:r>
        <w:t xml:space="preserve">which</w:t>
      </w:r>
      <w:r>
        <w:t xml:space="preserve"> </w:t>
      </w:r>
      <w:r>
        <w:t xml:space="preserve">have</w:t>
      </w:r>
      <w:r>
        <w:t xml:space="preserve"> </w:t>
      </w:r>
      <w:r>
        <w:t xml:space="preserve">a</w:t>
      </w:r>
      <w:r>
        <w:t xml:space="preserve"> </w:t>
      </w:r>
      <w:r>
        <w:t xml:space="preserve">relationship</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these</w:t>
      </w:r>
      <w:r>
        <w:t xml:space="preserve"> </w:t>
      </w:r>
      <w:r>
        <w:t xml:space="preserve">species.</w:t>
      </w:r>
      <w:r>
        <w:t xml:space="preserve"> </w:t>
      </w:r>
      <w:r>
        <w:t xml:space="preserve">Incorporation</w:t>
      </w:r>
      <w:r>
        <w:t xml:space="preserve"> </w:t>
      </w:r>
      <w:r>
        <w:t xml:space="preserve">of</w:t>
      </w:r>
      <w:r>
        <w:t xml:space="preserve"> </w:t>
      </w:r>
      <w:r>
        <w:t xml:space="preserve">this</w:t>
      </w:r>
      <w:r>
        <w:t xml:space="preserve"> </w:t>
      </w:r>
      <w:r>
        <w:t xml:space="preserve">kind</w:t>
      </w:r>
      <w:r>
        <w:t xml:space="preserve"> </w:t>
      </w:r>
      <w:r>
        <w:t xml:space="preserve">of</w:t>
      </w:r>
      <w:r>
        <w:t xml:space="preserve"> </w:t>
      </w:r>
      <w:r>
        <w:t xml:space="preserve">information</w:t>
      </w:r>
      <w:r>
        <w:t xml:space="preserve"> </w:t>
      </w:r>
      <w:r>
        <w:t xml:space="preserve">into</w:t>
      </w:r>
      <w:r>
        <w:t xml:space="preserve"> </w:t>
      </w:r>
      <w:r>
        <w:t xml:space="preserve">stock</w:t>
      </w:r>
      <w:r>
        <w:t xml:space="preserve"> </w:t>
      </w:r>
      <w:r>
        <w:t xml:space="preserve">assessment</w:t>
      </w:r>
      <w:r>
        <w:t xml:space="preserve"> </w:t>
      </w:r>
      <w:r>
        <w:t xml:space="preserve">processes</w:t>
      </w:r>
      <w:r>
        <w:t xml:space="preserve"> </w:t>
      </w:r>
      <w:r>
        <w:t xml:space="preserve">will</w:t>
      </w:r>
      <w:r>
        <w:t xml:space="preserve"> </w:t>
      </w:r>
      <w:r>
        <w:t xml:space="preserve">improve</w:t>
      </w:r>
      <w:r>
        <w:t xml:space="preserve"> </w:t>
      </w:r>
      <w:r>
        <w:t xml:space="preserve">science</w:t>
      </w:r>
      <w:r>
        <w:t xml:space="preserve"> </w:t>
      </w:r>
      <w:r>
        <w:t xml:space="preserve">advice</w:t>
      </w:r>
      <w:r>
        <w:t xml:space="preserve"> </w:t>
      </w:r>
      <w:r>
        <w:t xml:space="preserve">and</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 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w:t>
      </w:r>
      <w:r>
        <w:t xml:space="preserve"> </w:t>
      </w:r>
      <w:r>
        <w:t xml:space="preserve">(Aeberhard et al. 2018; Thorson et al. 2015; thorsonSpatialDelaydifferenceModels2015; Cadrin 2020)</w:t>
      </w:r>
      <w:r>
        <w:t xml:space="preserve">.</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and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(GB) has been home to some of the most productive fisheries in the world for centuries and is home to a wealth of natural resources [CITE].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GB fell under the jurisdiction of Canada and the United States (CITE NAFO something). The final demarcation of the Canadian and United States territorial waters on GB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GB was home to large groundfish fisheries including Atlantic cod (</w:t>
      </w:r>
      <w:r>
        <w:rPr>
          <w:i/>
        </w:rPr>
        <w:t xml:space="preserve">Gadus morhua</w:t>
      </w:r>
      <w:r>
        <w:t xml:space="preserve">), Altantic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GB declined significantly in early 1990’s and there have been little evidence for recovery of this stock since this collapse</w:t>
      </w:r>
      <w:r>
        <w:t xml:space="preserve"> </w:t>
      </w:r>
      <w:r>
        <w:t xml:space="preserve">(Andrushchenko et al. 2018)</w:t>
      </w:r>
      <w:r>
        <w:t xml:space="preserve">. Yellowtail flounder on GB had been at low abundance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w:t>
      </w:r>
      <w:r>
        <w:t xml:space="preserve"> </w:t>
      </w:r>
      <w:r>
        <w:t xml:space="preserve">(Legault and McCurdy 2018)</w:t>
      </w:r>
      <w:r>
        <w:t xml:space="preserve">. While the status of these two groundfish species remains poor, other groundfish stocks (e.g. Atlantic haddock) have experienced large increases in biomass over the last decade, and currently the most lucrative fishery on GB has been an invertebrate sea scallop fishery which has experienced unprecedented productivity over the last two decades [</w:t>
      </w:r>
      <w:r>
        <w:t xml:space="preserve">Finley et al. (2019)</w:t>
      </w:r>
      <w:r>
        <w:t xml:space="preserve">; CITE SABHU and DVORA].</w:t>
      </w:r>
    </w:p>
    <w:p>
      <w:pPr>
        <w:pStyle w:val="BodyText"/>
      </w:pPr>
      <w:r>
        <w:t xml:space="preserve">Fisheries management bodies in both Canada and the United States have implemented measures to protect cod and yellowtail on GB. While these measures vary between the countries, both countries have collaborated to develop a shared bycatch quota for these two species; this quota has declined substantially for both species over the last decade</w:t>
      </w:r>
      <w:r>
        <w:t xml:space="preserve"> </w:t>
      </w:r>
      <w:r>
        <w:t xml:space="preserve">(Andrushchenko et al. 2018; Legault and McCurdy 2018)</w:t>
      </w:r>
      <w:r>
        <w:t xml:space="preserve">. In addition to these regulations which attempt to directly limit the removals of these two species, both countries have implemented closures. In the United States two large closed area were implemented (Closed Area I and 2) in 1994, these closures were designed to aid in the recovery of groundfish and invertebrate stocks on GB</w:t>
      </w:r>
      <w:r>
        <w:t xml:space="preserve"> </w:t>
      </w:r>
      <w:r>
        <w:t xml:space="preserve">(Murawski et al. 2000; Link et al. 2005)</w:t>
      </w:r>
      <w:r>
        <w:t xml:space="preserve">. In Canada the groundfish fishery is not permitted to fish on GB during cod spawning; since 2010 this closure has started in the 5</w:t>
      </w:r>
      <w:r>
        <w:rPr>
          <w:vertAlign w:val="superscript"/>
        </w:rPr>
        <w:t xml:space="preserve">th</w:t>
      </w:r>
      <w:r>
        <w:t xml:space="preserve"> </w:t>
      </w:r>
      <w:r>
        <w:t xml:space="preserve">week of the year and lasts until May 31</w:t>
      </w:r>
      <w:r>
        <w:rPr>
          <w:vertAlign w:val="superscript"/>
        </w:rPr>
        <w:t xml:space="preserve">st</w:t>
      </w:r>
      <w:r>
        <w:t xml:space="preserve">. The Canadian Offshore Scallop Fishery (COSF) also faces restrictions on fishing during the peak spawning periods with time-area closures limiting the area this fishery can operate in February and March (cod;</w:t>
      </w:r>
      <w:r>
        <w:t xml:space="preserve"> </w:t>
      </w:r>
      <w:r>
        <w:t xml:space="preserve">DFO (2019)</w:t>
      </w:r>
      <w:r>
        <w:t xml:space="preserve">) and June</w:t>
      </w:r>
      <w:r>
        <w:t xml:space="preserve"> </w:t>
      </w:r>
      <w:r>
        <w:t xml:space="preserve">(yellowtail; DFO 2014)</w:t>
      </w:r>
      <w:r>
        <w:t xml:space="preserve">.</w:t>
      </w:r>
    </w:p>
    <w:p>
      <w:pPr>
        <w:pStyle w:val="BodyText"/>
      </w:pPr>
      <w:r>
        <w:t xml:space="preserve">Here we use a recently developed statistical framework (CITE R-INLA) to develop spatio-temporal species distribution models for two depleted groundfish stocks on GB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using these two species as a case study investigate how well existing closures on GB align with these species during spawning and 5) quantify how well the models can predict the spawning distribution of these species 1, 2, and 3 years into the future.</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(GB),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 and Pettigrew 1997)</w:t>
      </w:r>
      <w:r>
        <w:t xml:space="preserve">. It is an eroding bank with no sediment recharge, and covered with coarse gravel and sand that provides important habitat for many species</w:t>
      </w:r>
      <w:r>
        <w:t xml:space="preserve"> </w:t>
      </w:r>
      <w:r>
        <w:t xml:space="preserve">(Valentine and Lough 1991)</w:t>
      </w:r>
      <w:r>
        <w:t xml:space="preserve">. Since 1984, GB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GB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w:t>
      </w:r>
      <w:r>
        <w:t xml:space="preserve"> </w:t>
      </w:r>
      <w:r>
        <w:t xml:space="preserve">??</w:t>
      </w:r>
      <w:r>
        <w:t xml:space="preserve">).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2</w:t>
      </w:r>
      <w:r>
        <w:t xml:space="preserve">).</w:t>
      </w:r>
    </w:p>
    <w:p>
      <w:pPr>
        <w:pStyle w:val="BodyText"/>
      </w:pPr>
      <w:r>
        <w:t xml:space="preserve">For the INLA models data up to 2016 were used, while survey data from 2017-2019 were excluded from the main analysis and used only as testing data for the spawning distribution case study.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type</w:t>
      </w:r>
      <w:r>
        <w:t xml:space="preserve"> </w:t>
      </w:r>
      <w:r>
        <w:t xml:space="preserve">(Sed ; data obtained from</w:t>
      </w:r>
      <w:r>
        <w:t xml:space="preserve"> </w:t>
      </w:r>
      <w:r>
        <w:rPr>
          <w:b/>
        </w:rPr>
        <w:t xml:space="preserve">???</w:t>
      </w:r>
      <w:r>
        <w:t xml:space="preserve">)</w:t>
      </w:r>
      <w:r>
        <w:t xml:space="preserve"> </w:t>
      </w:r>
      <w:r>
        <w:t xml:space="preserve">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type. This amalgamated level represented approximately 7% of survey tows across the three surveys (approximately 93% of the survey tows were on the Sand or Gravel-Sand bottoms).</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and DIC; the results for both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scores were observed across multiple models. For cod this analysis identified depth (DEP) and the average sea surface temperature between 1997 and 2008 (SST) as having low WAIC scores in 2 of the 3 surveys</w:t>
      </w:r>
      <w:r>
        <w:t xml:space="preserve"> </w:t>
      </w:r>
      <w:r>
        <w:t xml:space="preserve">(Data obtained from Greenlaw et al. 2010)</w:t>
      </w:r>
      <w:r>
        <w:t xml:space="preserve">.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
      <w:r>
        <w:t xml:space="preserve">Model Validation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SST (cod), DEP (yellowtail), DEP + SST, the 5 year random field was used for all model validation for both species.</w:t>
      </w:r>
    </w:p>
    <w:p>
      <w:pPr>
        <w:pStyle w:val="Heading3"/>
      </w:pPr>
      <w:bookmarkStart w:id="27" w:name="spawning-aggregation-case-study"/>
      <w:r>
        <w:t xml:space="preserve">Spawning Aggregation Case Study</w:t>
      </w:r>
      <w:bookmarkEnd w:id="27"/>
    </w:p>
    <w:p>
      <w:pPr>
        <w:pStyle w:val="FirstParagraph"/>
      </w:pPr>
      <w:r>
        <w:t xml:space="preserve">These model results were used to track changes in the distributions of cod and yellowtail during spawning on GB. Cod spawn between November and May on GB with a spawning peak in February and March; the DFO Winter survey occurs during this period and was used for the cod spawning analyses</w:t>
      </w:r>
      <w:r>
        <w:t xml:space="preserve"> </w:t>
      </w:r>
      <w:r>
        <w:t xml:space="preserve">(O’Brien et al. 1993)</w:t>
      </w:r>
      <w:r>
        <w:t xml:space="preserve">. Yellowtail spawning occurs mostly in the spring between April and August, with peak spawning in May and June; the NMFS Spring survey occurs during this period and was used for the yellowtail analyses</w:t>
      </w:r>
      <w:r>
        <w:t xml:space="preserve"> </w:t>
      </w:r>
      <w:r>
        <w:t xml:space="preserve">(O’Brien et al. 1993)</w:t>
      </w:r>
      <w:r>
        <w:t xml:space="preserve">. To test how well these surveys were able to predict future spawning aggregations data from the 2017-2019 surveys was used as a testing dataset . This analysis utilized the predictions from the 3 and 5 year random field with the SST + Dep models to predict the EP of observed data 1, 2, and 3 years into the future. For each of the 3 years the predictive error was estimated using RMSE, MAE, and SD and this was compared to the observed residual error from each model (given similarity of the results only the RMSE is discussed).</w:t>
      </w:r>
    </w:p>
    <w:p>
      <w:pPr>
        <w:pStyle w:val="BodyText"/>
      </w:pPr>
      <w:r>
        <w:t xml:space="preserve">There are 4 distinct partial closures within the domain of these surveys, two large year round closures on the U.S. side of GB, and two smaller time-area closures in Canadian waters which effect the Canadian Offshore Scallop Fleet (COSF). There is also a full closure of GB to the Canadian Groundfish fishery which begins in early February, this closure is not explored in detail here due to the complete exclusion of this fishery from GB. In the U.S. Closed Area 1 (CA1) and Closed Area 2 (CA2) were implemented in 1994 in an effort to rebuild stocks in the region</w:t>
      </w:r>
      <w:r>
        <w:t xml:space="preserve"> </w:t>
      </w:r>
      <w:r>
        <w:t xml:space="preserve">(Link et al. 2005)</w:t>
      </w:r>
      <w:r>
        <w:t xml:space="preserve">. CA1 is approximately 3950 km² and extends outside the primary domain of the surveys in this study; this analysis is limited to the region of CA1 which is inside the primary survey domain of this study (1938 km²). CA2 straddles and Canadian border and covers 6807 km² with the majority of this area (6683 km²) within the domain used in this study. Portions of both of these areas have allowed for scallop fishery access in a sub-area of the closure since 1999</w:t>
      </w:r>
      <w:r>
        <w:t xml:space="preserve"> </w:t>
      </w:r>
      <w:r>
        <w:t xml:space="preserve">(O’Keefe and DeCelles 2013; Link et al. 2005)</w:t>
      </w:r>
      <w:r>
        <w:t xml:space="preserve">.</w:t>
      </w:r>
    </w:p>
    <w:p>
      <w:pPr>
        <w:pStyle w:val="BodyText"/>
      </w:pPr>
      <w:r>
        <w:t xml:space="preserve">On the Canadian side the objectives of both the time-area closures are to reduce discards from the COSF of spawning cod and yellowtail. One closure occurs in February and March and is designed to protect spawning cod, this closure was first implemented in 2006; the other closure was first put in place in 2007, occurs in June, and is designed to protect spawning yellowtail. The location and size of each closure can vary from year to year and they employee unique methodologies to delineate the closed area in any given year, although the location of the yellowtail closure has not changed since 2014</w:t>
      </w:r>
      <w:r>
        <w:t xml:space="preserve"> </w:t>
      </w:r>
      <w:r>
        <w:t xml:space="preserve">(DFO 2014, 2019)</w:t>
      </w:r>
      <w:r>
        <w:t xml:space="preserve">. For this analysis the historical trends of EP within the domain of the COSF was quantified and compared to the EP within the Canadian cod and yellowtail closures designs between 2007-2016 using only the 5 year random field model.</w:t>
      </w:r>
    </w:p>
    <w:p>
      <w:pPr>
        <w:pStyle w:val="Heading1"/>
      </w:pPr>
      <w:bookmarkStart w:id="28" w:name="results"/>
      <w:r>
        <w:t xml:space="preserve">Results</w:t>
      </w:r>
      <w:bookmarkEnd w:id="28"/>
    </w:p>
    <w:p>
      <w:pPr>
        <w:pStyle w:val="Heading3"/>
      </w:pPr>
      <w:bookmarkStart w:id="29" w:name="model-selection"/>
      <w:r>
        <w:t xml:space="preserve">Model Selection</w:t>
      </w:r>
      <w:bookmarkEnd w:id="29"/>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w:t>
      </w:r>
      <w:r>
        <w:t xml:space="preserve"> </w:t>
      </w:r>
      <w:r>
        <w:t xml:space="preserve">3</w:t>
      </w:r>
      <w:r>
        <w:t xml:space="preserve">). For yellowtail, inclusion of depth significantly improved the models in all 3 seasons (surveys), while Sediment type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w:t>
      </w:r>
      <w:r>
        <w:t xml:space="preserve"> </w:t>
      </w:r>
      <w:r>
        <w:t xml:space="preserve">4</w:t>
      </w:r>
      <w:r>
        <w:t xml:space="preserve">). For yellowtail the best models with 2 covariates included some combination of Dep, SST, and Sed, further model selection indicated that the best model for yellowtail in all 3 seasons was an additive model including Dep, SST, and Sed (Figures</w:t>
      </w:r>
      <w:r>
        <w:t xml:space="preserve"> </w:t>
      </w:r>
      <w:r>
        <w:t xml:space="preserve">4</w:t>
      </w:r>
      <w:r>
        <w:t xml:space="preserve"> </w:t>
      </w:r>
      <w:r>
        <w:t xml:space="preserve">and</w:t>
      </w:r>
      <w:r>
        <w:t xml:space="preserve"> </w:t>
      </w:r>
      <w:r>
        <w:t xml:space="preserve">5</w:t>
      </w:r>
      <w:r>
        <w:t xml:space="preserve">). The cod the 5 year random field had the lowest WAIC in all seasons, while for yellowtail the 3 year field was preferred for Winter and Spring, while the 5 year field was preferred for Fall (Figure</w:t>
      </w:r>
      <w:r>
        <w:t xml:space="preserve"> </w:t>
      </w:r>
      <w:r>
        <w:t xml:space="preserve">6</w:t>
      </w:r>
      <w:r>
        <w:t xml:space="preserve">).</w:t>
      </w:r>
    </w:p>
    <w:p>
      <w:pPr>
        <w:pStyle w:val="Heading3"/>
      </w:pPr>
      <w:bookmarkStart w:id="30" w:name="environmental-variables"/>
      <w:r>
        <w:t xml:space="preserve">Environmental Variables</w:t>
      </w:r>
      <w:bookmarkEnd w:id="30"/>
    </w:p>
    <w:p>
      <w:pPr>
        <w:pStyle w:val="FirstParagraph"/>
      </w:pPr>
      <w:r>
        <w:t xml:space="preserve">The spatial fields for the three environmental variables retained by model selection are shown in Figure</w:t>
      </w:r>
      <w:r>
        <w:t xml:space="preserve"> </w:t>
      </w:r>
      <w:r>
        <w:t xml:space="preserve">7</w:t>
      </w:r>
      <w:r>
        <w:t xml:space="preserve">. The average SST between 1997 and 2008 had the largest effect on the EP (encounter probability) of cod, they were generally more likely to be found in colder regions of the bank with the EP declining rapidly in regions of the bank in which the SST was above approximate 10°C (Figure</w:t>
      </w:r>
      <w:r>
        <w:t xml:space="preserve"> </w:t>
      </w:r>
      <w:r>
        <w:t xml:space="preserve">8</w:t>
      </w:r>
      <w:r>
        <w:t xml:space="preserve">). The depth relationship was also retained in the final cod model though the effect on EP was substantially smaller, during the Winter and Spring the EP peaked between approximately 60 and 90 meters and declined slowly in shallower and deeper waters (Figure</w:t>
      </w:r>
      <w:r>
        <w:t xml:space="preserve"> </w:t>
      </w:r>
      <w:r>
        <w:t xml:space="preserve">8</w:t>
      </w:r>
      <w:r>
        <w:t xml:space="preserve">).</w:t>
      </w:r>
    </w:p>
    <w:p>
      <w:pPr>
        <w:pStyle w:val="BodyText"/>
      </w:pPr>
      <w:r>
        <w:t xml:space="preserve">For yellowtail depth had the largest effect on EP, with Yellowtail being most likely to be observed between depths of 60 and 90 meters and the EP being higher during the Spring (Figure</w:t>
      </w:r>
      <w:r>
        <w:t xml:space="preserve"> </w:t>
      </w:r>
      <w:r>
        <w:t xml:space="preserve">9</w:t>
      </w:r>
      <w:r>
        <w:t xml:space="preserve">). The average SST between 1997 and 2008 was also included in the final model in all three seasons, with yellowtail EP generally declining slightly as SST increased. The sediment type also had a significant influence on the EP for yellowtail, with Sand and Gravel-Sand having higher EP’s than other sediment types, this difference is most notable during the Winter, but model selection slightly favoured the Sediment model in the Spring and Winter as well although the effect size declined in these years (Figures</w:t>
      </w:r>
      <w:r>
        <w:t xml:space="preserve"> </w:t>
      </w:r>
      <w:r>
        <w:t xml:space="preserve">8</w:t>
      </w:r>
      <w:r>
        <w:t xml:space="preserve"> </w:t>
      </w:r>
      <w:r>
        <w:t xml:space="preserve">and</w:t>
      </w:r>
      <w:r>
        <w:t xml:space="preserve"> </w:t>
      </w:r>
      <w:r>
        <w:t xml:space="preserve">5</w:t>
      </w:r>
      <w:r>
        <w:t xml:space="preserve">).</w:t>
      </w:r>
    </w:p>
    <w:p>
      <w:pPr>
        <w:pStyle w:val="BodyText"/>
      </w:pPr>
      <w:r>
        <w:t xml:space="preserve">Inter-annual and Seasonal Variability</w:t>
      </w:r>
    </w:p>
    <w:p>
      <w:pPr>
        <w:pStyle w:val="BodyText"/>
      </w:pPr>
      <w:r>
        <w:t xml:space="preserve">For both species the distribution shifted towards the north and east throughout the study period (Figure</w:t>
      </w:r>
      <w:r>
        <w:t xml:space="preserve"> </w:t>
      </w:r>
      <w:r>
        <w:t xml:space="preserve">10</w:t>
      </w:r>
      <w:r>
        <w:t xml:space="preserve">). For cod the shift in distribution occurred relatively rapidly in the 1990s and the center of gravity has been relatively stable since this period (Figure</w:t>
      </w:r>
      <w:r>
        <w:t xml:space="preserve"> </w:t>
      </w:r>
      <w:r>
        <w:t xml:space="preserve">10</w:t>
      </w:r>
      <w:r>
        <w:t xml:space="preserve">). This shift in distribution of cod has largely occurred due to the loss areas with high encounter probabilities on the U.S. side of the bank (Fig Supplement), the center of gravity of the population has been well within Canadian waters since this shift for all 3 surveys. In addition, the fall survey indicates that cod has tended to be distributed along the northern edge of GB and the distribution of cod during this time likely includes the northern slope of the bank where there is limited survey coverage. The area of high encounter probability has followed a similar temporal pattern as the distribution, with a rapid decline in the area of high encounter probability for cod occurring in the 1990s in the winter and spring ((Figure</w:t>
      </w:r>
      <w:r>
        <w:t xml:space="preserve"> </w:t>
      </w:r>
      <w:r>
        <w:t xml:space="preserve">11</w:t>
      </w:r>
      <w:r>
        <w:t xml:space="preserve">)). In the fall the decline in high encounter probability (HEP) was observed approximately a decade earlier than in the winter or spring, the area of HEP has been much smaller during the fall, given the location of the stock along the edge of the bank during this period it is likely that a substantial portion of the population is located along the slope where survey coverage is limited ((Figure</w:t>
      </w:r>
      <w:r>
        <w:t xml:space="preserve"> </w:t>
      </w:r>
      <w:r>
        <w:t xml:space="preserve">11</w:t>
      </w:r>
      <w:r>
        <w:t xml:space="preserve"> </w:t>
      </w:r>
      <w:r>
        <w:t xml:space="preserve">and Supplement).</w:t>
      </w:r>
    </w:p>
    <w:p>
      <w:pPr>
        <w:pStyle w:val="BodyText"/>
      </w:pPr>
      <w:r>
        <w:t xml:space="preserve">The yellowtail shift in distribution has in large part been due to a loss of HEP along the southern flanks of GB and the region of HEP has been consolidated in a central region of GB which straddles the ICJ line dividing Canada and the U.S (Figure</w:t>
      </w:r>
      <w:r>
        <w:t xml:space="preserve"> </w:t>
      </w:r>
      <w:r>
        <w:t xml:space="preserve">10</w:t>
      </w:r>
      <w:r>
        <w:t xml:space="preserve"> </w:t>
      </w:r>
      <w:r>
        <w:t xml:space="preserve">and Supplement). This center of gravity of yellowtail has been very stable both seasonally and inter-annually since the 1990s despite large changes in the HEP area during this time. The trends in and size of the HEP area for the Spring and Fall surveys have been very similar since the 1980s with large increases in HEP area in the 1990s followed by variable yet increasing HEP area ((Figure</w:t>
      </w:r>
      <w:r>
        <w:t xml:space="preserve"> </w:t>
      </w:r>
      <w:r>
        <w:t xml:space="preserve">11</w:t>
      </w:r>
      <w:r>
        <w:t xml:space="preserve">). The Winter survey identifies an area of similar location and size, but the Winter HEP trend has been in decline since a period of increase in the 1990s ((Figure</w:t>
      </w:r>
      <w:r>
        <w:t xml:space="preserve"> </w:t>
      </w:r>
      <w:r>
        <w:t xml:space="preserve">11</w:t>
      </w:r>
      <w:r>
        <w:t xml:space="preserve">).</w:t>
      </w:r>
    </w:p>
    <w:p>
      <w:pPr>
        <w:pStyle w:val="Heading3"/>
      </w:pPr>
      <w:bookmarkStart w:id="31" w:name="validation-and-prediction"/>
      <w:r>
        <w:t xml:space="preserve">Validation and Prediction</w:t>
      </w:r>
      <w:bookmarkEnd w:id="31"/>
    </w:p>
    <w:p>
      <w:pPr>
        <w:pStyle w:val="FirstParagraph"/>
      </w:pPr>
      <w:r>
        <w:t xml:space="preserve">The 5-fold cross validation indicated that all of the models were able to predict the distribution for all species and surveys without a significant loss of accuracy, the mean error of the residuals for the validation training set predictions were similar to the error from the predicted test data, although the mean error of the test data were generally more variable ((Figure</w:t>
      </w:r>
      <w:r>
        <w:t xml:space="preserve"> </w:t>
      </w:r>
      <w:r>
        <w:t xml:space="preserve">12</w:t>
      </w:r>
      <w:r>
        <w:t xml:space="preserve">). The RMSE from the test and training data showed similar patterns for both species and most of the models, although notably the RMSE from the intercept only Yellowtail model was somewhat lower than either of the models with covariates indicating that the the inclusion of explicit covariates may result in a small loss of out of sample prediction for this species ((Figure</w:t>
      </w:r>
      <w:r>
        <w:t xml:space="preserve"> </w:t>
      </w:r>
      <w:r>
        <w:t xml:space="preserve">12</w:t>
      </w:r>
      <w:r>
        <w:t xml:space="preserve">).</w:t>
      </w:r>
    </w:p>
    <w:p>
      <w:pPr>
        <w:pStyle w:val="Heading3"/>
      </w:pPr>
      <w:bookmarkStart w:id="32" w:name="case-study"/>
      <w:r>
        <w:t xml:space="preserve">Case Study</w:t>
      </w:r>
      <w:bookmarkEnd w:id="32"/>
    </w:p>
    <w:p>
      <w:pPr>
        <w:pStyle w:val="FirstParagraph"/>
      </w:pPr>
      <w:r>
        <w:t xml:space="preserve">The 3 and 5 year random field models resulted in a loss of accuracy when predicting the spawning distributions of each species 1, 2, and 3 years into the future (Figure</w:t>
      </w:r>
      <w:r>
        <w:t xml:space="preserve"> </w:t>
      </w:r>
      <w:r>
        <w:t xml:space="preserve">13</w:t>
      </w:r>
      <w:r>
        <w:t xml:space="preserve">), but the predictions were well below the RMSE associated with a model with no predictive ability (dashed line Figure</w:t>
      </w:r>
      <w:r>
        <w:t xml:space="preserve"> </w:t>
      </w:r>
      <w:r>
        <w:t xml:space="preserve">13</w:t>
      </w:r>
      <w:r>
        <w:t xml:space="preserve">). For both species the 2018 data consistently had the lowest prediction accuracy with the predictive models tending expect encounters where no individuals were observed. (Figure</w:t>
      </w:r>
      <w:r>
        <w:t xml:space="preserve"> </w:t>
      </w:r>
      <w:r>
        <w:t xml:space="preserve">13</w:t>
      </w:r>
      <w:r>
        <w:t xml:space="preserve"> </w:t>
      </w:r>
      <w:r>
        <w:t xml:space="preserve">and Supplement).</w:t>
      </w:r>
    </w:p>
    <w:p>
      <w:pPr>
        <w:pStyle w:val="BodyText"/>
      </w:pPr>
      <w:r>
        <w:t xml:space="preserve">In the U.S., the area of high EP during spawning in CA1 declined for both species (recall the Winter cod survey began in 1987) with high EP areas approaching 0 for both species starting in 2002 (Figure</w:t>
      </w:r>
      <w:r>
        <w:t xml:space="preserve"> </w:t>
      </w:r>
      <w:r>
        <w:t xml:space="preserve">14</w:t>
      </w:r>
      <w:r>
        <w:t xml:space="preserve">). In the late 1980’s and early 1990’s CA1 had accounted for between 10 and 20% of the high EP on GB during spawning. In CA2 the decline in high EP area for cod was similar to that observed for yellowtail, although some High EP area within CA2 was observed in recent years for cod; at it’s peak CA2 represented over 20% of the high EP on GB. The area of high EP for yellowtail on CA2 declined rapidly during the 1970’s and 1980’s, but has since rebounded and the total high EP area was similar to that observed during the early 1970’s in the 2012-2016 era. The proportion of high EP within CA2 during spawning increased from approximately 30% of the bank during the 1970s-1980s to as high as 50% in more recent years (Figure</w:t>
      </w:r>
      <w:r>
        <w:t xml:space="preserve"> </w:t>
      </w:r>
      <w:r>
        <w:t xml:space="preserve">14</w:t>
      </w:r>
      <w:r>
        <w:t xml:space="preserve">).</w:t>
      </w:r>
    </w:p>
    <w:p>
      <w:pPr>
        <w:pStyle w:val="BodyText"/>
      </w:pPr>
      <w:r>
        <w:t xml:space="preserve">In Canada, the closures are directed at the COSF and the high EP area for cod during spawning within the COSF domain has generally been in decline with the area of high EP approximately 40% lower in the most recent era than at the start of the time series; the proportion of the COSF domain with high EP during spawning has declined from 95% to 55% during this time (Figure</w:t>
      </w:r>
      <w:r>
        <w:t xml:space="preserve"> </w:t>
      </w:r>
      <w:r>
        <w:t xml:space="preserve">15</w:t>
      </w:r>
      <w:r>
        <w:t xml:space="preserve">). Despite this decline in area, the proportion of the high EP on GB located within the COSF domain has increased from 20% to over 60% during this time due to the loss of high EP area throughout much of the U.S. portion of GB (Figure</w:t>
      </w:r>
      <w:r>
        <w:t xml:space="preserve"> </w:t>
      </w:r>
      <w:r>
        <w:t xml:space="preserve">15</w:t>
      </w:r>
      <w:r>
        <w:t xml:space="preserve">). The cod closure has included between 200 and 300 km² of high EP since 2007 and over 80% of the closure has historically been high EP for cod (Figure</w:t>
      </w:r>
      <w:r>
        <w:t xml:space="preserve"> </w:t>
      </w:r>
      <w:r>
        <w:t xml:space="preserve">16</w:t>
      </w:r>
      <w:r>
        <w:t xml:space="preserve">). Despite this, the small size of this closure results in these closures accounting for less than 20% of the high EP within the COSF domain.</w:t>
      </w:r>
    </w:p>
    <w:p>
      <w:pPr>
        <w:pStyle w:val="BodyText"/>
      </w:pPr>
      <w:r>
        <w:t xml:space="preserve">The high EP area of yellowtail during spawning within the COSF domain has increased over time with over 2500 km² and over 25% of the high EP on GB within this region in recent years (Figure</w:t>
      </w:r>
      <w:r>
        <w:t xml:space="preserve"> </w:t>
      </w:r>
      <w:r>
        <w:t xml:space="preserve">15</w:t>
      </w:r>
      <w:r>
        <w:t xml:space="preserve">). In the 1970s and 1980s the COSF domain often had less than 25% high EP, but this changed rapidly in the mid-1990s and since this time over 60% of the COSF domain has been high EP (Figure</w:t>
      </w:r>
      <w:r>
        <w:t xml:space="preserve"> </w:t>
      </w:r>
      <w:r>
        <w:t xml:space="preserve">15</w:t>
      </w:r>
      <w:r>
        <w:t xml:space="preserve">). The high EP area within the yellowtail closures has ranged between 90 and 280 km² and, with the exception of 2012, over 80% of the closure area has been high EP. Similar to the cod closures, only a fraction of the total high EP area within the COSF domain is accounted for by the yellowtail closures (Figure</w:t>
      </w:r>
      <w:r>
        <w:t xml:space="preserve"> </w:t>
      </w:r>
      <w:r>
        <w:t xml:space="preserve">16</w:t>
      </w:r>
      <w:r>
        <w:t xml:space="preserve">).</w:t>
      </w:r>
    </w:p>
    <w:p>
      <w:pPr>
        <w:pStyle w:val="Heading1"/>
      </w:pPr>
      <w:bookmarkStart w:id="33" w:name="discussion"/>
      <w:r>
        <w:t xml:space="preserve">Discussion</w:t>
      </w:r>
      <w:bookmarkEnd w:id="33"/>
    </w:p>
    <w:p>
      <w:pPr>
        <w:pStyle w:val="FirstParagraph"/>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spawning cod and yellowtail up to 3 years in the future with only a modest loss of predictive. Finally, the models were used to better understand how the overlap between the closed areas and the high EP areas during spawning for both species has changed over time in both the U.S. and Canada.</w:t>
      </w:r>
    </w:p>
    <w:p>
      <w:pPr>
        <w:pStyle w:val="Heading3"/>
      </w:pPr>
      <w:bookmarkStart w:id="34" w:name="yellowtail"/>
      <w:r>
        <w:t xml:space="preserve">Yellowtail</w:t>
      </w:r>
      <w:bookmarkEnd w:id="34"/>
    </w:p>
    <w:p>
      <w:pPr>
        <w:pStyle w:val="FirstParagraph"/>
      </w:pPr>
      <w:r>
        <w:t xml:space="preserve">The depth, static SST, and sediment type were generally the most influential variables for yellowtail for all the models tested. Yellowtail were most likely to be found on XXXX bottom at depths between XX and XX meters</w:t>
      </w:r>
      <w:r>
        <w:t xml:space="preserve"> </w:t>
      </w:r>
      <w:r>
        <w:t xml:space="preserve">(O’Brien et al. 1993)</w:t>
      </w:r>
      <w:r>
        <w:t xml:space="preserve"> </w:t>
      </w:r>
      <w:r>
        <w:t xml:space="preserve">and in historically lower SST regions of the bank; the core area around CA2 represents the most northern region of this habitat on GB. The decline in yellowtail biomass over last decade may be tied to environmental change throughout the region given that the biomass of yellowtail are low throughout the U.S., which represents the southern limit of the historical range of this species (</w:t>
      </w:r>
      <w:r>
        <w:t xml:space="preserve">Legault and McCurdy (2018)</w:t>
      </w:r>
      <w:r>
        <w:t xml:space="preserve">;</w:t>
      </w:r>
      <w:r>
        <w:t xml:space="preserve"> </w:t>
      </w:r>
      <w:r>
        <w:t xml:space="preserve">NFSC (2012)</w:t>
      </w:r>
      <w:r>
        <w:t xml:space="preserve">;</w:t>
      </w:r>
      <w:r>
        <w:t xml:space="preserve"> </w:t>
      </w:r>
      <w:r>
        <w:t xml:space="preserve">(“NOAA Yellowtail Flounder Overview” n.d.)</w:t>
      </w:r>
      <w:r>
        <w:t xml:space="preserve">). Given the loss of Yellowtail from the warmer portions of the bank (West and South) observed in this study it is possible that the remaining core area around CA2 represents the last suitable habitat on GB for this species. If temperatures continue to increase as projected</w:t>
      </w:r>
      <w:r>
        <w:t xml:space="preserve"> </w:t>
      </w:r>
      <w:r>
        <w:t xml:space="preserve">(Allyn et al. 2020)</w:t>
      </w:r>
      <w:r>
        <w:t xml:space="preserve"> </w:t>
      </w:r>
      <w:r>
        <w:t xml:space="preserve">the suitability of this last habitat may decline which could effectively lead to the extirpation of yellowtail from GB irrespective of any fisheries management action.</w:t>
      </w:r>
    </w:p>
    <w:p>
      <w:pPr>
        <w:pStyle w:val="BodyText"/>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(Murawski et al. 2000; Link et al. 2005)</w:t>
      </w:r>
      <w:r>
        <w:t xml:space="preserve">. Here we see a slight increase in the high EP area for yellowtail during spawning in CA1 around the time the closure was put in place which followed a steady decline in the 1970s and 1980s. The high EP area has subsequently declined steadily for yellowtail during its spawning period in CA1. While CA1 historically had represented only around 10% of high EP yellowtail area, in recent decades this has dropped to near 0. Given the limited fishing activity inside CA1 during this period, it is likely that this shift in the distribution is due the shifting environmental conditions on GB</w:t>
      </w:r>
      <w:r>
        <w:t xml:space="preserve"> </w:t>
      </w:r>
      <w:r>
        <w:t xml:space="preserve">(Allyn et al. 2020)</w:t>
      </w:r>
      <w:r>
        <w:t xml:space="preserve">.</w:t>
      </w:r>
    </w:p>
    <w:p>
      <w:pPr>
        <w:pStyle w:val="BodyText"/>
      </w:pPr>
      <w:r>
        <w:t xml:space="preserve">CA2, which straddles the ICJ line, had experienced a large rapid decline in high EP yellowtail area during spawning in the years leading up to the implementation of the CA2 closure. This was followed by an large rapid increase in high EP for yellowtail which begins around the time this CA2 was put in place. In recent years CA2 contains 40-50% of the high EP yellowtail area on GB during spawning and appears to represent the last large scale habitat suitable for yellowtail on the U.S. side of GB. The rapid expansion of the core yellowtail habitat in the early 2000’s was centred on CA2 with spillover evident into Canada and corresponded to a rapid increase in yellowtail biomass on GB</w:t>
      </w:r>
      <w:r>
        <w:t xml:space="preserve"> </w:t>
      </w:r>
      <w:r>
        <w:t xml:space="preserve">(Legault and McCurdy 2018)</w:t>
      </w:r>
      <w:r>
        <w:t xml:space="preserve">. The core area of high EP for yellowtail remained relatively stable starting in the early 2000s and was similar in size to what was observed in the 1970s before this closure was put in place. These results suggest evidence of a positive association between this closure and yellowtail status, but the abrupt yellowtail population decline in the early 2010s</w:t>
      </w:r>
      <w:r>
        <w:t xml:space="preserve"> </w:t>
      </w:r>
      <w:r>
        <w:t xml:space="preserve">(Legault and McCurdy 2018)</w:t>
      </w:r>
      <w:r>
        <w:t xml:space="preserve">, despite the ongoing minimal fishing effort in the area, suggest that the shifting environmental conditions on GB may now be effecting the stock within CA2</w:t>
      </w:r>
      <w:r>
        <w:t xml:space="preserve"> </w:t>
      </w:r>
      <w:r>
        <w:t xml:space="preserve">(Allyn et al. 2020)</w:t>
      </w:r>
      <w:r>
        <w:t xml:space="preserve">.</w:t>
      </w:r>
    </w:p>
    <w:p>
      <w:pPr>
        <w:pStyle w:val="BodyText"/>
      </w:pPr>
      <w:r>
        <w:t xml:space="preserve">On the Canadian side of GB (approximated here by the domain of the COSF) there has been no directed yellowtail fishery since 2012</w:t>
      </w:r>
      <w:r>
        <w:t xml:space="preserve"> </w:t>
      </w:r>
      <w:r>
        <w:t xml:space="preserve">(Legault and McCurdy 2018)</w:t>
      </w:r>
      <w:r>
        <w:t xml:space="preserve">. The primary source of fishery mortality comes from bycatch in the Canadian groundfish and COSF fisheries. In an effort to protect these spawning aggregations from bycatch from these fisheries on GB the Canadian groundfish fishery is excluded from GB from early February until the end of May. In June the COSF is excluded from fishing inside the time-area closure analyzed in this study, unfortunately, this time-area closure protects only a small proportion of the high EP yellowtail spawning area within the COSF fishing domain. While the area in which the COSF is excluded from are predominately regions in which yellowtail are commonly found, due to their limited size these closures are likely to have little impact on bycatch in the COSF. This aligns with previous research which found that bycatch rates from the COSF remain elevated when this closure is in place [Cite me].</w:t>
      </w:r>
    </w:p>
    <w:p>
      <w:pPr>
        <w:pStyle w:val="Heading3"/>
      </w:pPr>
      <w:bookmarkStart w:id="35" w:name="cod"/>
      <w:r>
        <w:t xml:space="preserve">Cod</w:t>
      </w:r>
      <w:bookmarkEnd w:id="35"/>
    </w:p>
    <w:p>
      <w:pPr>
        <w:pStyle w:val="FirstParagraph"/>
      </w:pPr>
      <w:r>
        <w:t xml:space="preserve">For cod the static SST layer and depth were the most influential covariates and indicated that cod preferred the colder portions of the bank throughout the year. The interpretation of the static SST layer as a thermal effect assumes that the relative temperature patterns on the bank have remained static over time. More advanced models using either a dynamic SST or modelled bottom temperature layer would lead to further insights into the drivers of change in the distribution of cod over time. The distribution of cod has steadily shifted throughout the duration of the study period. The depth preference of cod is more variable than yellowtail (6-400 meters ish, find a real citation) but as observed with yellowtail the high EP areas in the more southern and western reaches of the bank have primarily been the reason for the apparent shift in the distribution of cod into Canadian waters.</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(Bundy et al. 2009)</w:t>
      </w:r>
      <w:r>
        <w:t xml:space="preserve">. Since the collapse the core area has remained relatively consistent but has continued to slowly shift to the north and east throughout the year, though the shift is more pronounced in the fall. The fall distribution of cod is likely now located on the northeastern slope of the bank outside of the core survey domains of any of the surveys. This northeastern shift of the population over the course of this study suggests that the surveys are no longer sampling the entirety of this population throughout the course of the year (i.e. a higher proportion of the stock is now located outside of the survey domain). Each of the survey indices are used as inputs to the cod stock assessment model for eastern GB cod</w:t>
      </w:r>
      <w:r>
        <w:t xml:space="preserve"> </w:t>
      </w:r>
      <w:r>
        <w:t xml:space="preserve">(Andrushchenko et al. 2018)</w:t>
      </w:r>
      <w:r>
        <w:t xml:space="preserve">. This assessment model suffered from such significant retrospective patterns that this stock assessment model was eventually rejected; it is possible that the observed shift in the distribution of cod outside of the survey domain was an unknown contributing factor to the model retrospective problems</w:t>
      </w:r>
      <w:r>
        <w:t xml:space="preserve"> </w:t>
      </w:r>
      <w:r>
        <w:t xml:space="preserve">(Andrushchenko et al. 2018)</w:t>
      </w:r>
      <w:r>
        <w:t xml:space="preserve">. In addition, because the management of this stock is shared between Canada and the U.S., the observed shift in the core distribution to Canadian waters suggests that shared management policies, such as quota sharing agreements between the two juridications, may require regular review</w:t>
      </w:r>
      <w:r>
        <w:t xml:space="preserve"> </w:t>
      </w:r>
      <w:r>
        <w:t xml:space="preserve">(e.g. TMGC 2002)</w:t>
      </w:r>
      <w:r>
        <w:t xml:space="preserve">.</w:t>
      </w:r>
    </w:p>
    <w:p>
      <w:pPr>
        <w:pStyle w:val="BodyText"/>
      </w:pPr>
      <w:r>
        <w:t xml:space="preserve">On the U.S. side of GB there was a rapid decline in the high EP area within CA1 for cod during spawning which continued even after this area was closed. This decline was similar to the decline observed at the bank scale and in recent years there has been no high EP area within CA1. Similar rapid declines were observed in CA2 and since 1987 this represents a loss of over 7000 km² of high EP area in the U.S. despite the implementation of these closures. These two closures represented over 30% of the high EP cod area during spawning in the late 1980s and now represents &lt; 10% of the spawning area on GB. These declines are simlar to what has been experience throughout the U.S. side of GB during this time, with a loss of cod from U.S. waters and a shift in the distribution of the species to be predominately located in Canadian waters throughout the year.</w:t>
      </w:r>
    </w:p>
    <w:p>
      <w:pPr>
        <w:pStyle w:val="BodyText"/>
      </w:pPr>
      <w:r>
        <w:t xml:space="preserve">On the Canadian side of GB (approximated here by the domain of the COSF) while there has been a large decline in high EP area, this decline has been far more muted than experienced in U.S. waters. Declines in Canada peaked at 40% in the COSF domain in recent years. This has resulted in a rapid increase with the COSF domain accounting for &lt; 10% of high EP during spawning in the late 1980s jumping to approximately 60% in the most recent era. Similar to yelowtail, the closure of the COSF to protect spawning aggregations of cod are predominately located in high EP areas, but due to their limited size the closures protect only a small percentage of the high cod EP area within the COSF domain. This agrees with evidence that bycatch rates remain elevated when this closure is in place [Cite me].</w:t>
      </w:r>
    </w:p>
    <w:p>
      <w:pPr>
        <w:pStyle w:val="Heading1"/>
      </w:pPr>
      <w:bookmarkStart w:id="36" w:name="conclusions"/>
      <w:r>
        <w:t xml:space="preserve">Conclusions</w:t>
      </w:r>
      <w:bookmarkEnd w:id="36"/>
    </w:p>
    <w:p>
      <w:pPr>
        <w:pStyle w:val="FirstParagraph"/>
      </w:pPr>
      <w:r>
        <w:t xml:space="preserve">These models provides insight into how the distribution of both species changes both seasonally and inter-annually and how many environmental covariates, when treated spatially, have little impact on these patterns. The only static environmental data which had a significant effect on the species distributions were temperature, depth, and bottom type (yellowtail only). The inter-annual shifts in species distribution indicate the increasing importance of Canadian waters for both species on GB which is likely is due to the long-term environmental shifts observed in the region. These results suggest that given the habitat constraints faced by both species the continuation of directed environmental change will likely put both species at risk of extirpation from GB. Utilizing the spatio-temporal information contained in these models also provides novel insights which can be used to improve science advice (e.g. accounting for shifting distributions in stock assessment or choosing the location of protected areas) and lead to more sustainable fisheries management.</w:t>
      </w:r>
    </w:p>
    <w:p>
      <w:pPr>
        <w:pStyle w:val="Heading2"/>
      </w:pPr>
      <w:bookmarkStart w:id="37" w:name="acknowledgements"/>
      <w:r>
        <w:t xml:space="preserve">Acknowledgements</w:t>
      </w:r>
      <w:bookmarkEnd w:id="37"/>
    </w:p>
    <w:p>
      <w:pPr>
        <w:pStyle w:val="FirstParagraph"/>
      </w:pPr>
      <w:r>
        <w:t xml:space="preserve">Ms. Pectindy</w:t>
      </w:r>
    </w:p>
    <w:p>
      <w:pPr>
        <w:pStyle w:val="TableCaption"/>
      </w:pPr>
      <w:r>
        <w:t xml:space="preserve">Table 1: Enviromental variables used in the analysis</w:t>
      </w:r>
    </w:p>
    <w:tbl>
      <w:tblPr>
        <w:tblStyle w:val="Table"/>
        <w:tblW w:type="pct" w:w="0.0"/>
        <w:tblLook w:firstRow="1"/>
        <w:tblCaption w:val="Table 1: Enviromental variables used in the analysis"/>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Reference</w:t>
            </w:r>
          </w:p>
        </w:tc>
      </w:tr>
      <w:tr>
        <w:tc>
          <w:p>
            <w:pPr>
              <w:pStyle w:val="Compact"/>
              <w:jc w:val="left"/>
            </w:pPr>
            <w:r>
              <w:t xml:space="preserve">Depth</w:t>
            </w:r>
          </w:p>
        </w:tc>
        <w:tc>
          <w:p>
            <w:pPr>
              <w:pStyle w:val="Compact"/>
              <w:jc w:val="left"/>
            </w:pPr>
            <w:r>
              <w:t xml:space="preserve">comldepth</w:t>
            </w:r>
          </w:p>
        </w:tc>
        <w:tc>
          <w:p>
            <w:pPr>
              <w:pStyle w:val="Compact"/>
              <w:jc w:val="left"/>
            </w:pPr>
            <w:r>
              <w:t xml:space="preserve">CoML</w:t>
            </w:r>
          </w:p>
        </w:tc>
        <w:tc>
          <w:p>
            <w:pPr>
              <w:pStyle w:val="Compact"/>
              <w:jc w:val="left"/>
            </w:pPr>
            <w:r>
              <w:t xml:space="preserve">397</w:t>
            </w:r>
          </w:p>
        </w:tc>
        <w:tc>
          <w:p>
            <w:pPr>
              <w:pStyle w:val="Compact"/>
              <w:jc w:val="left"/>
            </w:pPr>
            <w:r>
              <w:t xml:space="preserve">meters</w:t>
            </w:r>
          </w:p>
        </w:tc>
        <w:tc>
          <w:p>
            <w:pPr>
              <w:pStyle w:val="Compact"/>
              <w:jc w:val="left"/>
            </w:pPr>
            <w:hyperlink r:id="rId38">
              <w:r>
                <w:rPr>
                  <w:rStyle w:val="Hyperlink"/>
                </w:rPr>
                <w:t xml:space="preserve">http://www.dfo-mpo.gc.ca/Library/342505.pdf</w:t>
              </w:r>
            </w:hyperlink>
          </w:p>
        </w:tc>
      </w:tr>
      <w:tr>
        <w:tc>
          <w:p>
            <w:pPr>
              <w:pStyle w:val="Compact"/>
              <w:jc w:val="left"/>
            </w:pPr>
            <w:r>
              <w:t xml:space="preserve">Slope</w:t>
            </w:r>
          </w:p>
        </w:tc>
        <w:tc>
          <w:p>
            <w:pPr>
              <w:pStyle w:val="Compact"/>
              <w:jc w:val="left"/>
            </w:pPr>
            <w:r>
              <w:t xml:space="preserve">comlslope</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Aspect</w:t>
            </w:r>
          </w:p>
        </w:tc>
        <w:tc>
          <w:p>
            <w:pPr>
              <w:pStyle w:val="Compact"/>
              <w:jc w:val="left"/>
            </w:pPr>
            <w:r>
              <w:t xml:space="preserve">comlaspect</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Current Stress with Wind and Tidal Influences</w:t>
            </w:r>
          </w:p>
        </w:tc>
        <w:tc>
          <w:p>
            <w:pPr>
              <w:pStyle w:val="Compact"/>
              <w:jc w:val="left"/>
            </w:pPr>
            <w:r>
              <w:t xml:space="preserve">botstr_wt</w:t>
            </w:r>
          </w:p>
        </w:tc>
        <w:tc>
          <w:p>
            <w:pPr>
              <w:pStyle w:val="Compact"/>
              <w:jc w:val="left"/>
            </w:pPr>
            <w:r>
              <w:t xml:space="preserve">CoML</w:t>
            </w:r>
          </w:p>
        </w:tc>
        <w:tc>
          <w:p>
            <w:pPr>
              <w:pStyle w:val="Compact"/>
              <w:jc w:val="left"/>
            </w:pPr>
            <w:r>
              <w:t xml:space="preserve">952</w:t>
            </w:r>
          </w:p>
        </w:tc>
        <w:tc>
          <w:p>
            <w:pPr>
              <w:pStyle w:val="Compact"/>
              <w:jc w:val="left"/>
            </w:pPr>
            <w:r>
              <w:t xml:space="preserve">newtons meters -2</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Current Stress with only tidal influence</w:t>
            </w:r>
          </w:p>
        </w:tc>
        <w:tc>
          <w:p>
            <w:pPr>
              <w:pStyle w:val="Compact"/>
              <w:jc w:val="left"/>
            </w:pPr>
            <w:r>
              <w:t xml:space="preserve">BOTSTR_T</w:t>
            </w:r>
          </w:p>
        </w:tc>
        <w:tc>
          <w:p>
            <w:pPr>
              <w:pStyle w:val="Compact"/>
              <w:jc w:val="left"/>
            </w:pPr>
            <w:r>
              <w:t xml:space="preserve">CoML</w:t>
            </w:r>
          </w:p>
        </w:tc>
        <w:tc>
          <w:p>
            <w:pPr>
              <w:pStyle w:val="Compact"/>
              <w:jc w:val="left"/>
            </w:pPr>
            <w:r>
              <w:t xml:space="preserve">3800</w:t>
            </w:r>
          </w:p>
        </w:tc>
        <w:tc>
          <w:p>
            <w:pPr>
              <w:pStyle w:val="Compact"/>
              <w:jc w:val="left"/>
            </w:pPr>
            <w:r>
              <w:t xml:space="preserve">newtons meters -2</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Sea Surface Chlorophyll</w:t>
            </w:r>
          </w:p>
        </w:tc>
        <w:tc>
          <w:p>
            <w:pPr>
              <w:pStyle w:val="Compact"/>
              <w:jc w:val="left"/>
            </w:pPr>
            <w:r>
              <w:t xml:space="preserve">chl_avg</w:t>
            </w:r>
          </w:p>
        </w:tc>
        <w:tc>
          <w:p>
            <w:pPr>
              <w:pStyle w:val="Compact"/>
              <w:jc w:val="left"/>
            </w:pPr>
            <w:r>
              <w:t xml:space="preserve">CoML</w:t>
            </w:r>
          </w:p>
        </w:tc>
        <w:tc>
          <w:p>
            <w:pPr>
              <w:pStyle w:val="Compact"/>
              <w:jc w:val="left"/>
            </w:pPr>
            <w:r>
              <w:t xml:space="preserve">855</w:t>
            </w:r>
          </w:p>
        </w:tc>
        <w:tc>
          <w:p>
            <w:pPr>
              <w:pStyle w:val="Compact"/>
              <w:jc w:val="left"/>
            </w:pPr>
            <w:r>
              <w:t xml:space="preserve">mg m-3</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Sea Surface Chlorophyll</w:t>
            </w:r>
          </w:p>
        </w:tc>
        <w:tc>
          <w:p>
            <w:pPr>
              <w:pStyle w:val="Compact"/>
              <w:jc w:val="left"/>
            </w:pPr>
            <w:r>
              <w:t xml:space="preserve">chl_rg</w:t>
            </w:r>
          </w:p>
        </w:tc>
        <w:tc>
          <w:p>
            <w:pPr>
              <w:pStyle w:val="Compact"/>
              <w:jc w:val="left"/>
            </w:pPr>
            <w:r>
              <w:t xml:space="preserve">CoML</w:t>
            </w:r>
          </w:p>
        </w:tc>
        <w:tc>
          <w:p>
            <w:pPr>
              <w:pStyle w:val="Compact"/>
              <w:jc w:val="left"/>
            </w:pPr>
            <w:r>
              <w:t xml:space="preserve">1119</w:t>
            </w:r>
          </w:p>
        </w:tc>
        <w:tc>
          <w:p>
            <w:pPr>
              <w:pStyle w:val="Compact"/>
              <w:jc w:val="left"/>
            </w:pPr>
            <w:r>
              <w:t xml:space="preserve">mg m-3</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Complexity</w:t>
            </w:r>
          </w:p>
        </w:tc>
        <w:tc>
          <w:p>
            <w:pPr>
              <w:pStyle w:val="Compact"/>
              <w:jc w:val="left"/>
            </w:pPr>
            <w:r>
              <w:t xml:space="preserve">complexity</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K490</w:t>
            </w:r>
          </w:p>
        </w:tc>
        <w:tc>
          <w:p>
            <w:pPr>
              <w:pStyle w:val="Compact"/>
              <w:jc w:val="left"/>
            </w:pPr>
            <w:r>
              <w:t xml:space="preserve">k490_avg</w:t>
            </w:r>
          </w:p>
        </w:tc>
        <w:tc>
          <w:p>
            <w:pPr>
              <w:pStyle w:val="Compact"/>
              <w:jc w:val="left"/>
            </w:pPr>
            <w:r>
              <w:t xml:space="preserve">CoML</w:t>
            </w:r>
          </w:p>
        </w:tc>
        <w:tc>
          <w:p>
            <w:pPr>
              <w:pStyle w:val="Compact"/>
              <w:jc w:val="left"/>
            </w:pPr>
            <w:r>
              <w:t xml:space="preserve">8000</w:t>
            </w:r>
          </w:p>
        </w:tc>
        <w:tc>
          <w:p>
            <w:pPr>
              <w:pStyle w:val="Compact"/>
              <w:jc w:val="left"/>
            </w:pPr>
            <w:r>
              <w:t xml:space="preserve">none</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Nitrate 1996–2007</w:t>
            </w:r>
          </w:p>
        </w:tc>
        <w:tc>
          <w:p>
            <w:pPr>
              <w:pStyle w:val="Compact"/>
              <w:jc w:val="left"/>
            </w:pPr>
            <w:r>
              <w:t xml:space="preserve">nit_avg96</w:t>
            </w:r>
          </w:p>
        </w:tc>
        <w:tc>
          <w:p>
            <w:pPr>
              <w:pStyle w:val="Compact"/>
              <w:jc w:val="left"/>
            </w:pPr>
            <w:r>
              <w:t xml:space="preserve">CoML</w:t>
            </w:r>
          </w:p>
        </w:tc>
        <w:tc>
          <w:p>
            <w:pPr>
              <w:pStyle w:val="Compact"/>
              <w:jc w:val="left"/>
            </w:pPr>
            <w:r>
              <w:t xml:space="preserve">40000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Phosphate 1996–2007</w:t>
            </w:r>
          </w:p>
        </w:tc>
        <w:tc>
          <w:p>
            <w:pPr>
              <w:pStyle w:val="Compact"/>
              <w:jc w:val="left"/>
            </w:pPr>
            <w:r>
              <w:t xml:space="preserve">phos_avg96</w:t>
            </w:r>
          </w:p>
        </w:tc>
        <w:tc>
          <w:p>
            <w:pPr>
              <w:pStyle w:val="Compact"/>
              <w:jc w:val="left"/>
            </w:pPr>
            <w:r>
              <w:t xml:space="preserve">CoML</w:t>
            </w:r>
          </w:p>
        </w:tc>
        <w:tc>
          <w:p>
            <w:pPr>
              <w:pStyle w:val="Compact"/>
              <w:jc w:val="left"/>
            </w:pPr>
            <w:r>
              <w:t xml:space="preserve">6000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Salinity 1996 – 2007</w:t>
            </w:r>
          </w:p>
        </w:tc>
        <w:tc>
          <w:p>
            <w:pPr>
              <w:pStyle w:val="Compact"/>
              <w:jc w:val="left"/>
            </w:pPr>
            <w:r>
              <w:t xml:space="preserve">sal_avg96</w:t>
            </w:r>
          </w:p>
        </w:tc>
        <w:tc>
          <w:p>
            <w:pPr>
              <w:pStyle w:val="Compact"/>
              <w:jc w:val="left"/>
            </w:pPr>
            <w:r>
              <w:t xml:space="preserve">CoML</w:t>
            </w:r>
          </w:p>
        </w:tc>
        <w:tc>
          <w:p>
            <w:pPr>
              <w:pStyle w:val="Compact"/>
              <w:jc w:val="left"/>
            </w:pPr>
            <w:r>
              <w:t xml:space="preserve">6000</w:t>
            </w:r>
          </w:p>
        </w:tc>
        <w:tc>
          <w:p>
            <w:pPr>
              <w:pStyle w:val="Compact"/>
              <w:jc w:val="left"/>
            </w:pPr>
            <w:r>
              <w:t xml:space="preserve">psu</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Benthic Salinity 1996–2007</w:t>
            </w:r>
          </w:p>
        </w:tc>
        <w:tc>
          <w:p>
            <w:pPr>
              <w:pStyle w:val="Compact"/>
              <w:jc w:val="left"/>
            </w:pPr>
            <w:r>
              <w:t xml:space="preserve">sal_rg96</w:t>
            </w:r>
          </w:p>
        </w:tc>
        <w:tc>
          <w:p>
            <w:pPr>
              <w:pStyle w:val="Compact"/>
              <w:jc w:val="left"/>
            </w:pPr>
            <w:r>
              <w:t xml:space="preserve">CoML</w:t>
            </w:r>
          </w:p>
        </w:tc>
        <w:tc>
          <w:p>
            <w:pPr>
              <w:pStyle w:val="Compact"/>
              <w:jc w:val="left"/>
            </w:pPr>
            <w:r>
              <w:t xml:space="preserve">6000</w:t>
            </w:r>
          </w:p>
        </w:tc>
        <w:tc>
          <w:p>
            <w:pPr>
              <w:pStyle w:val="Compact"/>
              <w:jc w:val="left"/>
            </w:pPr>
            <w:r>
              <w:t xml:space="preserve">psu</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Silicate</w:t>
            </w:r>
          </w:p>
        </w:tc>
        <w:tc>
          <w:p>
            <w:pPr>
              <w:pStyle w:val="Compact"/>
              <w:jc w:val="left"/>
            </w:pPr>
            <w:r>
              <w:t xml:space="preserve">sil_avg96</w:t>
            </w:r>
          </w:p>
        </w:tc>
        <w:tc>
          <w:p>
            <w:pPr>
              <w:pStyle w:val="Compact"/>
              <w:jc w:val="left"/>
            </w:pPr>
            <w:r>
              <w:t xml:space="preserve">CoML</w:t>
            </w:r>
          </w:p>
        </w:tc>
        <w:tc>
          <w:p>
            <w:pPr>
              <w:pStyle w:val="Compact"/>
              <w:jc w:val="left"/>
            </w:pPr>
            <w:r>
              <w:t xml:space="preserve">6000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SST</w:t>
            </w:r>
          </w:p>
        </w:tc>
        <w:tc>
          <w:p>
            <w:pPr>
              <w:pStyle w:val="Compact"/>
              <w:jc w:val="left"/>
            </w:pPr>
            <w:r>
              <w:t xml:space="preserve">sst_avg</w:t>
            </w:r>
          </w:p>
        </w:tc>
        <w:tc>
          <w:p>
            <w:pPr>
              <w:pStyle w:val="Compact"/>
              <w:jc w:val="left"/>
            </w:pPr>
            <w:r>
              <w:t xml:space="preserve">CoML</w:t>
            </w:r>
          </w:p>
        </w:tc>
        <w:tc>
          <w:p>
            <w:pPr>
              <w:pStyle w:val="Compact"/>
              <w:jc w:val="left"/>
            </w:pPr>
            <w:r>
              <w:t xml:space="preserve">972</w:t>
            </w:r>
          </w:p>
        </w:tc>
        <w:tc>
          <w:p>
            <w:pPr>
              <w:pStyle w:val="Compact"/>
              <w:jc w:val="left"/>
            </w:pPr>
            <w:r>
              <w:t xml:space="preserve">degree C</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SST</w:t>
            </w:r>
          </w:p>
        </w:tc>
        <w:tc>
          <w:p>
            <w:pPr>
              <w:pStyle w:val="Compact"/>
              <w:jc w:val="left"/>
            </w:pPr>
            <w:r>
              <w:t xml:space="preserve">sst_rg</w:t>
            </w:r>
          </w:p>
        </w:tc>
        <w:tc>
          <w:p>
            <w:pPr>
              <w:pStyle w:val="Compact"/>
              <w:jc w:val="left"/>
            </w:pPr>
            <w:r>
              <w:t xml:space="preserve">CoML</w:t>
            </w:r>
          </w:p>
        </w:tc>
        <w:tc>
          <w:p>
            <w:pPr>
              <w:pStyle w:val="Compact"/>
              <w:jc w:val="left"/>
            </w:pPr>
            <w:r>
              <w:t xml:space="preserve">972</w:t>
            </w:r>
          </w:p>
        </w:tc>
        <w:tc>
          <w:p>
            <w:pPr>
              <w:pStyle w:val="Compact"/>
              <w:jc w:val="left"/>
            </w:pPr>
            <w:r>
              <w:t xml:space="preserve">degree C</w:t>
            </w:r>
          </w:p>
        </w:tc>
        <w:tc>
          <w:p>
            <w:pPr>
              <w:pStyle w:val="Compact"/>
              <w:jc w:val="left"/>
            </w:pPr>
            <w:hyperlink r:id="rId38">
              <w:r>
                <w:rPr>
                  <w:rStyle w:val="Hyperlink"/>
                </w:rPr>
                <w:t xml:space="preserve">http://www.dfo-mpo.gc.ca/Library/342505.pdf</w:t>
              </w:r>
            </w:hyperlink>
          </w:p>
        </w:tc>
      </w:tr>
      <w:tr>
        <w:tc>
          <w:p>
            <w:pPr>
              <w:pStyle w:val="Compact"/>
              <w:jc w:val="left"/>
            </w:pPr>
            <w:r>
              <w:t xml:space="preserve">Stratification from 1996–2007</w:t>
            </w:r>
          </w:p>
        </w:tc>
        <w:tc>
          <w:p>
            <w:pPr>
              <w:pStyle w:val="Compact"/>
              <w:jc w:val="left"/>
            </w:pPr>
            <w:r>
              <w:t xml:space="preserve">strat96</w:t>
            </w:r>
          </w:p>
        </w:tc>
        <w:tc>
          <w:p>
            <w:pPr>
              <w:pStyle w:val="Compact"/>
              <w:jc w:val="left"/>
            </w:pPr>
            <w:r>
              <w:t xml:space="preserve">CoML</w:t>
            </w:r>
          </w:p>
        </w:tc>
        <w:tc>
          <w:p>
            <w:pPr>
              <w:pStyle w:val="Compact"/>
              <w:jc w:val="left"/>
            </w:pPr>
            <w:r>
              <w:t xml:space="preserve">2500</w:t>
            </w:r>
          </w:p>
        </w:tc>
        <w:tc>
          <w:p>
            <w:pPr>
              <w:pStyle w:val="Compact"/>
              <w:jc w:val="left"/>
            </w:pPr>
            <w:r>
              <w:t xml:space="preserve">none</w:t>
            </w:r>
          </w:p>
        </w:tc>
        <w:tc>
          <w:p>
            <w:pPr>
              <w:pStyle w:val="Compact"/>
              <w:jc w:val="left"/>
            </w:pPr>
            <w:hyperlink r:id="rId38">
              <w:r>
                <w:rPr>
                  <w:rStyle w:val="Hyperlink"/>
                </w:rPr>
                <w:t xml:space="preserve">http://www.dfo-mpo.gc.ca/Library/342505.pdf</w:t>
              </w:r>
            </w:hyperlink>
          </w:p>
        </w:tc>
      </w:tr>
      <w:tr>
        <w:tc>
          <w:p>
            <w:pPr>
              <w:pStyle w:val="Compact"/>
              <w:jc w:val="left"/>
            </w:pPr>
            <w:r>
              <w:t xml:space="preserve">Sand</w:t>
            </w:r>
          </w:p>
        </w:tc>
        <w:tc>
          <w:p>
            <w:pPr>
              <w:pStyle w:val="Compact"/>
              <w:jc w:val="left"/>
            </w:pPr>
            <w:r>
              <w:t xml:space="preserve">sand</w:t>
            </w:r>
          </w:p>
        </w:tc>
        <w:tc>
          <w:p>
            <w:pPr>
              <w:pStyle w:val="Compact"/>
              <w:jc w:val="left"/>
            </w:pPr>
            <w:r>
              <w:t xml:space="preserve">CoML</w:t>
            </w:r>
          </w:p>
        </w:tc>
        <w:tc>
          <w:p>
            <w:pPr>
              <w:pStyle w:val="Compact"/>
              <w:jc w:val="left"/>
            </w:pPr>
            <w:r>
              <w:t xml:space="preserve">6000</w:t>
            </w:r>
          </w:p>
        </w:tc>
        <w:tc>
          <w:p>
            <w:pPr>
              <w:pStyle w:val="Compact"/>
              <w:jc w:val="left"/>
            </w:pPr>
            <w:r>
              <w:t xml:space="preserve">percent</w:t>
            </w:r>
          </w:p>
        </w:tc>
        <w:tc>
          <w:p>
            <w:pPr>
              <w:pStyle w:val="Compact"/>
              <w:jc w:val="left"/>
            </w:pPr>
            <w:hyperlink r:id="rId38">
              <w:r>
                <w:rPr>
                  <w:rStyle w:val="Hyperlink"/>
                </w:rPr>
                <w:t xml:space="preserve">http://www.dfo-mpo.gc.ca/Library/342505.pdf</w:t>
              </w:r>
            </w:hyperlink>
          </w:p>
        </w:tc>
      </w:tr>
      <w:tr>
        <w:tc>
          <w:p>
            <w:pPr>
              <w:pStyle w:val="Compact"/>
              <w:jc w:val="left"/>
            </w:pPr>
            <w:r>
              <w:t xml:space="preserve">Sediment Grain size (CONMAP)</w:t>
            </w:r>
          </w:p>
        </w:tc>
        <w:tc>
          <w:p>
            <w:pPr>
              <w:pStyle w:val="Compact"/>
              <w:jc w:val="left"/>
            </w:pPr>
            <w:r>
              <w:t xml:space="preserve">SEDNUM</w:t>
            </w:r>
          </w:p>
        </w:tc>
        <w:tc>
          <w:p>
            <w:pPr>
              <w:pStyle w:val="Compact"/>
              <w:jc w:val="left"/>
            </w:pPr>
            <w:r>
              <w:t xml:space="preserve">USGS</w:t>
            </w:r>
          </w:p>
        </w:tc>
        <w:tc>
          <w:p>
            <w:pPr>
              <w:pStyle w:val="Compact"/>
              <w:jc w:val="left"/>
            </w:pPr>
            <w:r>
              <w:t xml:space="preserve">-</w:t>
            </w:r>
          </w:p>
        </w:tc>
        <w:tc>
          <w:p/>
        </w:tc>
        <w:tc>
          <w:p>
            <w:pPr>
              <w:pStyle w:val="Compact"/>
              <w:jc w:val="left"/>
            </w:pPr>
            <w:hyperlink r:id="rId39">
              <w:r>
                <w:rPr>
                  <w:rStyle w:val="Hyperlink"/>
                </w:rPr>
                <w:t xml:space="preserve">https://woodshole.er.usgs.gov/openfile/of2005-1001/htmldocs/datacatalog.htm</w:t>
              </w:r>
            </w:hyperlink>
          </w:p>
        </w:tc>
      </w:tr>
      <w:tr>
        <w:tc>
          <w:p>
            <w:pPr>
              <w:pStyle w:val="Compact"/>
              <w:jc w:val="left"/>
            </w:pPr>
            <w:r>
              <w:t xml:space="preserve">USGS Median of Bottom Shear Stress</w:t>
            </w:r>
          </w:p>
        </w:tc>
        <w:tc>
          <w:p>
            <w:pPr>
              <w:pStyle w:val="Compact"/>
              <w:jc w:val="left"/>
            </w:pPr>
            <w:r>
              <w:t xml:space="preserve">FID_GMAINE_median</w:t>
            </w:r>
          </w:p>
        </w:tc>
        <w:tc>
          <w:p>
            <w:pPr>
              <w:pStyle w:val="Compact"/>
              <w:jc w:val="left"/>
            </w:pPr>
            <w:r>
              <w:t xml:space="preserve">USGS</w:t>
            </w:r>
          </w:p>
        </w:tc>
        <w:tc>
          <w:p>
            <w:pPr>
              <w:pStyle w:val="Compact"/>
              <w:jc w:val="left"/>
            </w:pPr>
            <w:r>
              <w:t xml:space="preserve">3500</w:t>
            </w:r>
          </w:p>
        </w:tc>
        <w:tc>
          <w:p>
            <w:pPr>
              <w:pStyle w:val="Compact"/>
              <w:jc w:val="left"/>
            </w:pPr>
            <w:r>
              <w:t xml:space="preserve">Pa</w:t>
            </w:r>
          </w:p>
        </w:tc>
        <w:tc>
          <w:p>
            <w:pPr>
              <w:pStyle w:val="Compact"/>
              <w:jc w:val="left"/>
            </w:pPr>
            <w:hyperlink r:id="rId40">
              <w:r>
                <w:rPr>
                  <w:rStyle w:val="Hyperlink"/>
                </w:rPr>
                <w:t xml:space="preserve">https://woodshole.er.usgs.gov/project-pages/mobility/gmaine.html</w:t>
              </w:r>
            </w:hyperlink>
          </w:p>
        </w:tc>
      </w:tr>
      <w:tr>
        <w:tc>
          <w:p>
            <w:pPr>
              <w:pStyle w:val="Compact"/>
              <w:jc w:val="left"/>
            </w:pPr>
            <w:r>
              <w:t xml:space="preserve">USGS Yearly median Bottom Shear Stress</w:t>
            </w:r>
          </w:p>
        </w:tc>
        <w:tc>
          <w:p>
            <w:pPr>
              <w:pStyle w:val="Compact"/>
              <w:jc w:val="left"/>
            </w:pPr>
            <w:r>
              <w:t xml:space="preserve">Year_median</w:t>
            </w:r>
          </w:p>
        </w:tc>
        <w:tc>
          <w:p>
            <w:pPr>
              <w:pStyle w:val="Compact"/>
              <w:jc w:val="left"/>
            </w:pPr>
            <w:r>
              <w:t xml:space="preserve">USGS</w:t>
            </w:r>
          </w:p>
        </w:tc>
        <w:tc>
          <w:p>
            <w:pPr>
              <w:pStyle w:val="Compact"/>
              <w:jc w:val="left"/>
            </w:pPr>
            <w:r>
              <w:t xml:space="preserve">3500</w:t>
            </w:r>
          </w:p>
        </w:tc>
        <w:tc>
          <w:p>
            <w:pPr>
              <w:pStyle w:val="Compact"/>
              <w:jc w:val="left"/>
            </w:pPr>
            <w:r>
              <w:t xml:space="preserve">Pa</w:t>
            </w:r>
          </w:p>
        </w:tc>
        <w:tc>
          <w:p>
            <w:pPr>
              <w:pStyle w:val="Compact"/>
              <w:jc w:val="left"/>
            </w:pPr>
            <w:hyperlink r:id="rId40">
              <w:r>
                <w:rPr>
                  <w:rStyle w:val="Hyperlink"/>
                </w:rPr>
                <w:t xml:space="preserve">https://woodshole.er.usgs.gov/project-pages/mobility/gmaine.html</w:t>
              </w:r>
            </w:hyperlink>
          </w:p>
        </w:tc>
      </w:tr>
    </w:tbl>
    <w:p>
      <w:pPr>
        <w:pStyle w:val="BodyText"/>
      </w:pPr>
    </w:p>
    <w:p>
      <w:pPr>
        <w:pStyle w:val="CaptionedFigure"/>
      </w:pPr>
      <w:r>
        <w:drawing>
          <wp:inline>
            <wp:extent cx="5334000" cy="7112000"/>
            <wp:effectExtent b="0" l="0" r="0" t="0"/>
            <wp:docPr descr="Figure 1: Georges Bank (GB) study area. Points represent the sample locations for each of the three surveys and the orange outline represets the core region of GB included in these analyses (42,000 km²). In the U.S. the blue polygon is Closed Area 1 (CA1) and the white polygon is Closed Area 2 (CA2).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4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(GB) study area. Points represent the sample locations for each of the three surveys and the orange outline represets the core region of GB included in these analyses (42,000 km²). In the U.S. the blue polygon is Closed Area 1 (CA1) and the white polygon is Closed Area 2 (CA2).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w:t>
      </w:r>
    </w:p>
    <w:p>
      <w:pPr>
        <w:pStyle w:val="CaptionedFigure"/>
      </w:pPr>
      <w:r>
        <w:drawing>
          <wp:inline>
            <wp:extent cx="5334000" cy="5334000"/>
            <wp:effectExtent b="0" l="0" r="0" t="0"/>
            <wp:docPr descr="Figure 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Delaunay triangular mesh used for the spatial fields mesh. The mesh contains 6610 vertices.</w:t>
      </w:r>
    </w:p>
    <w:p>
      <w:pPr>
        <w:pStyle w:val="CaptionedFigure"/>
      </w:pPr>
      <w:r>
        <w:drawing>
          <wp:inline>
            <wp:extent cx="5334000" cy="5334000"/>
            <wp:effectExtent b="0" l="0" r="0" t="0"/>
            <wp:docPr descr="Figure 3: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4: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5: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6400799"/>
            <wp:effectExtent b="0" l="0" r="0" t="0"/>
            <wp:docPr descr="Figure 6: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6"/>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6: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7: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47"/>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7: Average Sea Surface Temperature on Georges Bank (GB) from 1997-2008 (SST in °C) in the top panel, GB bathymetry (depth in meters) in the center panel, and GB sediment type in the bottom panel.</w:t>
      </w:r>
    </w:p>
    <w:p>
      <w:pPr>
        <w:pStyle w:val="CaptionedFigure"/>
      </w:pPr>
      <w:r>
        <w:drawing>
          <wp:inline>
            <wp:extent cx="5334000" cy="3556000"/>
            <wp:effectExtent b="0" l="0" r="0" t="0"/>
            <wp:docPr descr="Figure 8: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8: Fixed effects for cod from each survey, top row is the depth covariate effect, bottom row is the SST effect. Results transformed to the probability scale and the blue shaded region represents the 95% credible interval.</w:t>
      </w:r>
    </w:p>
    <w:p>
      <w:pPr>
        <w:pStyle w:val="CaptionedFigure"/>
      </w:pPr>
      <w:r>
        <w:drawing>
          <wp:inline>
            <wp:extent cx="5334000" cy="3556000"/>
            <wp:effectExtent b="0" l="0" r="0" t="0"/>
            <wp:docPr descr="Figure 9: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9: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w:t>
      </w:r>
    </w:p>
    <w:p>
      <w:pPr>
        <w:pStyle w:val="CaptionedFigure"/>
      </w:pPr>
      <w:r>
        <w:drawing>
          <wp:inline>
            <wp:extent cx="5334000" cy="5334000"/>
            <wp:effectExtent b="0" l="0" r="0" t="0"/>
            <wp:docPr descr="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w:t>
      </w:r>
    </w:p>
    <w:p>
      <w:pPr>
        <w:pStyle w:val="CaptionedFigure"/>
      </w:pPr>
      <w:r>
        <w:drawing>
          <wp:inline>
            <wp:extent cx="5334000" cy="3556000"/>
            <wp:effectExtent b="0" l="0" r="0" t="0"/>
            <wp:docPr descr="Figure 11: Time series of the total area on GB classified as high EP for each of the three survey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11: Time series of the total area on GB classified as high EP for each of the three surveys. The cod time series is on the left and the yellowtail on the right. The black line represents the Winter trend, the Blue line is the Spring trend and the red line is the Fall trend.</w:t>
      </w:r>
    </w:p>
    <w:p>
      <w:pPr>
        <w:pStyle w:val="CaptionedFigure"/>
      </w:pPr>
      <w:r>
        <w:drawing>
          <wp:inline>
            <wp:extent cx="5334000" cy="5334000"/>
            <wp:effectExtent b="0" l="0" r="0" t="0"/>
            <wp:docPr descr="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w:t>
      </w:r>
    </w:p>
    <w:p>
      <w:pPr>
        <w:pStyle w:val="CaptionedFigure"/>
      </w:pPr>
      <w:r>
        <w:drawing>
          <wp:inline>
            <wp:extent cx="5334000" cy="5334000"/>
            <wp:effectExtent b="0" l="0" r="0" t="0"/>
            <wp:docPr descr="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w:t>
      </w:r>
    </w:p>
    <w:p>
      <w:pPr>
        <w:pStyle w:val="CaptionedFigure"/>
      </w:pPr>
      <w:r>
        <w:drawing>
          <wp:inline>
            <wp:extent cx="5334000" cy="5334000"/>
            <wp:effectExtent b="0" l="0" r="0" t="0"/>
            <wp:docPr descr="Figure 14: The high EP area located within the U.S. Closed Area 1 (CA1; top row) and Closed Area 2 (CA2; bottom row). The panels on the left represents the total area of high EP by era. The panels on the right is the proporiton of the total high EP on GB which is located within the closure. The green line represent cod and the black line represents yellowtail." title="" id="1" name="Picture"/>
            <a:graphic>
              <a:graphicData uri="http://schemas.openxmlformats.org/drawingml/2006/picture">
                <pic:pic>
                  <pic:nvPicPr>
                    <pic:cNvPr descr="D:/Github/Paper_2_SDMs/Results/Figures/CA1_CA2_area_hi.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The high EP area located within the U.S. Closed Area 1 (CA1; top row) and Closed Area 2 (CA2; bottom row). The panels on the left represents the total area of high EP by era. The panels on the right is the proporiton of the total high EP on GB which is located within the closure. The green line represent cod and the black line represents yellowtail.</w:t>
      </w:r>
    </w:p>
    <w:p>
      <w:pPr>
        <w:pStyle w:val="CaptionedFigure"/>
      </w:pPr>
      <w:r>
        <w:drawing>
          <wp:inline>
            <wp:extent cx="5334000" cy="2667000"/>
            <wp:effectExtent b="0" l="0" r="0" t="0"/>
            <wp:docPr descr="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 title="" id="1" name="Picture"/>
            <a:graphic>
              <a:graphicData uri="http://schemas.openxmlformats.org/drawingml/2006/picture">
                <pic:pic>
                  <pic:nvPicPr>
                    <pic:cNvPr descr="D:/Github/Paper_2_SDMs/Results/Figures/scal_FA.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w:t>
      </w:r>
    </w:p>
    <w:p>
      <w:pPr>
        <w:pStyle w:val="CaptionedFigure"/>
      </w:pPr>
      <w:r>
        <w:drawing>
          <wp:inline>
            <wp:extent cx="5334000" cy="5334000"/>
            <wp:effectExtent b="0" l="0" r="0" t="0"/>
            <wp:docPr descr="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 title="" id="1" name="Picture"/>
            <a:graphic>
              <a:graphicData uri="http://schemas.openxmlformats.org/drawingml/2006/picture">
                <pic:pic>
                  <pic:nvPicPr>
                    <pic:cNvPr descr="D:/Github/Paper_2_SDMs/Results/Figures/scal_closures.png" id="0"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w:t>
      </w:r>
    </w:p>
    <w:p>
      <w:r>
        <w:br w:type="page"/>
      </w:r>
    </w:p>
    <w:p>
      <w:pPr>
        <w:pStyle w:val="BodyText"/>
      </w:pPr>
    </w:p>
    <w:p>
      <w:pPr>
        <w:pStyle w:val="Heading1"/>
      </w:pPr>
      <w:bookmarkStart w:id="57" w:name="references"/>
      <w:r>
        <w:t xml:space="preserve">References</w:t>
      </w:r>
      <w:bookmarkEnd w:id="57"/>
    </w:p>
    <w:bookmarkStart w:id="91" w:name="refs"/>
    <w:bookmarkStart w:id="59" w:name="ref-aeberhardReviewStateSpaceModels2018"/>
    <w:p>
      <w:pPr>
        <w:pStyle w:val="Bibliography"/>
      </w:pPr>
      <w:r>
        <w:t xml:space="preserve">Aeberhard, W.H., Flemming, J.M., and Nielsen, A. 2018. Review of State-Space Models for Fisheries Science. Annual Review of Statistics and Its Application</w:t>
      </w:r>
      <w:r>
        <w:t xml:space="preserve"> </w:t>
      </w:r>
      <w:r>
        <w:rPr>
          <w:b/>
        </w:rPr>
        <w:t xml:space="preserve">5</w:t>
      </w:r>
      <w:r>
        <w:t xml:space="preserve">(1): 215–235. Annual Reviews. doi:</w:t>
      </w:r>
      <w:hyperlink r:id="rId58">
        <w:r>
          <w:rPr>
            <w:rStyle w:val="Hyperlink"/>
          </w:rPr>
          <w:t xml:space="preserve">10.1146/annurev-statistics-031017-100427</w:t>
        </w:r>
      </w:hyperlink>
      <w:r>
        <w:t xml:space="preserve">.</w:t>
      </w:r>
    </w:p>
    <w:bookmarkEnd w:id="59"/>
    <w:bookmarkStart w:id="61"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 Public Library of Science. doi:</w:t>
      </w:r>
      <w:hyperlink r:id="rId60">
        <w:r>
          <w:rPr>
            <w:rStyle w:val="Hyperlink"/>
          </w:rPr>
          <w:t xml:space="preserve">10.1371/journal.pone.0231595</w:t>
        </w:r>
      </w:hyperlink>
      <w:r>
        <w:t xml:space="preserve">.</w:t>
      </w:r>
    </w:p>
    <w:bookmarkEnd w:id="61"/>
    <w:bookmarkStart w:id="62" w:name="Xa28c9ea88c31816fdf689427086ec96ae0e79fd"/>
    <w:p>
      <w:pPr>
        <w:pStyle w:val="Bibliography"/>
      </w:pPr>
      <w:r>
        <w:t xml:space="preserve">Andrushchenko, I., Legault, C.M., Martin, R., Brooks, E.N., Wang, Y., and Andrews, S. 2018. Assessment of Eastern Georges Bank Atlantic Cod for 2018. TRAC. Ref. Doc</w:t>
      </w:r>
      <w:r>
        <w:t xml:space="preserve"> </w:t>
      </w:r>
      <w:r>
        <w:rPr>
          <w:b/>
        </w:rPr>
        <w:t xml:space="preserve">2018/01</w:t>
      </w:r>
      <w:r>
        <w:t xml:space="preserve">: 97.</w:t>
      </w:r>
    </w:p>
    <w:bookmarkEnd w:id="62"/>
    <w:bookmarkStart w:id="64" w:name="ref-bundySealsCodForage2009"/>
    <w:p>
      <w:pPr>
        <w:pStyle w:val="Bibliography"/>
      </w:pPr>
      <w:r>
        <w:t xml:space="preserve">Bundy, A., Heymans, J.J., Morissette, L., and Savenkoff, C. 2009. Seals, cod and forage fish: A comparative exploration of variations in the theme of stock collapse and ecosystem change in four Northwest Atlantic ecosystems. Progress in Oceanography</w:t>
      </w:r>
      <w:r>
        <w:t xml:space="preserve"> </w:t>
      </w:r>
      <w:r>
        <w:rPr>
          <w:b/>
        </w:rPr>
        <w:t xml:space="preserve">81</w:t>
      </w:r>
      <w:r>
        <w:t xml:space="preserve">(1): 188–206. doi:</w:t>
      </w:r>
      <w:hyperlink r:id="rId63">
        <w:r>
          <w:rPr>
            <w:rStyle w:val="Hyperlink"/>
          </w:rPr>
          <w:t xml:space="preserve">10.1016/j.pocean.2009.04.010</w:t>
        </w:r>
      </w:hyperlink>
      <w:r>
        <w:t xml:space="preserve">.</w:t>
      </w:r>
    </w:p>
    <w:bookmarkEnd w:id="64"/>
    <w:bookmarkStart w:id="66" w:name="ref-cadrinDefiningSpatialStructure2020a"/>
    <w:p>
      <w:pPr>
        <w:pStyle w:val="Bibliography"/>
      </w:pPr>
      <w:r>
        <w:t xml:space="preserve">Cadrin, S.X. 2020. Defining spatial structure for fishery stock assessment. Fisheries Research</w:t>
      </w:r>
      <w:r>
        <w:t xml:space="preserve"> </w:t>
      </w:r>
      <w:r>
        <w:rPr>
          <w:b/>
        </w:rPr>
        <w:t xml:space="preserve">221</w:t>
      </w:r>
      <w:r>
        <w:t xml:space="preserve">: 105397. doi:</w:t>
      </w:r>
      <w:hyperlink r:id="rId65">
        <w:r>
          <w:rPr>
            <w:rStyle w:val="Hyperlink"/>
          </w:rPr>
          <w:t xml:space="preserve">10.1016/j.fishres.2019.105397</w:t>
        </w:r>
      </w:hyperlink>
      <w:r>
        <w:t xml:space="preserve">.</w:t>
      </w:r>
    </w:p>
    <w:bookmarkEnd w:id="66"/>
    <w:bookmarkStart w:id="68" w:name="ref-cbdAichiBiodiversityTargets2018"/>
    <w:p>
      <w:pPr>
        <w:pStyle w:val="Bibliography"/>
      </w:pPr>
      <w:r>
        <w:t xml:space="preserve">CBD. 2018, May 11. Aichi Biodiversity Targets. Available from</w:t>
      </w:r>
      <w:r>
        <w:t xml:space="preserve"> </w:t>
      </w:r>
      <w:hyperlink r:id="rId67">
        <w:r>
          <w:rPr>
            <w:rStyle w:val="Hyperlink"/>
          </w:rPr>
          <w:t xml:space="preserve">https://www.cbd.int/sp/targets/</w:t>
        </w:r>
      </w:hyperlink>
      <w:r>
        <w:t xml:space="preserve"> </w:t>
      </w:r>
      <w:r>
        <w:t xml:space="preserve">[accessed 11 March 2020].</w:t>
      </w:r>
    </w:p>
    <w:bookmarkEnd w:id="68"/>
    <w:bookmarkStart w:id="69" w:name="ref-dfoScallopFisheryArea2014"/>
    <w:p>
      <w:pPr>
        <w:pStyle w:val="Bibliography"/>
      </w:pPr>
      <w:r>
        <w:t xml:space="preserve">DFO. 2014. Scallop Fishery Area/Time Closure to Reduce Yellowtail Flounder By-catch on Georges Bank in 2014.</w:t>
      </w:r>
    </w:p>
    <w:bookmarkEnd w:id="69"/>
    <w:bookmarkStart w:id="70" w:name="ref-dfoScallopFisheryArea2019"/>
    <w:p>
      <w:pPr>
        <w:pStyle w:val="Bibliography"/>
      </w:pPr>
      <w:r>
        <w:t xml:space="preserve">DFO. 2019. Scallop Fishery Area/Time Closure to Protect Atlantic Cod (Gadus morhua) Spawning Aggregations in NAFO Division 5Z (Georges Bank).</w:t>
      </w:r>
    </w:p>
    <w:bookmarkEnd w:id="70"/>
    <w:bookmarkStart w:id="71" w:name="ref-finleyAssessmentHaddockEastern2019"/>
    <w:p>
      <w:pPr>
        <w:pStyle w:val="Bibliography"/>
      </w:pPr>
      <w:r>
        <w:t xml:space="preserve">Finley, M., Brooks, E.N., McCurdy, Q., Barrett, M.A., and Wang, Y. 2019. Assessment of Haddock on Eastern Georges Bank for 2019. TRAC. Ref. Doc</w:t>
      </w:r>
      <w:r>
        <w:t xml:space="preserve"> </w:t>
      </w:r>
      <w:r>
        <w:rPr>
          <w:b/>
        </w:rPr>
        <w:t xml:space="preserve">2019/xx</w:t>
      </w:r>
      <w:r>
        <w:t xml:space="preserve">: 92.</w:t>
      </w:r>
    </w:p>
    <w:bookmarkEnd w:id="71"/>
    <w:bookmarkStart w:id="72"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 Gulf of Maine.</w:t>
      </w:r>
    </w:p>
    <w:bookmarkEnd w:id="72"/>
    <w:bookmarkStart w:id="73" w:name="ref-legaultStockAssessmentGeorges2018"/>
    <w:p>
      <w:pPr>
        <w:pStyle w:val="Bibliography"/>
      </w:pPr>
      <w:r>
        <w:t xml:space="preserve">Legault, C.M., and McCurdy, Q.M. 2018. Stock Assessment of Georges Bank Yellowtail Flounder for 2018. TRAC. Ref. Doc</w:t>
      </w:r>
      <w:r>
        <w:t xml:space="preserve"> </w:t>
      </w:r>
      <w:r>
        <w:rPr>
          <w:b/>
        </w:rPr>
        <w:t xml:space="preserve">2018/03</w:t>
      </w:r>
      <w:r>
        <w:t xml:space="preserve">: 64.</w:t>
      </w:r>
    </w:p>
    <w:bookmarkEnd w:id="73"/>
    <w:bookmarkStart w:id="74" w:name="ref-linkEffectsAreaClosures2005"/>
    <w:p>
      <w:pPr>
        <w:pStyle w:val="Bibliography"/>
      </w:pPr>
      <w:r>
        <w:t xml:space="preserve">Link, J., Almeida, F.P., Valentine, P., Auster, P., Reid, R.N., and Vitaliano, J. 2005. The Effects of Area Closures on Georges Bank.</w:t>
      </w:r>
      <w:r>
        <w:t xml:space="preserve"> </w:t>
      </w:r>
      <w:r>
        <w:rPr>
          <w:i/>
        </w:rPr>
        <w:t xml:space="preserve">In</w:t>
      </w:r>
      <w:r>
        <w:t xml:space="preserve"> </w:t>
      </w:r>
      <w:r>
        <w:t xml:space="preserve">Benthic Habitats and the Effects ofFishing (American Fisheries Society, Symposium 41,Bethesda, Maryland, 12–14 November, 2002). (Eds P.W.Barnes and J.P. Thomas). pp. 345–368.</w:t>
      </w:r>
    </w:p>
    <w:bookmarkEnd w:id="74"/>
    <w:bookmarkStart w:id="76" w:name="ref-murawskiLargescaleClosedAreas2000"/>
    <w:p>
      <w:pPr>
        <w:pStyle w:val="Bibliography"/>
      </w:pPr>
      <w:r>
        <w:t xml:space="preserve">Murawski, S.A., Brown, R., Lai, H.-L., Rago, P.J., and Hendrickson, L. 2000. Large-scale closed areas as a fishery-management tool in temperate marine systems: The Georges Bank experience. Bull. US FIsh Comm</w:t>
      </w:r>
      <w:r>
        <w:t xml:space="preserve"> </w:t>
      </w:r>
      <w:r>
        <w:rPr>
          <w:b/>
        </w:rPr>
        <w:t xml:space="preserve">66</w:t>
      </w:r>
      <w:r>
        <w:t xml:space="preserve">: 775–798. Available from</w:t>
      </w:r>
      <w:r>
        <w:t xml:space="preserve"> </w:t>
      </w:r>
      <w:hyperlink r:id="rId75">
        <w:r>
          <w:rPr>
            <w:rStyle w:val="Hyperlink"/>
          </w:rPr>
          <w:t xml:space="preserve">https://www.ingentaconnect.com/content/umrsmas/bullmar/2000/00000066/00000003/art00020</w:t>
        </w:r>
      </w:hyperlink>
      <w:r>
        <w:t xml:space="preserve"> </w:t>
      </w:r>
      <w:r>
        <w:t xml:space="preserve">[accessed 24 July 2019].</w:t>
      </w:r>
    </w:p>
    <w:bookmarkEnd w:id="76"/>
    <w:bookmarkStart w:id="78" w:name="ref-nfsc54thNortheastRegional2012"/>
    <w:p>
      <w:pPr>
        <w:pStyle w:val="Bibliography"/>
      </w:pPr>
      <w:r>
        <w:t xml:space="preserve">NFSC. 2012. 54th Northeast Regional Stock Assessment Workshop (54th SAW), assessment summary report. Available from</w:t>
      </w:r>
      <w:r>
        <w:t xml:space="preserve"> </w:t>
      </w:r>
      <w:hyperlink r:id="rId77">
        <w:r>
          <w:rPr>
            <w:rStyle w:val="Hyperlink"/>
          </w:rPr>
          <w:t xml:space="preserve">https://repository.library.noaa.gov/view/noaa/4184</w:t>
        </w:r>
      </w:hyperlink>
      <w:r>
        <w:t xml:space="preserve"> </w:t>
      </w:r>
      <w:r>
        <w:t xml:space="preserve">[accessed 1 September 2020].</w:t>
      </w:r>
    </w:p>
    <w:bookmarkEnd w:id="78"/>
    <w:bookmarkStart w:id="80" w:name="ref-NOAAYellowtailFlounder"/>
    <w:p>
      <w:pPr>
        <w:pStyle w:val="Bibliography"/>
      </w:pPr>
      <w:r>
        <w:t xml:space="preserve">NOAA Yellowtail Flounder Overview. (n.d.). Available from</w:t>
      </w:r>
      <w:r>
        <w:t xml:space="preserve"> </w:t>
      </w:r>
      <w:hyperlink r:id="rId79">
        <w:r>
          <w:rPr>
            <w:rStyle w:val="Hyperlink"/>
          </w:rPr>
          <w:t xml:space="preserve">https://www.fisheries.noaa.gov/species/yellowtail-flounder#overview</w:t>
        </w:r>
      </w:hyperlink>
      <w:r>
        <w:t xml:space="preserve"> </w:t>
      </w:r>
      <w:r>
        <w:t xml:space="preserve">[accessed 1 September 2020].</w:t>
      </w:r>
    </w:p>
    <w:bookmarkEnd w:id="80"/>
    <w:bookmarkStart w:id="81" w:name="ref-obrienMaturation19Species1993"/>
    <w:p>
      <w:pPr>
        <w:pStyle w:val="Bibliography"/>
      </w:pPr>
      <w:r>
        <w:t xml:space="preserve">O’Brien, L., Burnett, J., and Mayo, R. 1993. Maturation of 19 Species of finish off the northeast coast of the United States, 1985-1990. NOAA Technical Report NMFS.</w:t>
      </w:r>
    </w:p>
    <w:bookmarkEnd w:id="81"/>
    <w:bookmarkStart w:id="83" w:name="ref-okeefeFormingPartnershipAvoid2013"/>
    <w:p>
      <w:pPr>
        <w:pStyle w:val="Bibliography"/>
      </w:pPr>
      <w:r>
        <w:t xml:space="preserve">O’Keefe, C.E., and DeCelles, G.R. 2013. Forming a Partnership to Avoid Bycatch. Fisheries</w:t>
      </w:r>
      <w:r>
        <w:t xml:space="preserve"> </w:t>
      </w:r>
      <w:r>
        <w:rPr>
          <w:b/>
        </w:rPr>
        <w:t xml:space="preserve">38</w:t>
      </w:r>
      <w:r>
        <w:t xml:space="preserve">(10): 434–444. doi:</w:t>
      </w:r>
      <w:hyperlink r:id="rId82">
        <w:r>
          <w:rPr>
            <w:rStyle w:val="Hyperlink"/>
          </w:rPr>
          <w:t xml:space="preserve">10.1080/03632415.2013.838122</w:t>
        </w:r>
      </w:hyperlink>
      <w:r>
        <w:t xml:space="preserve">.</w:t>
      </w:r>
    </w:p>
    <w:bookmarkEnd w:id="83"/>
    <w:bookmarkStart w:id="85" w:name="Xf2aac4154dae800428050ee74ccc606da57520c"/>
    <w:p>
      <w:pPr>
        <w:pStyle w:val="Bibliography"/>
      </w:pPr>
      <w:r>
        <w:t xml:space="preserve">Thorson, J.T., Shelton, A.O., Ward, E.J., and Skaug, H.J. 2015. Geostatistical delta-generalized linear mixed models improve precision for estimated abundance indices for West Coast groundfishes. ICES J Mar Sci</w:t>
      </w:r>
      <w:r>
        <w:t xml:space="preserve"> </w:t>
      </w:r>
      <w:r>
        <w:rPr>
          <w:b/>
        </w:rPr>
        <w:t xml:space="preserve">72</w:t>
      </w:r>
      <w:r>
        <w:t xml:space="preserve">(5): 1297–1310. doi:</w:t>
      </w:r>
      <w:hyperlink r:id="rId84">
        <w:r>
          <w:rPr>
            <w:rStyle w:val="Hyperlink"/>
          </w:rPr>
          <w:t xml:space="preserve">10.1093/icesjms/fsu243</w:t>
        </w:r>
      </w:hyperlink>
      <w:r>
        <w:t xml:space="preserve">.</w:t>
      </w:r>
    </w:p>
    <w:bookmarkEnd w:id="85"/>
    <w:bookmarkStart w:id="87" w:name="ref-tmgcDevelopmentSharingAllocation2002"/>
    <w:p>
      <w:pPr>
        <w:pStyle w:val="Bibliography"/>
      </w:pPr>
      <w:r>
        <w:t xml:space="preserve">TMGC. 2002. Development of a Sharing Allocation Proposal for Transboundary Resources of Cod, Haddock and Yellowtail Flounder on Georges Bank. Fisheries and Oceans Canada. Fisheries Management Regional Report</w:t>
      </w:r>
      <w:r>
        <w:t xml:space="preserve"> </w:t>
      </w:r>
      <w:r>
        <w:rPr>
          <w:b/>
        </w:rPr>
        <w:t xml:space="preserve">2002/01</w:t>
      </w:r>
      <w:r>
        <w:t xml:space="preserve">: 1–59. Available from</w:t>
      </w:r>
      <w:r>
        <w:t xml:space="preserve"> </w:t>
      </w:r>
      <w:hyperlink r:id="rId86">
        <w:r>
          <w:rPr>
            <w:rStyle w:val="Hyperlink"/>
          </w:rPr>
          <w:t xml:space="preserve">http://www.bio.gc.ca/info/intercol/tmgc-cogst/documents/FMR_2002_01.pdf</w:t>
        </w:r>
      </w:hyperlink>
      <w:r>
        <w:t xml:space="preserve">.</w:t>
      </w:r>
    </w:p>
    <w:bookmarkEnd w:id="87"/>
    <w:bookmarkStart w:id="89" w:name="X4c25c5b716c4c78232b55f3f643ffb200fd9483"/>
    <w:p>
      <w:pPr>
        <w:pStyle w:val="Bibliography"/>
      </w:pPr>
      <w:r>
        <w:t xml:space="preserve">Townsend, D.W., and Pettigrew, N.R. 1997. Nitrogen limitation of secondary production on Georges Bank. J Plankton Res</w:t>
      </w:r>
      <w:r>
        <w:t xml:space="preserve"> </w:t>
      </w:r>
      <w:r>
        <w:rPr>
          <w:b/>
        </w:rPr>
        <w:t xml:space="preserve">19</w:t>
      </w:r>
      <w:r>
        <w:t xml:space="preserve">(2): 221–235. doi:</w:t>
      </w:r>
      <w:hyperlink r:id="rId88">
        <w:r>
          <w:rPr>
            <w:rStyle w:val="Hyperlink"/>
          </w:rPr>
          <w:t xml:space="preserve">10.1093/plankt/19.2.221</w:t>
        </w:r>
      </w:hyperlink>
      <w:r>
        <w:t xml:space="preserve">.</w:t>
      </w:r>
    </w:p>
    <w:bookmarkEnd w:id="89"/>
    <w:bookmarkStart w:id="90" w:name="ref-valentineSeaFloorEnvironment1991"/>
    <w:p>
      <w:pPr>
        <w:pStyle w:val="Bibliography"/>
      </w:pPr>
      <w:r>
        <w:t xml:space="preserve">Valentine, P., and Lough, R.G. 1991. The Sea Floor Environment and the Fishery of Eastern Georges Bank - The Influence of Geological and Oceanographic Environmental Factors on the Abundance and Distribution of Fisheries Resources of the Northeast United States Continental Shelf. Open- File Rep: 91–439.</w:t>
      </w:r>
    </w:p>
    <w:bookmarkEnd w:id="90"/>
    <w:bookmarkEnd w:id="91"/>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86" Target="http://www.bio.gc.ca/info/intercol/tmgc-cogst/documents/FMR_2002_01.pdf" TargetMode="External" /><Relationship Type="http://schemas.openxmlformats.org/officeDocument/2006/relationships/hyperlink" Id="rId38" Target="http://www.dfo-mpo.gc.ca/Library/342505.pdf" TargetMode="External" /><Relationship Type="http://schemas.openxmlformats.org/officeDocument/2006/relationships/hyperlink" Id="rId65" Target="https://doi.org/10.1016/j.fishres.2019.105397" TargetMode="External" /><Relationship Type="http://schemas.openxmlformats.org/officeDocument/2006/relationships/hyperlink" Id="rId63" Target="https://doi.org/10.1016/j.pocean.2009.04.010" TargetMode="External" /><Relationship Type="http://schemas.openxmlformats.org/officeDocument/2006/relationships/hyperlink" Id="rId82" Target="https://doi.org/10.1080/03632415.2013.838122" TargetMode="External" /><Relationship Type="http://schemas.openxmlformats.org/officeDocument/2006/relationships/hyperlink" Id="rId84" Target="https://doi.org/10.1093/icesjms/fsu243" TargetMode="External" /><Relationship Type="http://schemas.openxmlformats.org/officeDocument/2006/relationships/hyperlink" Id="rId88" Target="https://doi.org/10.1093/plankt/19.2.221" TargetMode="External" /><Relationship Type="http://schemas.openxmlformats.org/officeDocument/2006/relationships/hyperlink" Id="rId58" Target="https://doi.org/10.1146/annurev-statistics-031017-100427" TargetMode="External" /><Relationship Type="http://schemas.openxmlformats.org/officeDocument/2006/relationships/hyperlink" Id="rId60" Target="https://doi.org/10.1371/journal.pone.0231595" TargetMode="External" /><Relationship Type="http://schemas.openxmlformats.org/officeDocument/2006/relationships/hyperlink" Id="rId77" Target="https://repository.library.noaa.gov/view/noaa/4184" TargetMode="External" /><Relationship Type="http://schemas.openxmlformats.org/officeDocument/2006/relationships/hyperlink" Id="rId39" Target="https://woodshole.er.usgs.gov/openfile/of2005-1001/htmldocs/datacatalog.htm" TargetMode="External" /><Relationship Type="http://schemas.openxmlformats.org/officeDocument/2006/relationships/hyperlink" Id="rId40" Target="https://woodshole.er.usgs.gov/project-pages/mobility/gmaine.html" TargetMode="External" /><Relationship Type="http://schemas.openxmlformats.org/officeDocument/2006/relationships/hyperlink" Id="rId67" Target="https://www.cbd.int/sp/targets/" TargetMode="External" /><Relationship Type="http://schemas.openxmlformats.org/officeDocument/2006/relationships/hyperlink" Id="rId79" Target="https://www.fisheries.noaa.gov/species/yellowtail-flounder#overview" TargetMode="External" /><Relationship Type="http://schemas.openxmlformats.org/officeDocument/2006/relationships/hyperlink" Id="rId75"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86" Target="http://www.bio.gc.ca/info/intercol/tmgc-cogst/documents/FMR_2002_01.pdf" TargetMode="External" /><Relationship Type="http://schemas.openxmlformats.org/officeDocument/2006/relationships/hyperlink" Id="rId38" Target="http://www.dfo-mpo.gc.ca/Library/342505.pdf" TargetMode="External" /><Relationship Type="http://schemas.openxmlformats.org/officeDocument/2006/relationships/hyperlink" Id="rId65" Target="https://doi.org/10.1016/j.fishres.2019.105397" TargetMode="External" /><Relationship Type="http://schemas.openxmlformats.org/officeDocument/2006/relationships/hyperlink" Id="rId63" Target="https://doi.org/10.1016/j.pocean.2009.04.010" TargetMode="External" /><Relationship Type="http://schemas.openxmlformats.org/officeDocument/2006/relationships/hyperlink" Id="rId82" Target="https://doi.org/10.1080/03632415.2013.838122" TargetMode="External" /><Relationship Type="http://schemas.openxmlformats.org/officeDocument/2006/relationships/hyperlink" Id="rId84" Target="https://doi.org/10.1093/icesjms/fsu243" TargetMode="External" /><Relationship Type="http://schemas.openxmlformats.org/officeDocument/2006/relationships/hyperlink" Id="rId88" Target="https://doi.org/10.1093/plankt/19.2.221" TargetMode="External" /><Relationship Type="http://schemas.openxmlformats.org/officeDocument/2006/relationships/hyperlink" Id="rId58" Target="https://doi.org/10.1146/annurev-statistics-031017-100427" TargetMode="External" /><Relationship Type="http://schemas.openxmlformats.org/officeDocument/2006/relationships/hyperlink" Id="rId60" Target="https://doi.org/10.1371/journal.pone.0231595" TargetMode="External" /><Relationship Type="http://schemas.openxmlformats.org/officeDocument/2006/relationships/hyperlink" Id="rId77" Target="https://repository.library.noaa.gov/view/noaa/4184" TargetMode="External" /><Relationship Type="http://schemas.openxmlformats.org/officeDocument/2006/relationships/hyperlink" Id="rId39" Target="https://woodshole.er.usgs.gov/openfile/of2005-1001/htmldocs/datacatalog.htm" TargetMode="External" /><Relationship Type="http://schemas.openxmlformats.org/officeDocument/2006/relationships/hyperlink" Id="rId40" Target="https://woodshole.er.usgs.gov/project-pages/mobility/gmaine.html" TargetMode="External" /><Relationship Type="http://schemas.openxmlformats.org/officeDocument/2006/relationships/hyperlink" Id="rId67" Target="https://www.cbd.int/sp/targets/" TargetMode="External" /><Relationship Type="http://schemas.openxmlformats.org/officeDocument/2006/relationships/hyperlink" Id="rId79" Target="https://www.fisheries.noaa.gov/species/yellowtail-flounder#overview" TargetMode="External" /><Relationship Type="http://schemas.openxmlformats.org/officeDocument/2006/relationships/hyperlink" Id="rId75"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Ward-Paige C.A.c, Andrushchenko I.^</dc:creator>
  <cp:keywords/>
  <dcterms:created xsi:type="dcterms:W3CDTF">2020-09-02T14:48:08Z</dcterms:created>
  <dcterms:modified xsi:type="dcterms:W3CDTF">2020-09-02T14:48:08Z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a stock as a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every 3 years. These shifts in distribution are not random, with the center of gravity of the core areas for both species shifting to the north and east throughout the study period. Much of this shift is due to the loss of the species from southern and western portions of GB. Models for both species were also relatively successful at capturing the spatial dynamics of the stock up to 3 years into the future. The seasonal distribution of cod and yellowtail are relatively consistent throughout the late winter and spring. In the fall the distribution of cod shifts towards the edge of the bank. SOMETHING ABOUT THE CASE STUDIES HERE!!! Here we show how these models are able to provide novel insights into both seasonal and inter-annual variability in species distributions and identify environmental covariates which have a relationship with the distribution of these species. Incorporation of this kind of information into stock assessment processes will improve science advice and our ability to sustainably manage these stocks.</vt:lpwstr>
  </property>
  <property fmtid="{D5CDD505-2E9C-101B-9397-08002B2CF9AE}" pid="3" name="bibliography">
    <vt:lpwstr>D:/NAS/Zotero/MAR_SABHU.bib</vt:lpwstr>
  </property>
  <property fmtid="{D5CDD505-2E9C-101B-9397-08002B2CF9AE}" pid="4" name="csl">
    <vt:lpwstr>D:/NAS/Zotero/styles/canadian-journal-of-fisheries-and-aquatic-sciences.csl</vt:lpwstr>
  </property>
  <property fmtid="{D5CDD505-2E9C-101B-9397-08002B2CF9AE}" pid="5" name="date">
    <vt:lpwstr>a Bedford Institue of Oceanography, b Dalhousie University, c eOceans</vt:lpwstr>
  </property>
  <property fmtid="{D5CDD505-2E9C-101B-9397-08002B2CF9AE}" pid="6" name="output">
    <vt:lpwstr/>
  </property>
</Properties>
</file>