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0583B" w:rsidRDefault="002910EF">
      <w:pPr>
        <w:pStyle w:val="Title"/>
      </w:pPr>
      <w:r>
        <w:t>Quantifying shifts in the distributions of Atlantic Cod and Yellowtail Flounder on Georges Bank</w:t>
      </w:r>
    </w:p>
    <w:p w:rsidR="0080583B" w:rsidRDefault="002910EF">
      <w:pPr>
        <w:pStyle w:val="Abstract"/>
      </w:pPr>
      <w:r>
        <w:t xml:space="preserve">A major challenge for fisheries stock assessment and management has been understanding how spatial and temporal heterogeneity impacts the population dynamics </w:t>
      </w:r>
      <w:r>
        <w:t>of a stock. Although fisheries data are often inherently spatial and temporal in nature; the full utilization of this information has historically been limited. Fortunately, recent computational advances have resulted in new methodologies for spatio-tempor</w:t>
      </w:r>
      <w:r>
        <w:t>al modelling. Here we developed temporally variable species distribution models for Yellowtail Flounder (</w:t>
      </w:r>
      <w:r>
        <w:rPr>
          <w:i/>
          <w:iCs/>
        </w:rPr>
        <w:t>Limanda ferruginea</w:t>
      </w:r>
      <w:r>
        <w:t>) and Atlantic Cod (</w:t>
      </w:r>
      <w:r>
        <w:rPr>
          <w:i/>
          <w:iCs/>
        </w:rPr>
        <w:t>Gadus morhua</w:t>
      </w:r>
      <w:r>
        <w:t>) on Georges Bank (GB) using a suite of static environmental covariates and presence-absence informat</w:t>
      </w:r>
      <w:r>
        <w:t>ion from groundfish trawl surveys in Canada and the United States (U.S.). These models identified both seasonal and long term shifts in the distribution of both stock with the average sea surface temperature (SST; average from 1997-2008) and depth being si</w:t>
      </w:r>
      <w:r>
        <w:t>gnificant predictors of the stocks distributions. Significant shifts in the distribution of Atlantic Cod and Yellowtail Flounder were observed every 5 years and at least every 3 years, respectively. The core areas for both stocks shifted to the north and e</w:t>
      </w:r>
      <w:r>
        <w:t xml:space="preserve">ast throughout the study period. For Atlantic Cod there has been a substainal decline in core area within the U.S. waters while there has been little change in Canadian waters. In U.S. waters, the szie of the Yellowtail Flounder core area declined rapidly </w:t>
      </w:r>
      <w:r>
        <w:t>in the late 1970s and early 1980s, but rebounded in the 1990s and early 2000s, while in Canadian waters the size of the core area was unchanged or slowly increased. The simplified models using only the random field for prediction performed as well as the m</w:t>
      </w:r>
      <w:r>
        <w:t>odels that included environmental covariates and were able to provide novel insights into both seasonal and inter-annual variability in species distributions. The incorporation of spatial information into science advice will improve our ability to sustaina</w:t>
      </w:r>
      <w:r>
        <w:t>bly manage these stocks.</w:t>
      </w:r>
    </w:p>
    <w:p w:rsidR="0080583B" w:rsidRDefault="002910EF">
      <w:pPr>
        <w:pStyle w:val="Heading1"/>
      </w:pPr>
      <w:bookmarkStart w:id="0" w:name="ref-intro"/>
      <w:r>
        <w:t>INTRODUCTION</w:t>
      </w:r>
    </w:p>
    <w:p w:rsidR="0080583B" w:rsidRDefault="002910EF">
      <w:pPr>
        <w:pStyle w:val="FirstParagraph"/>
      </w:pPr>
      <w:r>
        <w:t>Sustainable management of marine fisheries has been recognized as a critical challenge to address in the 21</w:t>
      </w:r>
      <w:r>
        <w:rPr>
          <w:vertAlign w:val="superscript"/>
        </w:rPr>
        <w:t>st</w:t>
      </w:r>
      <w:r>
        <w:t xml:space="preserve"> century (</w:t>
      </w:r>
      <w:hyperlink w:anchor="ref-cbdAichiBiodiversityTargets2018">
        <w:r>
          <w:rPr>
            <w:rStyle w:val="Hyperlink"/>
          </w:rPr>
          <w:t>CBD 2018</w:t>
        </w:r>
      </w:hyperlink>
      <w:r>
        <w:t>). Achieving sustainability goals</w:t>
      </w:r>
      <w:r>
        <w:t xml:space="preserve"> requires and understanding of complex ecological, socio-economic, and political factors and their interactions (</w:t>
      </w:r>
      <w:hyperlink w:anchor="ref-halpernAchievingTripleBottom2013">
        <w:r>
          <w:rPr>
            <w:rStyle w:val="Hyperlink"/>
          </w:rPr>
          <w:t>Halpern et al. 2013</w:t>
        </w:r>
      </w:hyperlink>
      <w:r>
        <w:t>). For example, fisheries management regions were often delineate</w:t>
      </w:r>
      <w:r>
        <w:t>d as a result of political or geographic considerations rather than biological or ecological rationale. As a result, defined management areas for a species often either encompass a region in which environmental conditions and life-history traits are highly</w:t>
      </w:r>
      <w:r>
        <w:t xml:space="preserve"> variable or only include a subset of a the population (</w:t>
      </w:r>
      <w:hyperlink w:anchor="ref-cadrinDefiningSpatialStructure2020a">
        <w:r>
          <w:rPr>
            <w:rStyle w:val="Hyperlink"/>
          </w:rPr>
          <w:t>Cadrin 2020</w:t>
        </w:r>
      </w:hyperlink>
      <w:r>
        <w:t>). Both of these scenarios are challenging for traditional assessment techniques that assume closed populations along with homo</w:t>
      </w:r>
      <w:r>
        <w:t>geneous environments and life-history traits (</w:t>
      </w:r>
      <w:hyperlink w:anchor="Xda9d4cc8f946e4ba2888c3552833b9a67b9f362">
        <w:r>
          <w:rPr>
            <w:rStyle w:val="Hyperlink"/>
          </w:rPr>
          <w:t>Hilborn and Walters 1992</w:t>
        </w:r>
      </w:hyperlink>
      <w:r>
        <w:t>). Accounting for spatial and temporally variable processes that influence a stocks distribution and population dynamics ha</w:t>
      </w:r>
      <w:r>
        <w:t>s long been recognized as a challenge in fisheries science (</w:t>
      </w:r>
      <w:hyperlink w:anchor="ref-rickerFurtherNotesFishing1944">
        <w:r>
          <w:rPr>
            <w:rStyle w:val="Hyperlink"/>
          </w:rPr>
          <w:t>Ricker 1944</w:t>
        </w:r>
      </w:hyperlink>
      <w:r>
        <w:t xml:space="preserve">; </w:t>
      </w:r>
      <w:hyperlink w:anchor="ref-bevertonDynamicsExploitedFish1957">
        <w:r>
          <w:rPr>
            <w:rStyle w:val="Hyperlink"/>
          </w:rPr>
          <w:t>Beverton and Holt 1957</w:t>
        </w:r>
      </w:hyperlink>
      <w:r>
        <w:t xml:space="preserve">; </w:t>
      </w:r>
      <w:hyperlink w:anchor="Xda9d4cc8f946e4ba2888c3552833b9a67b9f362">
        <w:r>
          <w:rPr>
            <w:rStyle w:val="Hyperlink"/>
          </w:rPr>
          <w:t>Hilborn and Walters 1992</w:t>
        </w:r>
      </w:hyperlink>
      <w:r>
        <w:t>). Many traditional fisheries methods that are still operationalized today require assumptions about underlying spatial processes; these assumptions generally result in models that treat stocks as spatially homog</w:t>
      </w:r>
      <w:r>
        <w:t>eneous entities. (</w:t>
      </w:r>
      <w:hyperlink w:anchor="ref-bevertonDynamicsExploitedFish1957">
        <w:r>
          <w:rPr>
            <w:rStyle w:val="Hyperlink"/>
          </w:rPr>
          <w:t>Beverton and Holt 1957</w:t>
        </w:r>
      </w:hyperlink>
      <w:r>
        <w:t xml:space="preserve">; </w:t>
      </w:r>
      <w:hyperlink w:anchor="Xf9cc38473ed8313b625eef6dd83e832a413696b">
        <w:r>
          <w:rPr>
            <w:rStyle w:val="Hyperlink"/>
          </w:rPr>
          <w:t>Ricker 1975</w:t>
        </w:r>
      </w:hyperlink>
      <w:r>
        <w:t xml:space="preserve">; </w:t>
      </w:r>
      <w:hyperlink w:anchor="Xda9d4cc8f946e4ba2888c3552833b9a67b9f362">
        <w:r>
          <w:rPr>
            <w:rStyle w:val="Hyperlink"/>
          </w:rPr>
          <w:t>Hilborn and Wal</w:t>
        </w:r>
        <w:r>
          <w:rPr>
            <w:rStyle w:val="Hyperlink"/>
          </w:rPr>
          <w:t>ters 1992</w:t>
        </w:r>
      </w:hyperlink>
      <w:r>
        <w:t>). These simplifications were necessary because of computational and statistical limitations and techniques, such as survey stratification, were implemented to account for spatial heterogeneity and reduce uncertainty in the indices feeding these m</w:t>
      </w:r>
      <w:r>
        <w:t>odels (</w:t>
      </w:r>
      <w:hyperlink w:anchor="ref-smithAnalysisDataBottom1996">
        <w:r>
          <w:rPr>
            <w:rStyle w:val="Hyperlink"/>
          </w:rPr>
          <w:t>Smith 1996</w:t>
        </w:r>
      </w:hyperlink>
      <w:r>
        <w:t xml:space="preserve">). Due in part to the lack of spatial context provided by traditional stock </w:t>
      </w:r>
      <w:r>
        <w:lastRenderedPageBreak/>
        <w:t xml:space="preserve">assessments, indices have been developed to quantify quantify changes in spatial patterns (e.g. </w:t>
      </w:r>
      <w:hyperlink w:anchor="X23a5438454de93f058bf06d4eb551a4916a8d7c">
        <w:r>
          <w:rPr>
            <w:rStyle w:val="Hyperlink"/>
          </w:rPr>
          <w:t>Reuchlin-Hugenholtz et al. 2015</w:t>
        </w:r>
      </w:hyperlink>
      <w:r>
        <w:t>). These indices are an additional source of information for assessing stock health, and while they provide context of how distributions (e.g. abundance or biomass) have chang</w:t>
      </w:r>
      <w:r>
        <w:t>ed over time they are unable to provide a detailed understanding of the spatial changes in these distributions.</w:t>
      </w:r>
    </w:p>
    <w:p w:rsidR="0080583B" w:rsidRDefault="002910EF">
      <w:pPr>
        <w:pStyle w:val="BodyText"/>
      </w:pPr>
      <w:r>
        <w:t>Species distribution models (SDMs) were one of the earliest modeling frameworks developed to better understand how environmental factors influen</w:t>
      </w:r>
      <w:r>
        <w:t>ced the distribution of a population (</w:t>
      </w:r>
      <w:hyperlink w:anchor="X2b0c2f4695e7093a431a3e535d437bdde075506">
        <w:r>
          <w:rPr>
            <w:rStyle w:val="Hyperlink"/>
          </w:rPr>
          <w:t>Grinnell 1904</w:t>
        </w:r>
      </w:hyperlink>
      <w:r>
        <w:t xml:space="preserve">; </w:t>
      </w:r>
      <w:hyperlink w:anchor="X72909392b0ebd1f25547bb5760c82778ea3a788">
        <w:r>
          <w:rPr>
            <w:rStyle w:val="Hyperlink"/>
          </w:rPr>
          <w:t>Box 1981</w:t>
        </w:r>
      </w:hyperlink>
      <w:r>
        <w:t xml:space="preserve">; </w:t>
      </w:r>
      <w:hyperlink w:anchor="ref-boothBioclimFirstSpecies2014">
        <w:r>
          <w:rPr>
            <w:rStyle w:val="Hyperlink"/>
          </w:rPr>
          <w:t>Booth et al.</w:t>
        </w:r>
        <w:r>
          <w:rPr>
            <w:rStyle w:val="Hyperlink"/>
          </w:rPr>
          <w:t xml:space="preserve"> 2014</w:t>
        </w:r>
      </w:hyperlink>
      <w:r>
        <w:t>). These models combine environmental data and species’ ecological information to map the occurrence probability (OP; or some measure of abundance) of a species across some land(sea)-scape (</w:t>
      </w:r>
      <w:hyperlink w:anchor="X72909392b0ebd1f25547bb5760c82778ea3a788">
        <w:r>
          <w:rPr>
            <w:rStyle w:val="Hyperlink"/>
          </w:rPr>
          <w:t>Box 1981</w:t>
        </w:r>
      </w:hyperlink>
      <w:r>
        <w:t>)</w:t>
      </w:r>
      <w:r>
        <w:t>. In the marine realm, the influence of SDMs has increased rapidly in recent years; SDMs have been used in the development of Marine Protect Areas (MPAs) and MPA networks, to better understand the distribution of Species at Risk (SAR), and to predict the i</w:t>
      </w:r>
      <w:r>
        <w:t>mpact of climate change (</w:t>
      </w:r>
      <w:hyperlink w:anchor="Xef09a163493951c0f43275a087cc73f580105dd">
        <w:r>
          <w:rPr>
            <w:rStyle w:val="Hyperlink"/>
          </w:rPr>
          <w:t>Cheung et al. 2008</w:t>
        </w:r>
      </w:hyperlink>
      <w:r>
        <w:t xml:space="preserve">; </w:t>
      </w:r>
      <w:hyperlink w:anchor="ref-robinsonPushingLimitsMarine2011">
        <w:r>
          <w:rPr>
            <w:rStyle w:val="Hyperlink"/>
          </w:rPr>
          <w:t>Robinson et al. 2011</w:t>
        </w:r>
      </w:hyperlink>
      <w:r>
        <w:t xml:space="preserve">; </w:t>
      </w:r>
      <w:hyperlink w:anchor="X0b09a21b065124699f16b7b859edf6997c8d6eb">
        <w:r>
          <w:rPr>
            <w:rStyle w:val="Hyperlink"/>
          </w:rPr>
          <w:t>Sundb</w:t>
        </w:r>
        <w:r>
          <w:rPr>
            <w:rStyle w:val="Hyperlink"/>
          </w:rPr>
          <w:t>lad et al. 2011</w:t>
        </w:r>
      </w:hyperlink>
      <w:r>
        <w:t xml:space="preserve">; </w:t>
      </w:r>
      <w:hyperlink w:anchor="ref-domischSpatiallyExplicitSpecies2019">
        <w:r>
          <w:rPr>
            <w:rStyle w:val="Hyperlink"/>
          </w:rPr>
          <w:t>Domisch et al. 2019</w:t>
        </w:r>
      </w:hyperlink>
      <w:r>
        <w:t xml:space="preserve">; </w:t>
      </w:r>
      <w:hyperlink w:anchor="ref-mchenryProjectingMarineSpecies2019">
        <w:r>
          <w:rPr>
            <w:rStyle w:val="Hyperlink"/>
          </w:rPr>
          <w:t>McHenry et al. 2019</w:t>
        </w:r>
      </w:hyperlink>
      <w:r>
        <w:t>).</w:t>
      </w:r>
    </w:p>
    <w:p w:rsidR="0080583B" w:rsidRDefault="002910EF">
      <w:pPr>
        <w:pStyle w:val="BodyText"/>
      </w:pPr>
      <w:r>
        <w:t xml:space="preserve">Historically, SDMs often did not explicitly consider temporal changes in </w:t>
      </w:r>
      <w:r>
        <w:t>the relationship between the environment and the response of the species; these SDMs provided a snapshot in time based on available data (</w:t>
      </w:r>
      <w:hyperlink w:anchor="ref-elithSpeciesDistributionModels2009">
        <w:r>
          <w:rPr>
            <w:rStyle w:val="Hyperlink"/>
          </w:rPr>
          <w:t>Elith and Leathwick 2009</w:t>
        </w:r>
      </w:hyperlink>
      <w:r>
        <w:t>). However, more sophisticated SD</w:t>
      </w:r>
      <w:r>
        <w:t>M frameworks have been developed that allow the underlying relationships to vary in time and space. This has lead to dynamic models that better utilize the latent spatio-temporal information contained in the underlying data (</w:t>
      </w:r>
      <w:hyperlink w:anchor="X45a9a89a24fb129f687a58ed5664036165a3520">
        <w:r>
          <w:rPr>
            <w:rStyle w:val="Hyperlink"/>
          </w:rPr>
          <w:t>Merow et al. 2011</w:t>
        </w:r>
      </w:hyperlink>
      <w:r>
        <w:t xml:space="preserve">; </w:t>
      </w:r>
      <w:hyperlink w:anchor="ref-thorsonJointDynamicSpecies2016">
        <w:r>
          <w:rPr>
            <w:rStyle w:val="Hyperlink"/>
          </w:rPr>
          <w:t>Thorson et al. 2016</w:t>
        </w:r>
      </w:hyperlink>
      <w:r>
        <w:t xml:space="preserve">; </w:t>
      </w:r>
      <w:hyperlink w:anchor="Xabec9d6aceacb92388cea5494eeb4ab54cbadb5">
        <w:r>
          <w:rPr>
            <w:rStyle w:val="Hyperlink"/>
          </w:rPr>
          <w:t>Martínez-Minaya et al. 2018</w:t>
        </w:r>
      </w:hyperlink>
      <w:r>
        <w:t>). These new spatio-temporal SDM mode</w:t>
      </w:r>
      <w:r>
        <w:t>ls were made possible by a number of recent statistical and computational advances such as the implementation of the Laplace approximation (LA), Automatic Differentiation (AD), Stochastic Partial Differential Equations (SPDE), and Gaussian Markov Random Fi</w:t>
      </w:r>
      <w:r>
        <w:t>elds (GMRFs) in commonly used programming languages (</w:t>
      </w:r>
      <w:hyperlink w:anchor="X9fda6dcb8957dc3010b781e0e341d7ffc02749b">
        <w:r>
          <w:rPr>
            <w:rStyle w:val="Hyperlink"/>
          </w:rPr>
          <w:t>Kristensen et al. 2016</w:t>
        </w:r>
      </w:hyperlink>
      <w:r>
        <w:t xml:space="preserve">; </w:t>
      </w:r>
      <w:hyperlink w:anchor="ref-rueBayesianComputingINLA2016">
        <w:r>
          <w:rPr>
            <w:rStyle w:val="Hyperlink"/>
          </w:rPr>
          <w:t>Rue et al. 2016</w:t>
        </w:r>
      </w:hyperlink>
      <w:r>
        <w:t xml:space="preserve">; </w:t>
      </w:r>
      <w:hyperlink w:anchor="ref-thorsonGuidanceDecisionsUsing2019">
        <w:r>
          <w:rPr>
            <w:rStyle w:val="Hyperlink"/>
          </w:rPr>
          <w:t>Thorson 2019</w:t>
        </w:r>
      </w:hyperlink>
      <w:r>
        <w:t>). The complex spatio-temporal analytical problems associated with these advanced SDM models can now be solved in a fraction of the time required by traditional methods.</w:t>
      </w:r>
    </w:p>
    <w:p w:rsidR="0080583B" w:rsidRDefault="002910EF">
      <w:pPr>
        <w:pStyle w:val="Heading3"/>
      </w:pPr>
      <w:bookmarkStart w:id="1" w:name="georges-bank"/>
      <w:r>
        <w:t>Georges Bank</w:t>
      </w:r>
    </w:p>
    <w:p w:rsidR="0080583B" w:rsidRDefault="002910EF">
      <w:pPr>
        <w:pStyle w:val="FirstParagraph"/>
      </w:pPr>
      <w:r>
        <w:t>Georges Bank (GB) is home to a wealth of natu</w:t>
      </w:r>
      <w:r>
        <w:t>ral resources and for centuries GB has had some of the most productive fisheries in the world (</w:t>
      </w:r>
      <w:hyperlink w:anchor="ref-backusGeorgesBank1987">
        <w:r>
          <w:rPr>
            <w:rStyle w:val="Hyperlink"/>
          </w:rPr>
          <w:t>Backus and Bourne 1987</w:t>
        </w:r>
      </w:hyperlink>
      <w:r>
        <w:t>). In the 1960s and 1970s numerous countries conducted large unsustainable fisheries in the</w:t>
      </w:r>
      <w:r>
        <w:t xml:space="preserve"> region, but with the with the introduction of Exclusive Economic Zones (EEZ) in 1977, control of resource exploitation (e.g. fisheries) on GB fell under the jurisdiction of the United States (U.S.) and Canada (</w:t>
      </w:r>
      <w:hyperlink w:anchor="ref-hallidayNorthAtlanticFishery1996">
        <w:r>
          <w:rPr>
            <w:rStyle w:val="Hyperlink"/>
          </w:rPr>
          <w:t>Halliday and Pinhorn 1996</w:t>
        </w:r>
      </w:hyperlink>
      <w:r>
        <w:t xml:space="preserve">; </w:t>
      </w:r>
      <w:hyperlink w:anchor="X9dcf4e425aa95c463211f653a869c9b38811d83">
        <w:r>
          <w:rPr>
            <w:rStyle w:val="Hyperlink"/>
          </w:rPr>
          <w:t>Anderson 1997</w:t>
        </w:r>
      </w:hyperlink>
      <w:r>
        <w:t>). The final demarcation of the Canadian and U.S. territorial waters on GB was implemented with an International Court of Justice (ICJ) dec</w:t>
      </w:r>
      <w:r>
        <w:t>ision in 1984. Within three years both countries had independent groundfish surveys covering the entirety of GB at different times of the year.</w:t>
      </w:r>
    </w:p>
    <w:p w:rsidR="0080583B" w:rsidRDefault="002910EF">
      <w:pPr>
        <w:pStyle w:val="BodyText"/>
      </w:pPr>
      <w:r>
        <w:t>Historically, substantial groundfish fisheries occurred on GB, including Atlantic Cod (</w:t>
      </w:r>
      <w:r>
        <w:rPr>
          <w:i/>
          <w:iCs/>
        </w:rPr>
        <w:t>Gadus morhua</w:t>
      </w:r>
      <w:r>
        <w:t>) and Yellowt</w:t>
      </w:r>
      <w:r>
        <w:t>ail Flounder (</w:t>
      </w:r>
      <w:r>
        <w:rPr>
          <w:i/>
          <w:iCs/>
        </w:rPr>
        <w:t>Limanda ferruginea</w:t>
      </w:r>
      <w:r>
        <w:t>) (</w:t>
      </w:r>
      <w:hyperlink w:anchor="X9dcf4e425aa95c463211f653a869c9b38811d83">
        <w:r>
          <w:rPr>
            <w:rStyle w:val="Hyperlink"/>
          </w:rPr>
          <w:t>Anderson 1997</w:t>
        </w:r>
      </w:hyperlink>
      <w:r>
        <w:t xml:space="preserve">). As observed throughout the northwest Atlantic, the biomass of Atlantic Cod on GB declined significantly </w:t>
      </w:r>
      <w:r>
        <w:lastRenderedPageBreak/>
        <w:t xml:space="preserve">in the early 1990s and there has been </w:t>
      </w:r>
      <w:r>
        <w:t>little evidence for recovery of this stock since this collapse (</w:t>
      </w:r>
      <w:hyperlink w:anchor="Xa28c9ea88c31816fdf689427086ec96ae0e79fd">
        <w:r>
          <w:rPr>
            <w:rStyle w:val="Hyperlink"/>
          </w:rPr>
          <w:t>Andrushchenko et al. 2018</w:t>
        </w:r>
      </w:hyperlink>
      <w:r>
        <w:t>)</w:t>
      </w:r>
      <w:r>
        <w:t>. Between the 1970s and the 1990s, the biomass of Yellowtail Flounder on GB was low, but evidence for a rapid recovery of this stock in the early 2000s resulted in directed fisheries for several years. However, this recovery was short lived and the biomass</w:t>
      </w:r>
      <w:r>
        <w:t xml:space="preserve"> of this stock has been near historical lows for the last decade (</w:t>
      </w:r>
      <w:hyperlink w:anchor="ref-legaultStockAssessmentGeorges2018">
        <w:r>
          <w:rPr>
            <w:rStyle w:val="Hyperlink"/>
          </w:rPr>
          <w:t>Legault and McCurdy 2018</w:t>
        </w:r>
      </w:hyperlink>
      <w:r>
        <w:t>).</w:t>
      </w:r>
    </w:p>
    <w:p w:rsidR="0080583B" w:rsidRDefault="002910EF">
      <w:pPr>
        <w:pStyle w:val="BodyText"/>
      </w:pPr>
      <w:r>
        <w:t>Here we use the R-INLA statistical framework (</w:t>
      </w:r>
      <w:hyperlink w:anchor="ref-lindgrenBayesianSpatialModelling2015">
        <w:r>
          <w:rPr>
            <w:rStyle w:val="Hyperlink"/>
          </w:rPr>
          <w:t>Lindgren and Rue 2015</w:t>
        </w:r>
      </w:hyperlink>
      <w:r>
        <w:t xml:space="preserve">; </w:t>
      </w:r>
      <w:hyperlink w:anchor="ref-rueBayesianComputingINLA2016">
        <w:r>
          <w:rPr>
            <w:rStyle w:val="Hyperlink"/>
          </w:rPr>
          <w:t>Rue et al. 2016</w:t>
        </w:r>
      </w:hyperlink>
      <w:r>
        <w:t xml:space="preserve">; </w:t>
      </w:r>
      <w:hyperlink w:anchor="ref-bakkaSpatialModellingRINLA2018">
        <w:r>
          <w:rPr>
            <w:rStyle w:val="Hyperlink"/>
          </w:rPr>
          <w:t>Bakka et al. 2018</w:t>
        </w:r>
      </w:hyperlink>
      <w:r>
        <w:t>) to develop spatio-temporal SDMs for two depleted groundfish stocks on GB (Atlan</w:t>
      </w:r>
      <w:r>
        <w:t>tic Cod and Yellowtail Flounder). Our objectives were to use data from three groundfish surveys in the region to; 1) develop temporally variable SDMs and explore the influence of a suite of static environmental layers, 2) identify any long-term shifts in t</w:t>
      </w:r>
      <w:r>
        <w:t xml:space="preserve">he stock distributions, 3) identify any seasonal changes in the stock distributions using survey data collected in the </w:t>
      </w:r>
      <w:r>
        <w:rPr>
          <w:i/>
          <w:iCs/>
        </w:rPr>
        <w:t>Winter</w:t>
      </w:r>
      <w:r>
        <w:t xml:space="preserve">, </w:t>
      </w:r>
      <w:r>
        <w:rPr>
          <w:i/>
          <w:iCs/>
        </w:rPr>
        <w:t>Spring</w:t>
      </w:r>
      <w:r>
        <w:t xml:space="preserve"> and </w:t>
      </w:r>
      <w:r>
        <w:rPr>
          <w:i/>
          <w:iCs/>
        </w:rPr>
        <w:t>Fall</w:t>
      </w:r>
      <w:r>
        <w:t>, and 4) use the SDMs to quantify any shifts in core area within Canadian and U.S. waters.</w:t>
      </w:r>
    </w:p>
    <w:p w:rsidR="0080583B" w:rsidRDefault="002910EF">
      <w:pPr>
        <w:pStyle w:val="Heading1"/>
      </w:pPr>
      <w:bookmarkStart w:id="2" w:name="ref-methods"/>
      <w:bookmarkEnd w:id="0"/>
      <w:bookmarkEnd w:id="1"/>
      <w:r>
        <w:t>Methods</w:t>
      </w:r>
    </w:p>
    <w:p w:rsidR="0080583B" w:rsidRDefault="002910EF">
      <w:pPr>
        <w:pStyle w:val="Heading2"/>
      </w:pPr>
      <w:bookmarkStart w:id="3" w:name="study-area"/>
      <w:r>
        <w:t>Study area</w:t>
      </w:r>
    </w:p>
    <w:p w:rsidR="0080583B" w:rsidRDefault="002910EF">
      <w:pPr>
        <w:pStyle w:val="FirstParagraph"/>
      </w:pPr>
      <w:r>
        <w:t>Geor</w:t>
      </w:r>
      <w:r>
        <w:t>ges Bank, located in the northwest Atlantic straddling the U.S.-Canada maritime border, is a 3-150 m deep plateau that covers approximately 42,000 km</w:t>
      </w:r>
      <w:r>
        <w:rPr>
          <w:vertAlign w:val="superscript"/>
        </w:rPr>
        <w:t>2</w:t>
      </w:r>
      <w:r>
        <w:t xml:space="preserve"> and is characterized by high primary productivity, and historically high fish abundance (</w:t>
      </w:r>
      <w:hyperlink w:anchor="X4c25c5b716c4c78232b55f3f643ffb200fd9483">
        <w:r>
          <w:rPr>
            <w:rStyle w:val="Hyperlink"/>
          </w:rPr>
          <w:t>Townsend and Pettigrew 1997</w:t>
        </w:r>
      </w:hyperlink>
      <w:r>
        <w:t>). It is an eroding bank with no sediment recharge and covered with coarse gravel and sand that provides habitat for many species (</w:t>
      </w:r>
      <w:hyperlink w:anchor="ref-valentineSeaFloorEnvironment1991">
        <w:r>
          <w:rPr>
            <w:rStyle w:val="Hyperlink"/>
          </w:rPr>
          <w:t>Valentine and Lough 1991</w:t>
        </w:r>
      </w:hyperlink>
      <w:r>
        <w:t>). Since the establishment of the ICJ decision in 1984, the Canadian and U.S. portions of GB have been largely managed separately by the two countries, though some collaborative management exists (Figure 1).</w:t>
      </w:r>
    </w:p>
    <w:p w:rsidR="0080583B" w:rsidRDefault="002910EF">
      <w:pPr>
        <w:pStyle w:val="Heading2"/>
      </w:pPr>
      <w:bookmarkStart w:id="4" w:name="data"/>
      <w:bookmarkEnd w:id="3"/>
      <w:r>
        <w:t>Data</w:t>
      </w:r>
    </w:p>
    <w:p w:rsidR="0080583B" w:rsidRDefault="002910EF">
      <w:pPr>
        <w:pStyle w:val="FirstParagraph"/>
      </w:pPr>
      <w:r>
        <w:t>Survey data</w:t>
      </w:r>
      <w:r>
        <w:t xml:space="preserve"> were obtained from the Fisheries and Oceans Canada (DFO) “</w:t>
      </w:r>
      <w:r>
        <w:rPr>
          <w:i/>
          <w:iCs/>
        </w:rPr>
        <w:t>Winter</w:t>
      </w:r>
      <w:r>
        <w:t>” Research Vessel (RV) survey from 1987-2019 and the National Marine Fisheries Service (NMFS) “</w:t>
      </w:r>
      <w:r>
        <w:rPr>
          <w:i/>
          <w:iCs/>
        </w:rPr>
        <w:t>Spring</w:t>
      </w:r>
      <w:r>
        <w:t>” and “</w:t>
      </w:r>
      <w:r>
        <w:rPr>
          <w:i/>
          <w:iCs/>
        </w:rPr>
        <w:t>Fall</w:t>
      </w:r>
      <w:r>
        <w:t xml:space="preserve">” groundfish surveys from 1972-2019. The </w:t>
      </w:r>
      <w:r>
        <w:rPr>
          <w:i/>
          <w:iCs/>
        </w:rPr>
        <w:t>Winter</w:t>
      </w:r>
      <w:r>
        <w:t xml:space="preserve"> survey on GB typically occurs i</w:t>
      </w:r>
      <w:r>
        <w:t xml:space="preserve">n February and early March, the </w:t>
      </w:r>
      <w:r>
        <w:rPr>
          <w:i/>
          <w:iCs/>
        </w:rPr>
        <w:t>Spring</w:t>
      </w:r>
      <w:r>
        <w:t xml:space="preserve"> survey typically occurs in April and May, while the </w:t>
      </w:r>
      <w:r>
        <w:rPr>
          <w:i/>
          <w:iCs/>
        </w:rPr>
        <w:t>Fall</w:t>
      </w:r>
      <w:r>
        <w:t xml:space="preserve"> survey generally takes place between September and November. For all surveys only tows deemed </w:t>
      </w:r>
      <w:r>
        <w:rPr>
          <w:i/>
          <w:iCs/>
        </w:rPr>
        <w:t>successful</w:t>
      </w:r>
      <w:r>
        <w:t xml:space="preserve"> (Class 1 data) were used in this analysis. This resulte</w:t>
      </w:r>
      <w:r>
        <w:t xml:space="preserve">d in 2590 tows from the </w:t>
      </w:r>
      <w:r>
        <w:rPr>
          <w:i/>
          <w:iCs/>
        </w:rPr>
        <w:t>Winter</w:t>
      </w:r>
      <w:r>
        <w:t xml:space="preserve"> survey, 2393 tows from the </w:t>
      </w:r>
      <w:r>
        <w:rPr>
          <w:i/>
          <w:iCs/>
        </w:rPr>
        <w:t>Spring</w:t>
      </w:r>
      <w:r>
        <w:t xml:space="preserve"> survey, and 2506 tows from the </w:t>
      </w:r>
      <w:r>
        <w:rPr>
          <w:i/>
          <w:iCs/>
        </w:rPr>
        <w:t>Fall</w:t>
      </w:r>
      <w:r>
        <w:t xml:space="preserve"> survey.</w:t>
      </w:r>
    </w:p>
    <w:p w:rsidR="0080583B" w:rsidRDefault="002910EF">
      <w:pPr>
        <w:pStyle w:val="Heading2"/>
      </w:pPr>
      <w:bookmarkStart w:id="5" w:name="environmental-covariates"/>
      <w:bookmarkEnd w:id="4"/>
      <w:r>
        <w:t>Environmental covariates</w:t>
      </w:r>
    </w:p>
    <w:p w:rsidR="0080583B" w:rsidRDefault="002910EF">
      <w:pPr>
        <w:pStyle w:val="FirstParagraph"/>
      </w:pPr>
      <w:r>
        <w:t>A suite of 22 spatial environmental and oceanographic datasets were evaluated (Table 1). To eliminate redundant variables,</w:t>
      </w:r>
      <w:r>
        <w:t xml:space="preserve"> Variance Inflation Factors (VIFs) were calculated for all variables and any variables with VIF scores &gt; 3 were removed. This procedure was repeated until no variables remained with a VIF score &gt; 3 (</w:t>
      </w:r>
      <w:hyperlink w:anchor="ref-zuurProtocolDataExploration2010">
        <w:r>
          <w:rPr>
            <w:rStyle w:val="Hyperlink"/>
          </w:rPr>
          <w:t>Zuur et al. 2010</w:t>
        </w:r>
      </w:hyperlink>
      <w:r>
        <w:t xml:space="preserve">). A Principal </w:t>
      </w:r>
      <w:r>
        <w:lastRenderedPageBreak/>
        <w:t>Component Analysis (PCA) was undertaken using the data from the associated station locations for each survey with variables excluded from the PCA if they showed no evidence for correlation with other variables or if they had</w:t>
      </w:r>
      <w:r>
        <w:t xml:space="preserve"> very non-linear correlation patterns (Table 1). The top 4 PCA components, accounting for at least 80% of the variability in the data for a given survey, were retained and included as covariates for the models in addition to the retained environmental cova</w:t>
      </w:r>
      <w:r>
        <w:t>riates (See Supplemental Figure 12).</w:t>
      </w:r>
    </w:p>
    <w:p w:rsidR="0080583B" w:rsidRDefault="002910EF">
      <w:pPr>
        <w:pStyle w:val="Heading2"/>
      </w:pPr>
      <w:bookmarkStart w:id="6" w:name="statistical-analysis"/>
      <w:bookmarkEnd w:id="5"/>
      <w:r>
        <w:t>Statistical Analysis</w:t>
      </w:r>
    </w:p>
    <w:p w:rsidR="0080583B" w:rsidRDefault="002910EF">
      <w:pPr>
        <w:pStyle w:val="FirstParagraph"/>
      </w:pPr>
      <w:r>
        <w:t>A Bayesian hierarchical methodology was implemented using the INLA approach available within the R Statistical Programming software R-INLA (</w:t>
      </w:r>
      <w:hyperlink w:anchor="ref-lindgrenBayesianSpatialModelling2015">
        <w:r>
          <w:rPr>
            <w:rStyle w:val="Hyperlink"/>
          </w:rPr>
          <w:t>Lindgren and Rue 2015</w:t>
        </w:r>
      </w:hyperlink>
      <w:r>
        <w:t xml:space="preserve">; </w:t>
      </w:r>
      <w:hyperlink w:anchor="ref-bakkaSpatialModellingRINLA2018">
        <w:r>
          <w:rPr>
            <w:rStyle w:val="Hyperlink"/>
          </w:rPr>
          <w:t>Bakka et al. 2018</w:t>
        </w:r>
      </w:hyperlink>
      <w:r>
        <w:t xml:space="preserve">; </w:t>
      </w:r>
      <w:hyperlink w:anchor="X7b3c79bfb7654af1f4b03dba64dad1a6765c972">
        <w:r>
          <w:rPr>
            <w:rStyle w:val="Hyperlink"/>
          </w:rPr>
          <w:t>R Core Team 2020</w:t>
        </w:r>
      </w:hyperlink>
      <w:r>
        <w:t>)</w:t>
      </w:r>
      <w:r>
        <w:t xml:space="preserve">. In recent years, R-INLA has seen a rapid increase in use to model species distributions in both the terrestrial and marine realms (e.g. </w:t>
      </w:r>
      <w:hyperlink w:anchor="Xe9d296218d103c3c5bffdb854fbe5e4b1995af3">
        <w:r w:rsidRPr="00012F7B">
          <w:rPr>
            <w:rStyle w:val="Hyperlink"/>
            <w:lang w:val="fr-FR"/>
          </w:rPr>
          <w:t>Cosandey-Godin et al. 2015</w:t>
        </w:r>
      </w:hyperlink>
      <w:r w:rsidRPr="00012F7B">
        <w:rPr>
          <w:lang w:val="fr-FR"/>
        </w:rPr>
        <w:t xml:space="preserve">; </w:t>
      </w:r>
      <w:hyperlink w:anchor="ref-leachModellingInfluenceBiotic2016">
        <w:r w:rsidRPr="00012F7B">
          <w:rPr>
            <w:rStyle w:val="Hyperlink"/>
            <w:lang w:val="fr-FR"/>
          </w:rPr>
          <w:t>Leach et al. 2016</w:t>
        </w:r>
      </w:hyperlink>
      <w:r w:rsidRPr="00012F7B">
        <w:rPr>
          <w:lang w:val="fr-FR"/>
        </w:rPr>
        <w:t xml:space="preserve">; </w:t>
      </w:r>
      <w:hyperlink w:anchor="Xc9ea2e3c9697e3a1aafde395ff6558a2222db6f">
        <w:r w:rsidRPr="00012F7B">
          <w:rPr>
            <w:rStyle w:val="Hyperlink"/>
            <w:lang w:val="fr-FR"/>
          </w:rPr>
          <w:t>Boudreau et al. 2017</w:t>
        </w:r>
      </w:hyperlink>
      <w:r w:rsidRPr="00012F7B">
        <w:rPr>
          <w:lang w:val="fr-FR"/>
        </w:rPr>
        <w:t xml:space="preserve">). </w:t>
      </w:r>
      <w:r>
        <w:t>This methodology solves stochastic partial differential equations on a spatial triangulated mesh; the mesh is typicall</w:t>
      </w:r>
      <w:r>
        <w:t>y based on the available data (</w:t>
      </w:r>
      <w:hyperlink w:anchor="ref-rueBayesianComputingINLA2016">
        <w:r>
          <w:rPr>
            <w:rStyle w:val="Hyperlink"/>
          </w:rPr>
          <w:t>Rue et al. 2016</w:t>
        </w:r>
      </w:hyperlink>
      <w:r>
        <w:t>). The mesh used in this study included 6610 vertices and was extended beyond the boundaries of the data to avoid edge effects (Figure 2). Default priors w</w:t>
      </w:r>
      <w:r>
        <w:t>ere used for the analysis, except for the range and standard deviation hyperparameters used to generate the random fields, which were Penalized Complexity (PC) priors (</w:t>
      </w:r>
      <w:hyperlink w:anchor="ref-zuurBeginnerGuideSpatial2017">
        <w:r>
          <w:rPr>
            <w:rStyle w:val="Hyperlink"/>
          </w:rPr>
          <w:t>Zuur et al. 2017</w:t>
        </w:r>
      </w:hyperlink>
      <w:r>
        <w:t xml:space="preserve">; </w:t>
      </w:r>
      <w:hyperlink w:anchor="ref-fuglstadConstructingPriorsThat2019">
        <w:r>
          <w:rPr>
            <w:rStyle w:val="Hyperlink"/>
          </w:rPr>
          <w:t>Fuglstad et al. 2019</w:t>
        </w:r>
      </w:hyperlink>
      <w:r>
        <w:t>). The range PC prior had a median of 50 km with a probability of 0.05 that the range was smaller than 50 km. The standard deviation of the PC prior had a median of 0.5 with a probability of</w:t>
      </w:r>
      <w:r>
        <w:t xml:space="preserve"> 0.05 that the marginal standard deviation was larger than 0.5.</w:t>
      </w:r>
    </w:p>
    <w:p w:rsidR="0080583B" w:rsidRDefault="002910EF">
      <w:pPr>
        <w:pStyle w:val="BodyText"/>
      </w:pPr>
      <w:r>
        <w:t>Survey data up to 2016 were used for model development (</w:t>
      </w:r>
      <w:r>
        <w:rPr>
          <w:i/>
          <w:iCs/>
        </w:rPr>
        <w:t>Winter</w:t>
      </w:r>
      <w:r>
        <w:t xml:space="preserve"> survey from 1987-2016, </w:t>
      </w:r>
      <w:r>
        <w:rPr>
          <w:i/>
          <w:iCs/>
        </w:rPr>
        <w:t>Spring</w:t>
      </w:r>
      <w:r>
        <w:t xml:space="preserve"> and </w:t>
      </w:r>
      <w:r>
        <w:rPr>
          <w:i/>
          <w:iCs/>
        </w:rPr>
        <w:t>Fall</w:t>
      </w:r>
      <w:r>
        <w:t xml:space="preserve"> surveys from 1972-2016), data from 2017-2019 were used only as a testing dataset. For all </w:t>
      </w:r>
      <w:r>
        <w:t xml:space="preserve">analyses, the response variable was the probability of the survey detecting the stock of interest (Occurrence Probability, </w:t>
      </w:r>
      <m:oMath>
        <m:r>
          <w:rPr>
            <w:rFonts w:ascii="Cambria Math" w:hAnsi="Cambria Math"/>
          </w:rPr>
          <m:t>O</m:t>
        </m:r>
        <m:sSub>
          <m:sSubPr>
            <m:ctrlPr>
              <w:rPr>
                <w:rFonts w:ascii="Cambria Math" w:hAnsi="Cambria Math"/>
              </w:rPr>
            </m:ctrlPr>
          </m:sSubPr>
          <m:e>
            <m:r>
              <w:rPr>
                <w:rFonts w:ascii="Cambria Math" w:hAnsi="Cambria Math"/>
              </w:rPr>
              <m:t>P</m:t>
            </m:r>
          </m:e>
          <m:sub>
            <m:r>
              <w:rPr>
                <w:rFonts w:ascii="Cambria Math" w:hAnsi="Cambria Math"/>
              </w:rPr>
              <m:t>it</m:t>
            </m:r>
          </m:sub>
        </m:sSub>
      </m:oMath>
      <w:r>
        <w:t xml:space="preserve">) and a </w:t>
      </w:r>
      <w:r>
        <w:rPr>
          <w:i/>
          <w:iCs/>
        </w:rPr>
        <w:t>Bernoulli</w:t>
      </w:r>
      <w:r>
        <w:t xml:space="preserve"> GLM was utilized within R-INLA. Cells with an estimated OP </w:t>
      </w:r>
      <m:oMath>
        <m:r>
          <m:rPr>
            <m:sty m:val="p"/>
          </m:rPr>
          <w:rPr>
            <w:rFonts w:ascii="Cambria Math" w:hAnsi="Cambria Math"/>
          </w:rPr>
          <m:t>≥</m:t>
        </m:r>
      </m:oMath>
      <w:r>
        <w:t xml:space="preserve"> 0.75 were considered the </w:t>
      </w:r>
      <w:r>
        <w:rPr>
          <w:i/>
          <w:iCs/>
        </w:rPr>
        <w:t>core area</w:t>
      </w:r>
      <w:r>
        <w:t>. An interac</w:t>
      </w:r>
      <w:r>
        <w:t xml:space="preserve">tive </w:t>
      </w:r>
      <w:hyperlink r:id="rId7">
        <w:r>
          <w:rPr>
            <w:rStyle w:val="Hyperlink"/>
          </w:rPr>
          <w:t>dashboard</w:t>
        </w:r>
      </w:hyperlink>
      <w:r>
        <w:t xml:space="preserve"> has been developed that can be used to explore the effect of defining different OPs as core area.</w:t>
      </w:r>
    </w:p>
    <w:p w:rsidR="0080583B" w:rsidRDefault="002910EF">
      <w:pPr>
        <w:pStyle w:val="BodyText"/>
      </w:pPr>
      <m:oMathPara>
        <m:oMathParaPr>
          <m:jc m:val="center"/>
        </m:oMathParaPr>
        <m:oMath>
          <m:r>
            <w:rPr>
              <w:rFonts w:ascii="Cambria Math" w:hAnsi="Cambria Math"/>
            </w:rPr>
            <m:t>O</m:t>
          </m:r>
          <m:sSub>
            <m:sSubPr>
              <m:ctrlPr>
                <w:rPr>
                  <w:rFonts w:ascii="Cambria Math" w:hAnsi="Cambria Math"/>
                </w:rPr>
              </m:ctrlPr>
            </m:sSubPr>
            <m:e>
              <m:r>
                <w:rPr>
                  <w:rFonts w:ascii="Cambria Math" w:hAnsi="Cambria Math"/>
                </w:rPr>
                <m:t>P</m:t>
              </m:r>
            </m:e>
            <m:sub>
              <m:r>
                <w:rPr>
                  <w:rFonts w:ascii="Cambria Math" w:hAnsi="Cambria Math"/>
                </w:rPr>
                <m:t>it</m:t>
              </m:r>
            </m:sub>
          </m:sSub>
          <m:r>
            <m:rPr>
              <m:sty m:val="p"/>
            </m:rPr>
            <w:rPr>
              <w:rFonts w:ascii="Cambria Math" w:hAnsi="Cambria Math"/>
            </w:rPr>
            <m:t>∼</m:t>
          </m:r>
          <m:r>
            <w:rPr>
              <w:rFonts w:ascii="Cambria Math" w:hAnsi="Cambria Math"/>
            </w:rPr>
            <m:t>Bernoulli</m:t>
          </m:r>
          <m:r>
            <m:rPr>
              <m:sty m:val="p"/>
            </m:rPr>
            <w:rPr>
              <w:rFonts w:ascii="Cambria Math" w:hAnsi="Cambria Math"/>
            </w:rPr>
            <m:t>(</m:t>
          </m:r>
          <m:sSub>
            <m:sSubPr>
              <m:ctrlPr>
                <w:rPr>
                  <w:rFonts w:ascii="Cambria Math" w:hAnsi="Cambria Math"/>
                </w:rPr>
              </m:ctrlPr>
            </m:sSubPr>
            <m:e>
              <m:r>
                <w:rPr>
                  <w:rFonts w:ascii="Cambria Math" w:hAnsi="Cambria Math"/>
                </w:rPr>
                <m:t>π</m:t>
              </m:r>
            </m:e>
            <m:sub>
              <m:r>
                <w:rPr>
                  <w:rFonts w:ascii="Cambria Math" w:hAnsi="Cambria Math"/>
                </w:rPr>
                <m:t>it</m:t>
              </m:r>
            </m:sub>
          </m:sSub>
          <m:r>
            <m:rPr>
              <m:sty m:val="p"/>
            </m:rPr>
            <w:rPr>
              <w:rFonts w:ascii="Cambria Math" w:hAnsi="Cambria Math"/>
            </w:rPr>
            <m:t>)</m:t>
          </m:r>
        </m:oMath>
      </m:oMathPara>
    </w:p>
    <w:p w:rsidR="0080583B" w:rsidRDefault="002910EF">
      <w:pPr>
        <w:pStyle w:val="FirstParagraph"/>
      </w:pPr>
      <m:oMathPara>
        <m:oMathParaPr>
          <m:jc m:val="center"/>
        </m:oMathParaPr>
        <m:oMath>
          <m:m>
            <m:mPr>
              <m:plcHide m:val="1"/>
              <m:mcs>
                <m:mc>
                  <m:mcPr>
                    <m:count m:val="1"/>
                    <m:mcJc m:val="right"/>
                  </m:mcPr>
                </m:mc>
              </m:mcs>
              <m:ctrlPr>
                <w:rPr>
                  <w:rFonts w:ascii="Cambria Math" w:hAnsi="Cambria Math"/>
                </w:rPr>
              </m:ctrlPr>
            </m:mPr>
            <m:mr>
              <m:e>
                <m:r>
                  <w:rPr>
                    <w:rFonts w:ascii="Cambria Math" w:hAnsi="Cambria Math"/>
                  </w:rPr>
                  <m:t>E</m:t>
                </m:r>
                <m:r>
                  <m:rPr>
                    <m:sty m:val="p"/>
                  </m:rPr>
                  <w:rPr>
                    <w:rFonts w:ascii="Cambria Math" w:hAnsi="Cambria Math"/>
                  </w:rPr>
                  <m:t>(</m:t>
                </m:r>
                <m:r>
                  <w:rPr>
                    <w:rFonts w:ascii="Cambria Math" w:hAnsi="Cambria Math"/>
                  </w:rPr>
                  <m:t>O</m:t>
                </m:r>
                <m:sSub>
                  <m:sSubPr>
                    <m:ctrlPr>
                      <w:rPr>
                        <w:rFonts w:ascii="Cambria Math" w:hAnsi="Cambria Math"/>
                      </w:rPr>
                    </m:ctrlPr>
                  </m:sSubPr>
                  <m:e>
                    <m:r>
                      <w:rPr>
                        <w:rFonts w:ascii="Cambria Math" w:hAnsi="Cambria Math"/>
                      </w:rPr>
                      <m:t>P</m:t>
                    </m:r>
                  </m:e>
                  <m:sub>
                    <m:r>
                      <w:rPr>
                        <w:rFonts w:ascii="Cambria Math" w:hAnsi="Cambria Math"/>
                      </w:rPr>
                      <m:t>it</m:t>
                    </m:r>
                  </m:sub>
                </m:sSub>
                <m:r>
                  <m:rPr>
                    <m:sty m:val="p"/>
                  </m:rPr>
                  <w:rPr>
                    <w:rFonts w:ascii="Cambria Math" w:hAnsi="Cambria Math"/>
                  </w:rPr>
                  <m:t>)=</m:t>
                </m:r>
                <m:sSub>
                  <m:sSubPr>
                    <m:ctrlPr>
                      <w:rPr>
                        <w:rFonts w:ascii="Cambria Math" w:hAnsi="Cambria Math"/>
                      </w:rPr>
                    </m:ctrlPr>
                  </m:sSubPr>
                  <m:e>
                    <m:r>
                      <w:rPr>
                        <w:rFonts w:ascii="Cambria Math" w:hAnsi="Cambria Math"/>
                      </w:rPr>
                      <m:t>π</m:t>
                    </m:r>
                  </m:e>
                  <m:sub>
                    <m:r>
                      <w:rPr>
                        <w:rFonts w:ascii="Cambria Math" w:hAnsi="Cambria Math"/>
                      </w:rPr>
                      <m:t>it</m:t>
                    </m:r>
                  </m:sub>
                </m:sSub>
                <m:r>
                  <w:rPr>
                    <w:rFonts w:ascii="Cambria Math" w:hAnsi="Cambria Math"/>
                  </w:rPr>
                  <m:t>  </m:t>
                </m:r>
                <m:r>
                  <w:rPr>
                    <w:rFonts w:ascii="Cambria Math" w:hAnsi="Cambria Math"/>
                  </w:rPr>
                  <m:t>a</m:t>
                </m:r>
                <m:r>
                  <w:rPr>
                    <w:rFonts w:ascii="Cambria Math" w:hAnsi="Cambria Math"/>
                  </w:rPr>
                  <m:t>nd</m:t>
                </m:r>
                <m:r>
                  <w:rPr>
                    <w:rFonts w:ascii="Cambria Math" w:hAnsi="Cambria Math"/>
                  </w:rPr>
                  <m:t>  </m:t>
                </m:r>
                <m:r>
                  <w:rPr>
                    <w:rFonts w:ascii="Cambria Math" w:hAnsi="Cambria Math"/>
                  </w:rPr>
                  <m:t>var</m:t>
                </m:r>
                <m:r>
                  <m:rPr>
                    <m:sty m:val="p"/>
                  </m:rPr>
                  <w:rPr>
                    <w:rFonts w:ascii="Cambria Math" w:hAnsi="Cambria Math"/>
                  </w:rPr>
                  <m:t>(</m:t>
                </m:r>
                <m:r>
                  <w:rPr>
                    <w:rFonts w:ascii="Cambria Math" w:hAnsi="Cambria Math"/>
                  </w:rPr>
                  <m:t>O</m:t>
                </m:r>
                <m:sSub>
                  <m:sSubPr>
                    <m:ctrlPr>
                      <w:rPr>
                        <w:rFonts w:ascii="Cambria Math" w:hAnsi="Cambria Math"/>
                      </w:rPr>
                    </m:ctrlPr>
                  </m:sSubPr>
                  <m:e>
                    <m:r>
                      <w:rPr>
                        <w:rFonts w:ascii="Cambria Math" w:hAnsi="Cambria Math"/>
                      </w:rPr>
                      <m:t>P</m:t>
                    </m:r>
                  </m:e>
                  <m:sub>
                    <m:r>
                      <w:rPr>
                        <w:rFonts w:ascii="Cambria Math" w:hAnsi="Cambria Math"/>
                      </w:rPr>
                      <m:t>it</m:t>
                    </m:r>
                  </m:sub>
                </m:sSub>
                <m:r>
                  <m:rPr>
                    <m:sty m:val="p"/>
                  </m:rPr>
                  <w:rPr>
                    <w:rFonts w:ascii="Cambria Math" w:hAnsi="Cambria Math"/>
                  </w:rPr>
                  <m:t>)=</m:t>
                </m:r>
                <m:sSub>
                  <m:sSubPr>
                    <m:ctrlPr>
                      <w:rPr>
                        <w:rFonts w:ascii="Cambria Math" w:hAnsi="Cambria Math"/>
                      </w:rPr>
                    </m:ctrlPr>
                  </m:sSubPr>
                  <m:e>
                    <m:r>
                      <w:rPr>
                        <w:rFonts w:ascii="Cambria Math" w:hAnsi="Cambria Math"/>
                      </w:rPr>
                      <m:t>π</m:t>
                    </m:r>
                  </m:e>
                  <m:sub>
                    <m:r>
                      <w:rPr>
                        <w:rFonts w:ascii="Cambria Math" w:hAnsi="Cambria Math"/>
                      </w:rPr>
                      <m:t>it</m:t>
                    </m:r>
                  </m:sub>
                </m:sSub>
                <m:r>
                  <m:rPr>
                    <m:sty m:val="p"/>
                  </m:rPr>
                  <w:rPr>
                    <w:rFonts w:ascii="Cambria Math" w:hAnsi="Cambria Math"/>
                  </w:rPr>
                  <m:t>×(</m:t>
                </m:r>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π</m:t>
                    </m:r>
                  </m:e>
                  <m:sub>
                    <m:r>
                      <w:rPr>
                        <w:rFonts w:ascii="Cambria Math" w:hAnsi="Cambria Math"/>
                      </w:rPr>
                      <m:t>it</m:t>
                    </m:r>
                  </m:sub>
                </m:sSub>
                <m:r>
                  <m:rPr>
                    <m:sty m:val="p"/>
                  </m:rPr>
                  <w:rPr>
                    <w:rFonts w:ascii="Cambria Math" w:hAnsi="Cambria Math"/>
                  </w:rPr>
                  <m:t>)</m:t>
                </m:r>
              </m:e>
            </m:mr>
          </m:m>
        </m:oMath>
      </m:oMathPara>
    </w:p>
    <w:p w:rsidR="0080583B" w:rsidRDefault="002910EF">
      <w:pPr>
        <w:pStyle w:val="FirstParagraph"/>
      </w:pPr>
      <m:oMathPara>
        <m:oMathParaPr>
          <m:jc m:val="center"/>
        </m:oMathParaPr>
        <m:oMath>
          <m:r>
            <w:rPr>
              <w:rFonts w:ascii="Cambria Math" w:hAnsi="Cambria Math"/>
            </w:rPr>
            <m:t>logit</m:t>
          </m:r>
          <m:r>
            <m:rPr>
              <m:sty m:val="p"/>
            </m:rPr>
            <w:rPr>
              <w:rFonts w:ascii="Cambria Math" w:hAnsi="Cambria Math"/>
            </w:rPr>
            <m:t>(</m:t>
          </m:r>
          <m:sSub>
            <m:sSubPr>
              <m:ctrlPr>
                <w:rPr>
                  <w:rFonts w:ascii="Cambria Math" w:hAnsi="Cambria Math"/>
                </w:rPr>
              </m:ctrlPr>
            </m:sSubPr>
            <m:e>
              <m:r>
                <w:rPr>
                  <w:rFonts w:ascii="Cambria Math" w:hAnsi="Cambria Math"/>
                </w:rPr>
                <m:t>π</m:t>
              </m:r>
            </m:e>
            <m:sub>
              <m:r>
                <w:rPr>
                  <w:rFonts w:ascii="Cambria Math" w:hAnsi="Cambria Math"/>
                </w:rPr>
                <m:t>it</m:t>
              </m:r>
            </m:sub>
          </m:sSub>
          <m:r>
            <m:rPr>
              <m:sty m:val="p"/>
            </m:rPr>
            <w:rPr>
              <w:rFonts w:ascii="Cambria Math" w:hAnsi="Cambria Math"/>
            </w:rPr>
            <m:t>)=</m:t>
          </m:r>
          <m:r>
            <w:rPr>
              <w:rFonts w:ascii="Cambria Math" w:hAnsi="Cambria Math"/>
            </w:rPr>
            <m:t>α</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Co</m:t>
          </m:r>
          <m:sSub>
            <m:sSubPr>
              <m:ctrlPr>
                <w:rPr>
                  <w:rFonts w:ascii="Cambria Math" w:hAnsi="Cambria Math"/>
                </w:rPr>
              </m:ctrlPr>
            </m:sSubPr>
            <m:e>
              <m:r>
                <w:rPr>
                  <w:rFonts w:ascii="Cambria Math" w:hAnsi="Cambria Math"/>
                </w:rPr>
                <m:t>v</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it</m:t>
              </m:r>
            </m:sub>
          </m:sSub>
        </m:oMath>
      </m:oMathPara>
    </w:p>
    <w:p w:rsidR="0080583B" w:rsidRDefault="002910EF">
      <w:pPr>
        <w:pStyle w:val="FirstParagraph"/>
      </w:pPr>
      <m:oMathPara>
        <m:oMathParaPr>
          <m:jc m:val="center"/>
        </m:oMathParaPr>
        <m:oMath>
          <m:sSub>
            <m:sSubPr>
              <m:ctrlPr>
                <w:rPr>
                  <w:rFonts w:ascii="Cambria Math" w:hAnsi="Cambria Math"/>
                </w:rPr>
              </m:ctrlPr>
            </m:sSubPr>
            <m:e>
              <m:r>
                <w:rPr>
                  <w:rFonts w:ascii="Cambria Math" w:hAnsi="Cambria Math"/>
                </w:rPr>
                <m:t>u</m:t>
              </m:r>
            </m:e>
            <m:sub>
              <m:r>
                <w:rPr>
                  <w:rFonts w:ascii="Cambria Math" w:hAnsi="Cambria Math"/>
                </w:rPr>
                <m:t>it</m:t>
              </m:r>
            </m:sub>
          </m:sSub>
          <m:r>
            <m:rPr>
              <m:sty m:val="p"/>
            </m:rPr>
            <w:rPr>
              <w:rFonts w:ascii="Cambria Math" w:hAnsi="Cambria Math"/>
            </w:rPr>
            <m:t>∼</m:t>
          </m:r>
          <m:r>
            <w:rPr>
              <w:rFonts w:ascii="Cambria Math" w:hAnsi="Cambria Math"/>
            </w:rPr>
            <m:t>GMRF</m:t>
          </m:r>
          <m:r>
            <m:rPr>
              <m:sty m:val="p"/>
            </m:rPr>
            <w:rPr>
              <w:rFonts w:ascii="Cambria Math" w:hAnsi="Cambria Math"/>
            </w:rPr>
            <m:t>(</m:t>
          </m:r>
          <m:r>
            <w:rPr>
              <w:rFonts w:ascii="Cambria Math" w:hAnsi="Cambria Math"/>
            </w:rPr>
            <m:t>0</m:t>
          </m:r>
          <m:r>
            <m:rPr>
              <m:sty m:val="p"/>
            </m:rPr>
            <w:rPr>
              <w:rFonts w:ascii="Cambria Math" w:hAnsi="Cambria Math"/>
            </w:rPr>
            <m:t>,</m:t>
          </m:r>
          <m:r>
            <w:rPr>
              <w:rFonts w:ascii="Cambria Math" w:hAnsi="Cambria Math"/>
            </w:rPr>
            <m:t>Σ</m:t>
          </m:r>
          <m:r>
            <m:rPr>
              <m:sty m:val="p"/>
            </m:rPr>
            <w:rPr>
              <w:rFonts w:ascii="Cambria Math" w:hAnsi="Cambria Math"/>
            </w:rPr>
            <m:t>)</m:t>
          </m:r>
        </m:oMath>
      </m:oMathPara>
    </w:p>
    <w:p w:rsidR="0080583B" w:rsidRDefault="002910EF">
      <w:pPr>
        <w:pStyle w:val="FirstParagraph"/>
      </w:pPr>
      <w:r>
        <w:t xml:space="preserve">Each variable retained after the VIF analysis, along with each of the 4 PCA components, was added to the model individually. All continuous covariates were modelled using the INLA random walk </w:t>
      </w:r>
      <m:oMath>
        <m:r>
          <m:rPr>
            <m:sty m:val="p"/>
          </m:rPr>
          <w:rPr>
            <w:rFonts w:ascii="Cambria Math" w:hAnsi="Cambria Math"/>
          </w:rPr>
          <m:t>'</m:t>
        </m:r>
        <m:r>
          <w:rPr>
            <w:rFonts w:ascii="Cambria Math" w:hAnsi="Cambria Math"/>
          </w:rPr>
          <m:t>rw</m:t>
        </m:r>
        <m:r>
          <w:rPr>
            <w:rFonts w:ascii="Cambria Math" w:hAnsi="Cambria Math"/>
          </w:rPr>
          <m:t>2</m:t>
        </m:r>
        <m:r>
          <m:rPr>
            <m:sty m:val="p"/>
          </m:rPr>
          <w:rPr>
            <w:rFonts w:ascii="Cambria Math" w:hAnsi="Cambria Math"/>
          </w:rPr>
          <m:t>'</m:t>
        </m:r>
      </m:oMath>
      <w:r>
        <w:t xml:space="preserve"> smoother, which allows for non-linear relationships betw</w:t>
      </w:r>
      <w:r>
        <w:t>een the response and each covariate (</w:t>
      </w:r>
      <w:hyperlink w:anchor="ref-zuurBeginnerGuideSpatial2017">
        <w:r>
          <w:rPr>
            <w:rStyle w:val="Hyperlink"/>
          </w:rPr>
          <w:t>Zuur et al. 2017</w:t>
        </w:r>
      </w:hyperlink>
      <w:r>
        <w:t xml:space="preserve">; </w:t>
      </w:r>
      <w:hyperlink w:anchor="ref-zuurBeginnerGuideSpatial2018">
        <w:r>
          <w:rPr>
            <w:rStyle w:val="Hyperlink"/>
          </w:rPr>
          <w:t>Zuur and Leno 2018</w:t>
        </w:r>
      </w:hyperlink>
      <w:r>
        <w:t xml:space="preserve">). The continuous covariates were centred at their mean value and scaled </w:t>
      </w:r>
      <w:r>
        <w:t xml:space="preserve">by their standard deviation. Covariates that were highly skewed (e.g. depth) were log transformed before being standardized. Due to low sample size of several of the levels the Sediment type (Sed; data obtained from </w:t>
      </w:r>
      <w:hyperlink w:anchor="ref-mcmullen2014GISData2014">
        <w:r>
          <w:rPr>
            <w:rStyle w:val="Hyperlink"/>
          </w:rPr>
          <w:t>McMullen et al. 2014</w:t>
        </w:r>
      </w:hyperlink>
      <w:r>
        <w:t xml:space="preserve">) these infrequent categories were amalgamated into </w:t>
      </w:r>
      <w:r>
        <w:lastRenderedPageBreak/>
        <w:t xml:space="preserve">one factor level that was represented by an </w:t>
      </w:r>
      <w:r>
        <w:rPr>
          <w:i/>
          <w:iCs/>
        </w:rPr>
        <w:t>Other</w:t>
      </w:r>
      <w:r>
        <w:t xml:space="preserve"> term, resulting in three levels for the Sediment covariate (</w:t>
      </w:r>
      <w:r>
        <w:rPr>
          <w:i/>
          <w:iCs/>
        </w:rPr>
        <w:t>Other</w:t>
      </w:r>
      <w:r>
        <w:t xml:space="preserve">, </w:t>
      </w:r>
      <w:r>
        <w:rPr>
          <w:i/>
          <w:iCs/>
        </w:rPr>
        <w:t>Sand</w:t>
      </w:r>
      <w:r>
        <w:t xml:space="preserve">, and </w:t>
      </w:r>
      <w:r>
        <w:rPr>
          <w:i/>
          <w:iCs/>
        </w:rPr>
        <w:t>Gravel-Sand</w:t>
      </w:r>
      <w:r>
        <w:t>). Across the three surveys approxim</w:t>
      </w:r>
      <w:r>
        <w:t xml:space="preserve">ately 93% of the survey tows were on the </w:t>
      </w:r>
      <w:r>
        <w:rPr>
          <w:i/>
          <w:iCs/>
        </w:rPr>
        <w:t>Sand</w:t>
      </w:r>
      <w:r>
        <w:t xml:space="preserve"> or </w:t>
      </w:r>
      <w:r>
        <w:rPr>
          <w:i/>
          <w:iCs/>
        </w:rPr>
        <w:t>Gravel-Sand</w:t>
      </w:r>
      <w:r>
        <w:t xml:space="preserve"> bottoms and 7% were in the amalgamated </w:t>
      </w:r>
      <w:r>
        <w:rPr>
          <w:i/>
          <w:iCs/>
        </w:rPr>
        <w:t>Other</w:t>
      </w:r>
      <w:r>
        <w:t xml:space="preserve"> category.</w:t>
      </w:r>
    </w:p>
    <w:p w:rsidR="0080583B" w:rsidRDefault="002910EF">
      <w:pPr>
        <w:pStyle w:val="BodyText"/>
      </w:pPr>
      <w:r>
        <w:t>Four spatial random field (</w:t>
      </w:r>
      <m:oMath>
        <m:sSub>
          <m:sSubPr>
            <m:ctrlPr>
              <w:rPr>
                <w:rFonts w:ascii="Cambria Math" w:hAnsi="Cambria Math"/>
              </w:rPr>
            </m:ctrlPr>
          </m:sSubPr>
          <m:e>
            <m:r>
              <w:rPr>
                <w:rFonts w:ascii="Cambria Math" w:hAnsi="Cambria Math"/>
              </w:rPr>
              <m:t>u</m:t>
            </m:r>
          </m:e>
          <m:sub>
            <m:r>
              <w:rPr>
                <w:rFonts w:ascii="Cambria Math" w:hAnsi="Cambria Math"/>
              </w:rPr>
              <m:t>it</m:t>
            </m:r>
          </m:sub>
        </m:sSub>
      </m:oMath>
      <w:r>
        <w:t>) models with differing temporal components were compared for each stock and each survey, these were a) a s</w:t>
      </w:r>
      <w:r>
        <w:t>tatic random field (t = 1), b) independent random fields every 10 years, c) independent random fields every 5 years, and d) independent random fields every 3 years. The independent random fields (options b through d) were set retroactively from the most re</w:t>
      </w:r>
      <w:r>
        <w:t xml:space="preserve">cent year resulting in a shorter duration random field at the beginning of the time series whenever the field time period was not a multiple of the whole time series length (e.g. the 10 year random fields for the </w:t>
      </w:r>
      <w:r>
        <w:rPr>
          <w:i/>
          <w:iCs/>
        </w:rPr>
        <w:t>Spring</w:t>
      </w:r>
      <w:r>
        <w:t xml:space="preserve"> models were 2007-2016, 1997-2006, 19</w:t>
      </w:r>
      <w:r>
        <w:t>87-1996, 1977-1986, and 1972-1976). Models with the same covariate structure but different random fields were compared using WAIC, CPO, and DIC; the results for each of these metrics were similar and only the WAIC results are discussed further. In all case</w:t>
      </w:r>
      <w:r>
        <w:t>s, the static random field was an inferior model when compared to models with multiple random fields and the results discussed here are largely limited to the comparison of the 10/5/3 year random fields. For brevity we refer to the results from each random</w:t>
      </w:r>
      <w:r>
        <w:t xml:space="preserve"> field as an </w:t>
      </w:r>
      <w:r>
        <w:rPr>
          <w:i/>
          <w:iCs/>
        </w:rPr>
        <w:t>era</w:t>
      </w:r>
      <w:r>
        <w:t xml:space="preserve"> (e.g. the core area estimated when using the 2012-2016 random field is the core area during the 2012-2016 era).</w:t>
      </w:r>
    </w:p>
    <w:p w:rsidR="0080583B" w:rsidRDefault="002910EF">
      <w:pPr>
        <w:pStyle w:val="Heading3"/>
      </w:pPr>
      <w:bookmarkStart w:id="7" w:name="model-selection-overview"/>
      <w:r>
        <w:t>Model Selection Overview</w:t>
      </w:r>
    </w:p>
    <w:p w:rsidR="0080583B" w:rsidRDefault="002910EF">
      <w:pPr>
        <w:pStyle w:val="FirstParagraph"/>
      </w:pPr>
      <w:r>
        <w:t>Models were tested using WAIC, CPO, and DIC; the results were similar for each of these diagnostics; o</w:t>
      </w:r>
      <w:r>
        <w:t xml:space="preserve">nly WAIC is discussed further. The model selection results are available in the supplement and the complete results can be found in the Model Output and Model Diagnostics sections of the interactive </w:t>
      </w:r>
      <w:hyperlink r:id="rId8">
        <w:r>
          <w:rPr>
            <w:rStyle w:val="Hyperlink"/>
          </w:rPr>
          <w:t>dashboard</w:t>
        </w:r>
      </w:hyperlink>
      <w:r>
        <w:t>.</w:t>
      </w:r>
    </w:p>
    <w:p w:rsidR="0080583B" w:rsidRDefault="002910EF">
      <w:pPr>
        <w:pStyle w:val="BodyText"/>
      </w:pPr>
      <w:r>
        <w:t>Stage 1 model selection for the different covariate models was undertaken using the static random field by adding individual covariates. For this first analysis, covariates were identified if WAIC scores were more than 10 units smaller than the intercept m</w:t>
      </w:r>
      <w:r>
        <w:t xml:space="preserve">odel (e.g. SST for Atlantic Cod in the </w:t>
      </w:r>
      <w:r>
        <w:rPr>
          <w:i/>
          <w:iCs/>
        </w:rPr>
        <w:t>Winter</w:t>
      </w:r>
      <w:r>
        <w:t xml:space="preserve">; Figure 16) or were found to be low relative to the suite of models tested in multiple seasons (e.g. Dep for Atlantic Cod in the </w:t>
      </w:r>
      <w:r>
        <w:rPr>
          <w:i/>
          <w:iCs/>
        </w:rPr>
        <w:t>Spring</w:t>
      </w:r>
      <w:r>
        <w:t xml:space="preserve"> and </w:t>
      </w:r>
      <w:r>
        <w:rPr>
          <w:i/>
          <w:iCs/>
        </w:rPr>
        <w:t>Fall</w:t>
      </w:r>
      <w:r>
        <w:t>; Figure 16). For Atlantic Cod, this analysis identified depth (De</w:t>
      </w:r>
      <w:r>
        <w:t xml:space="preserve">p) and the average sea surface temperature between 1997 and 2008 (SST) as having low WAIC scores in 2 of the 3 surveys (data obtained from </w:t>
      </w:r>
      <w:hyperlink w:anchor="X20eebb7ac45ec5aee52640a9653d539f6a5eeab">
        <w:r>
          <w:rPr>
            <w:rStyle w:val="Hyperlink"/>
          </w:rPr>
          <w:t>Greenlaw et al. 2010</w:t>
        </w:r>
      </w:hyperlink>
      <w:r>
        <w:t>). For Yellowtail Flounder, Dep wa</w:t>
      </w:r>
      <w:r>
        <w:t xml:space="preserve">s identified as an informative covariate in all 3 surveys. In addition, Sed, and the average chlorophyll concentration between 1997 and 2008 (Chl) were retained based on their low WAIC scores in the </w:t>
      </w:r>
      <w:r>
        <w:rPr>
          <w:i/>
          <w:iCs/>
        </w:rPr>
        <w:t>Fall</w:t>
      </w:r>
      <w:r>
        <w:t xml:space="preserve"> survey. Given the low number of informative covariat</w:t>
      </w:r>
      <w:r>
        <w:t>es Dep, SST, and Chl were all retained for both species in Stage 2 of model selection. In Stage 2 of model selection, the variables were added pairwise (e.g. for Atlantic Cod, the models included SST + Dep, Dep + Chl, and SST + Chl) for both stocks and aga</w:t>
      </w:r>
      <w:r>
        <w:t xml:space="preserve">in compared using WAIC using the 10-year random fields. In Stage 3 of covariate model selection, models with 3 covariates were tested based on the Stage 2 results. For Atlantic Cod, a three term model that included additive terms for SST, Dep, and Chl was </w:t>
      </w:r>
      <w:r>
        <w:t xml:space="preserve">the most complex model tested. For Yellowtail Flounder, the most complex model included SST, Dep, and Sed. In Stage 3, additional </w:t>
      </w:r>
      <w:r>
        <w:lastRenderedPageBreak/>
        <w:t xml:space="preserve">covariates were retained if the WAIC for that model resulted in an improvement of the WAIC of more than 2, as compared to the </w:t>
      </w:r>
      <w:r>
        <w:t>lowest WAIC for the more parsimonious model.</w:t>
      </w:r>
    </w:p>
    <w:p w:rsidR="0080583B" w:rsidRDefault="002910EF">
      <w:pPr>
        <w:pStyle w:val="BodyText"/>
      </w:pPr>
      <w:r>
        <w:t xml:space="preserve">Model selection on the temporal random fields was done while holding the environmental covariate terms the same. Initial model selection for the random fields (10 and 5-year fields) was done using the Dep + SST </w:t>
      </w:r>
      <w:r>
        <w:t>model for both species in all seasons given the general support for the Dep + SST model identified in Stage 2 of covariate model selection. For both species this indicated that the 10-year field was inferior to the more flexible 5-year random fields. For A</w:t>
      </w:r>
      <w:r>
        <w:t>tlantic Cod, the 3 and 5-year random fields were compared using the Dep + SST (which was the covariate model with the lowest WAIC). For Yellowtail Flounder, the final step of the random field model selection used the Dep + SST + Sed model (which was the co</w:t>
      </w:r>
      <w:r>
        <w:t xml:space="preserve">variate model with the lowest WAIC) for the 3-year and 5-year random field comparison. The key model selection results are provided in the supplement and the full results can be found in the interactive </w:t>
      </w:r>
      <w:hyperlink r:id="rId9">
        <w:r>
          <w:rPr>
            <w:rStyle w:val="Hyperlink"/>
          </w:rPr>
          <w:t>dashboard</w:t>
        </w:r>
      </w:hyperlink>
      <w:r>
        <w:t xml:space="preserve">. For Atlantic Cod the </w:t>
      </w:r>
      <w:r>
        <w:rPr>
          <w:i/>
          <w:iCs/>
        </w:rPr>
        <w:t>final model</w:t>
      </w:r>
      <w:r>
        <w:t xml:space="preserve"> chosen included additive </w:t>
      </w:r>
      <w:r>
        <w:rPr>
          <w:i/>
          <w:iCs/>
        </w:rPr>
        <w:t>Dep</w:t>
      </w:r>
      <w:r>
        <w:t xml:space="preserve"> and </w:t>
      </w:r>
      <w:r>
        <w:rPr>
          <w:i/>
          <w:iCs/>
        </w:rPr>
        <w:t>SST</w:t>
      </w:r>
      <w:r>
        <w:t xml:space="preserve"> covariates and used a random field which changed every 5 years. For Yellowtail Flounder, the </w:t>
      </w:r>
      <w:r>
        <w:rPr>
          <w:i/>
          <w:iCs/>
        </w:rPr>
        <w:t>final model</w:t>
      </w:r>
      <w:r>
        <w:t xml:space="preserve"> chosen included additive </w:t>
      </w:r>
      <w:r>
        <w:rPr>
          <w:i/>
          <w:iCs/>
        </w:rPr>
        <w:t>Dep</w:t>
      </w:r>
      <w:r>
        <w:t xml:space="preserve">, SST, and </w:t>
      </w:r>
      <w:r>
        <w:rPr>
          <w:i/>
          <w:iCs/>
        </w:rPr>
        <w:t>Sed</w:t>
      </w:r>
      <w:r>
        <w:t xml:space="preserve"> covariates, the </w:t>
      </w:r>
      <w:r>
        <w:rPr>
          <w:i/>
          <w:iCs/>
        </w:rPr>
        <w:t>Winter</w:t>
      </w:r>
      <w:r>
        <w:t xml:space="preserve"> and </w:t>
      </w:r>
      <w:r>
        <w:rPr>
          <w:i/>
          <w:iCs/>
        </w:rPr>
        <w:t>Spring</w:t>
      </w:r>
      <w:r>
        <w:t xml:space="preserve"> models used a 3-year random field, while the </w:t>
      </w:r>
      <w:r>
        <w:rPr>
          <w:i/>
          <w:iCs/>
        </w:rPr>
        <w:t>Fall</w:t>
      </w:r>
      <w:r>
        <w:t xml:space="preserve"> model used a 5-year random field.</w:t>
      </w:r>
    </w:p>
    <w:p w:rsidR="0080583B" w:rsidRDefault="002910EF">
      <w:pPr>
        <w:pStyle w:val="Heading2"/>
      </w:pPr>
      <w:bookmarkStart w:id="8" w:name="model-prediction"/>
      <w:bookmarkEnd w:id="6"/>
      <w:bookmarkEnd w:id="7"/>
      <w:r>
        <w:t>Model Prediction</w:t>
      </w:r>
    </w:p>
    <w:p w:rsidR="0080583B" w:rsidRDefault="002910EF">
      <w:pPr>
        <w:pStyle w:val="FirstParagraph"/>
      </w:pPr>
      <w:r>
        <w:t>A predictive grid on GB was developed with cells having an area of approximately 9.1 km</w:t>
      </w:r>
      <w:r>
        <w:rPr>
          <w:vertAlign w:val="superscript"/>
        </w:rPr>
        <w:t>2</w:t>
      </w:r>
      <w:r>
        <w:t xml:space="preserve"> (See Supplemental Figure 13)</w:t>
      </w:r>
      <w:r>
        <w:t xml:space="preserve">. Each cell was intersected with average SST, Dep, and Sed fields (see Supplemental Figure 14 for the distribution of these environmental covariates) and the OP was estimated for each grid cell in each era for Atlantic Cod and Yellowtail Flounder in the </w:t>
      </w:r>
      <w:r>
        <w:rPr>
          <w:i/>
          <w:iCs/>
        </w:rPr>
        <w:t>Wi</w:t>
      </w:r>
      <w:r>
        <w:rPr>
          <w:i/>
          <w:iCs/>
        </w:rPr>
        <w:t>nter</w:t>
      </w:r>
      <w:r>
        <w:t xml:space="preserve">, </w:t>
      </w:r>
      <w:r>
        <w:rPr>
          <w:i/>
          <w:iCs/>
        </w:rPr>
        <w:t>Spring</w:t>
      </w:r>
      <w:r>
        <w:t xml:space="preserve">, and </w:t>
      </w:r>
      <w:r>
        <w:rPr>
          <w:i/>
          <w:iCs/>
        </w:rPr>
        <w:t>Fall</w:t>
      </w:r>
      <w:r>
        <w:t xml:space="preserve"> using the </w:t>
      </w:r>
      <w:r>
        <w:rPr>
          <w:i/>
          <w:iCs/>
        </w:rPr>
        <w:t>final model</w:t>
      </w:r>
      <w:r>
        <w:t xml:space="preserve"> for each stock and season respectively. The results using the predictive grid were used to calculate the size of the core area (OP </w:t>
      </w:r>
      <m:oMath>
        <m:r>
          <m:rPr>
            <m:sty m:val="p"/>
          </m:rPr>
          <w:rPr>
            <w:rFonts w:ascii="Cambria Math" w:hAnsi="Cambria Math"/>
          </w:rPr>
          <m:t>≥</m:t>
        </m:r>
      </m:oMath>
      <w:r>
        <w:t xml:space="preserve"> 0.75) for each era.</w:t>
      </w:r>
    </w:p>
    <w:p w:rsidR="0080583B" w:rsidRDefault="002910EF">
      <w:pPr>
        <w:pStyle w:val="BodyText"/>
      </w:pPr>
      <w:r>
        <w:t xml:space="preserve">The predictive grid was also used to calculate the centre </w:t>
      </w:r>
      <w:r>
        <w:t>of gravity (COG) of the core area for each era. The COG was calculated in the UTM coordinate system (EPSG Zone: 32619) using the easting (</w:t>
      </w:r>
      <w:r>
        <w:rPr>
          <w:i/>
          <w:iCs/>
        </w:rPr>
        <w:t>X</w:t>
      </w:r>
      <w:r>
        <w:t>) and northing (</w:t>
      </w:r>
      <w:r>
        <w:rPr>
          <w:i/>
          <w:iCs/>
        </w:rPr>
        <w:t>Y</w:t>
      </w:r>
      <w:r>
        <w:t>) for each cell identified as core area (</w:t>
      </w:r>
      <w:r>
        <w:rPr>
          <w:i/>
          <w:iCs/>
        </w:rPr>
        <w:t>i</w:t>
      </w:r>
      <w:r>
        <w:t>) in each era (</w:t>
      </w:r>
      <w:r>
        <w:rPr>
          <w:i/>
          <w:iCs/>
        </w:rPr>
        <w:t>t</w:t>
      </w:r>
      <w:r>
        <w:t xml:space="preserve">) and weighted by the OP at each of these </w:t>
      </w:r>
      <w:r>
        <w:t>locations.</w:t>
      </w:r>
    </w:p>
    <w:p w:rsidR="0080583B" w:rsidRDefault="002910EF">
      <w:pPr>
        <w:pStyle w:val="BodyText"/>
      </w:pPr>
      <w:r>
        <w:t>$$</w:t>
      </w:r>
    </w:p>
    <w:p w:rsidR="0080583B" w:rsidRDefault="002910EF">
      <w:pPr>
        <w:pStyle w:val="BodyText"/>
      </w:pPr>
      <m:oMathPara>
        <m:oMathParaPr>
          <m:jc m:val="center"/>
        </m:oMathParaPr>
        <m:oMath>
          <m:m>
            <m:mPr>
              <m:plcHide m:val="1"/>
              <m:mcs>
                <m:mc>
                  <m:mcPr>
                    <m:count m:val="1"/>
                    <m:mcJc m:val="right"/>
                  </m:mcPr>
                </m:mc>
              </m:mcs>
              <m:ctrlPr>
                <w:rPr>
                  <w:rFonts w:ascii="Cambria Math" w:hAnsi="Cambria Math"/>
                </w:rPr>
              </m:ctrlPr>
            </m:mPr>
            <m:mr>
              <m:e>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cog</m:t>
                    </m:r>
                  </m:sup>
                </m:sSubSup>
                <m:r>
                  <m:rPr>
                    <m:sty m:val="p"/>
                  </m:rPr>
                  <w:rPr>
                    <w:rFonts w:ascii="Cambria Math" w:hAnsi="Cambria Math"/>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n</m:t>
                        </m:r>
                      </m:sup>
                      <m:e>
                        <m:r>
                          <m:rPr>
                            <m:sty m:val="p"/>
                          </m:rPr>
                          <w:rPr>
                            <w:rFonts w:ascii="Cambria Math" w:hAnsi="Cambria Math"/>
                          </w:rPr>
                          <m:t>(</m:t>
                        </m:r>
                      </m:e>
                    </m:nary>
                    <m:sSub>
                      <m:sSubPr>
                        <m:ctrlPr>
                          <w:rPr>
                            <w:rFonts w:ascii="Cambria Math" w:hAnsi="Cambria Math"/>
                          </w:rPr>
                        </m:ctrlPr>
                      </m:sSubPr>
                      <m:e>
                        <m:r>
                          <w:rPr>
                            <w:rFonts w:ascii="Cambria Math" w:hAnsi="Cambria Math"/>
                          </w:rPr>
                          <m:t>Y</m:t>
                        </m:r>
                      </m:e>
                      <m:sub>
                        <m:r>
                          <w:rPr>
                            <w:rFonts w:ascii="Cambria Math" w:hAnsi="Cambria Math"/>
                          </w:rPr>
                          <m:t>i</m:t>
                        </m:r>
                        <m:r>
                          <m:rPr>
                            <m:sty m:val="p"/>
                          </m:rPr>
                          <w:rPr>
                            <w:rFonts w:ascii="Cambria Math" w:hAnsi="Cambria Math"/>
                          </w:rPr>
                          <m:t>,</m:t>
                        </m:r>
                        <m:r>
                          <w:rPr>
                            <w:rFonts w:ascii="Cambria Math" w:hAnsi="Cambria Math"/>
                          </w:rPr>
                          <m:t>t</m:t>
                        </m:r>
                      </m:sub>
                    </m:sSub>
                    <m:r>
                      <m:rPr>
                        <m:sty m:val="p"/>
                      </m:rPr>
                      <w:rPr>
                        <w:rFonts w:ascii="Cambria Math" w:hAnsi="Cambria Math"/>
                      </w:rPr>
                      <m:t>×</m:t>
                    </m:r>
                    <m:r>
                      <w:rPr>
                        <w:rFonts w:ascii="Cambria Math" w:hAnsi="Cambria Math"/>
                      </w:rPr>
                      <m:t>O</m:t>
                    </m:r>
                    <m:sSub>
                      <m:sSubPr>
                        <m:ctrlPr>
                          <w:rPr>
                            <w:rFonts w:ascii="Cambria Math" w:hAnsi="Cambria Math"/>
                          </w:rPr>
                        </m:ctrlPr>
                      </m:sSubPr>
                      <m:e>
                        <m:r>
                          <w:rPr>
                            <w:rFonts w:ascii="Cambria Math" w:hAnsi="Cambria Math"/>
                          </w:rPr>
                          <m:t>P</m:t>
                        </m:r>
                      </m:e>
                      <m:sub>
                        <m:r>
                          <w:rPr>
                            <w:rFonts w:ascii="Cambria Math" w:hAnsi="Cambria Math"/>
                          </w:rPr>
                          <m:t>i</m:t>
                        </m:r>
                        <m:r>
                          <m:rPr>
                            <m:sty m:val="p"/>
                          </m:rPr>
                          <w:rPr>
                            <w:rFonts w:ascii="Cambria Math" w:hAnsi="Cambria Math"/>
                          </w:rPr>
                          <m:t>,</m:t>
                        </m:r>
                        <m:r>
                          <w:rPr>
                            <w:rFonts w:ascii="Cambria Math" w:hAnsi="Cambria Math"/>
                          </w:rPr>
                          <m:t>t</m:t>
                        </m:r>
                      </m:sub>
                    </m:sSub>
                    <m:r>
                      <m:rPr>
                        <m:sty m:val="p"/>
                      </m:rPr>
                      <w:rPr>
                        <w:rFonts w:ascii="Cambria Math" w:hAnsi="Cambria Math"/>
                      </w:rPr>
                      <m:t>)</m:t>
                    </m:r>
                  </m:num>
                  <m:den>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n</m:t>
                        </m:r>
                      </m:sup>
                      <m:e>
                        <m:r>
                          <w:rPr>
                            <w:rFonts w:ascii="Cambria Math" w:hAnsi="Cambria Math"/>
                          </w:rPr>
                          <m:t>O</m:t>
                        </m:r>
                      </m:e>
                    </m:nary>
                    <m:sSub>
                      <m:sSubPr>
                        <m:ctrlPr>
                          <w:rPr>
                            <w:rFonts w:ascii="Cambria Math" w:hAnsi="Cambria Math"/>
                          </w:rPr>
                        </m:ctrlPr>
                      </m:sSubPr>
                      <m:e>
                        <m:r>
                          <w:rPr>
                            <w:rFonts w:ascii="Cambria Math" w:hAnsi="Cambria Math"/>
                          </w:rPr>
                          <m:t>P</m:t>
                        </m:r>
                      </m:e>
                      <m:sub>
                        <m:r>
                          <w:rPr>
                            <w:rFonts w:ascii="Cambria Math" w:hAnsi="Cambria Math"/>
                          </w:rPr>
                          <m:t>i</m:t>
                        </m:r>
                        <m:r>
                          <m:rPr>
                            <m:sty m:val="p"/>
                          </m:rPr>
                          <w:rPr>
                            <w:rFonts w:ascii="Cambria Math" w:hAnsi="Cambria Math"/>
                          </w:rPr>
                          <m:t>,</m:t>
                        </m:r>
                        <m:r>
                          <w:rPr>
                            <w:rFonts w:ascii="Cambria Math" w:hAnsi="Cambria Math"/>
                          </w:rPr>
                          <m:t>t</m:t>
                        </m:r>
                      </m:sub>
                    </m:sSub>
                  </m:den>
                </m:f>
              </m:e>
            </m:mr>
          </m:m>
        </m:oMath>
      </m:oMathPara>
    </w:p>
    <w:p w:rsidR="0080583B" w:rsidRDefault="002910EF">
      <w:pPr>
        <w:pStyle w:val="FirstParagraph"/>
      </w:pPr>
      <w:r>
        <w:t>The standard deviation around the mean COG in the X and Y direction was calculated as:</w:t>
      </w:r>
    </w:p>
    <w:p w:rsidR="0080583B" w:rsidRDefault="002910EF">
      <w:pPr>
        <w:pStyle w:val="BodyText"/>
      </w:pPr>
      <m:oMathPara>
        <m:oMathParaPr>
          <m:jc m:val="center"/>
        </m:oMathParaPr>
        <m:oMath>
          <m:m>
            <m:mPr>
              <m:plcHide m:val="1"/>
              <m:mcs>
                <m:mc>
                  <m:mcPr>
                    <m:count m:val="1"/>
                    <m:mcJc m:val="right"/>
                  </m:mcPr>
                </m:mc>
              </m:mcs>
              <m:ctrlPr>
                <w:rPr>
                  <w:rFonts w:ascii="Cambria Math" w:hAnsi="Cambria Math"/>
                </w:rPr>
              </m:ctrlPr>
            </m:mPr>
            <m:mr>
              <m:e>
                <m:sSubSup>
                  <m:sSubSupPr>
                    <m:ctrlPr>
                      <w:rPr>
                        <w:rFonts w:ascii="Cambria Math" w:hAnsi="Cambria Math"/>
                      </w:rPr>
                    </m:ctrlPr>
                  </m:sSubSupPr>
                  <m:e>
                    <m:r>
                      <w:rPr>
                        <w:rFonts w:ascii="Cambria Math" w:hAnsi="Cambria Math"/>
                      </w:rPr>
                      <m:t>σ</m:t>
                    </m:r>
                  </m:e>
                  <m:sub>
                    <m:r>
                      <w:rPr>
                        <w:rFonts w:ascii="Cambria Math" w:hAnsi="Cambria Math"/>
                      </w:rPr>
                      <m:t>cog</m:t>
                    </m:r>
                    <m:r>
                      <m:rPr>
                        <m:sty m:val="p"/>
                      </m:rPr>
                      <w:rPr>
                        <w:rFonts w:ascii="Cambria Math" w:hAnsi="Cambria Math"/>
                      </w:rPr>
                      <m:t>,</m:t>
                    </m:r>
                    <m:r>
                      <w:rPr>
                        <w:rFonts w:ascii="Cambria Math" w:hAnsi="Cambria Math"/>
                      </w:rPr>
                      <m:t>t</m:t>
                    </m:r>
                  </m:sub>
                  <m:sup>
                    <m:r>
                      <w:rPr>
                        <w:rFonts w:ascii="Cambria Math" w:hAnsi="Cambria Math"/>
                      </w:rPr>
                      <m:t>x</m:t>
                    </m:r>
                  </m:sup>
                </m:sSubSup>
                <m:r>
                  <m:rPr>
                    <m:sty m:val="p"/>
                  </m:rPr>
                  <w:rPr>
                    <w:rFonts w:ascii="Cambria Math" w:hAnsi="Cambria Math"/>
                  </w:rPr>
                  <m:t>=</m:t>
                </m:r>
                <m:rad>
                  <m:radPr>
                    <m:degHide m:val="1"/>
                    <m:ctrlPr>
                      <w:rPr>
                        <w:rFonts w:ascii="Cambria Math" w:hAnsi="Cambria Math"/>
                      </w:rPr>
                    </m:ctrlPr>
                  </m:radPr>
                  <m:deg/>
                  <m:e>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n</m:t>
                            </m:r>
                          </m:sup>
                          <m:e>
                            <m:r>
                              <w:rPr>
                                <w:rFonts w:ascii="Cambria Math" w:hAnsi="Cambria Math"/>
                              </w:rPr>
                              <m:t>O</m:t>
                            </m:r>
                          </m:e>
                        </m:nary>
                        <m:sSub>
                          <m:sSubPr>
                            <m:ctrlPr>
                              <w:rPr>
                                <w:rFonts w:ascii="Cambria Math" w:hAnsi="Cambria Math"/>
                              </w:rPr>
                            </m:ctrlPr>
                          </m:sSubPr>
                          <m:e>
                            <m:r>
                              <w:rPr>
                                <w:rFonts w:ascii="Cambria Math" w:hAnsi="Cambria Math"/>
                              </w:rPr>
                              <m:t>P</m:t>
                            </m:r>
                          </m:e>
                          <m:sub>
                            <m:r>
                              <w:rPr>
                                <w:rFonts w:ascii="Cambria Math" w:hAnsi="Cambria Math"/>
                              </w:rPr>
                              <m:t>i</m:t>
                            </m:r>
                            <m:r>
                              <m:rPr>
                                <m:sty m:val="p"/>
                              </m:rPr>
                              <w:rPr>
                                <w:rFonts w:ascii="Cambria Math" w:hAnsi="Cambria Math"/>
                              </w:rPr>
                              <m:t>,</m:t>
                            </m:r>
                            <m:r>
                              <w:rPr>
                                <w:rFonts w:ascii="Cambria Math" w:hAnsi="Cambria Math"/>
                              </w:rPr>
                              <m:t>t</m:t>
                            </m:r>
                          </m:sub>
                        </m:sSub>
                      </m:num>
                      <m:den>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n</m:t>
                            </m:r>
                          </m:sup>
                          <m:e>
                            <m:r>
                              <w:rPr>
                                <w:rFonts w:ascii="Cambria Math" w:hAnsi="Cambria Math"/>
                              </w:rPr>
                              <m:t>O</m:t>
                            </m:r>
                          </m:e>
                        </m:nary>
                        <m:sSub>
                          <m:sSubPr>
                            <m:ctrlPr>
                              <w:rPr>
                                <w:rFonts w:ascii="Cambria Math" w:hAnsi="Cambria Math"/>
                              </w:rPr>
                            </m:ctrlPr>
                          </m:sSubPr>
                          <m:e>
                            <m:r>
                              <w:rPr>
                                <w:rFonts w:ascii="Cambria Math" w:hAnsi="Cambria Math"/>
                              </w:rPr>
                              <m:t>P</m:t>
                            </m:r>
                          </m:e>
                          <m:sub>
                            <m:r>
                              <w:rPr>
                                <w:rFonts w:ascii="Cambria Math" w:hAnsi="Cambria Math"/>
                              </w:rPr>
                              <m:t>i</m:t>
                            </m:r>
                            <m:r>
                              <m:rPr>
                                <m:sty m:val="p"/>
                              </m:rPr>
                              <w:rPr>
                                <w:rFonts w:ascii="Cambria Math" w:hAnsi="Cambria Math"/>
                              </w:rPr>
                              <m:t>,</m:t>
                            </m:r>
                            <m:r>
                              <w:rPr>
                                <w:rFonts w:ascii="Cambria Math" w:hAnsi="Cambria Math"/>
                              </w:rPr>
                              <m:t>t</m:t>
                            </m:r>
                          </m:sub>
                        </m:sSub>
                        <m:sSup>
                          <m:sSupPr>
                            <m:ctrlPr>
                              <w:rPr>
                                <w:rFonts w:ascii="Cambria Math" w:hAnsi="Cambria Math"/>
                              </w:rPr>
                            </m:ctrlPr>
                          </m:sSupPr>
                          <m:e>
                            <m:r>
                              <m:rPr>
                                <m:sty m:val="p"/>
                              </m:rPr>
                              <w:rPr>
                                <w:rFonts w:ascii="Cambria Math" w:hAnsi="Cambria Math"/>
                              </w:rPr>
                              <m:t>)</m:t>
                            </m:r>
                          </m:e>
                          <m:sup>
                            <m:r>
                              <w:rPr>
                                <w:rFonts w:ascii="Cambria Math" w:hAnsi="Cambria Math"/>
                              </w:rPr>
                              <m:t>2</m:t>
                            </m:r>
                          </m:sup>
                        </m:sSup>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n</m:t>
                            </m:r>
                          </m:sup>
                          <m:e>
                            <m:r>
                              <w:rPr>
                                <w:rFonts w:ascii="Cambria Math" w:hAnsi="Cambria Math"/>
                              </w:rPr>
                              <m:t>O</m:t>
                            </m:r>
                          </m:e>
                        </m:nary>
                        <m:sSubSup>
                          <m:sSubSupPr>
                            <m:ctrlPr>
                              <w:rPr>
                                <w:rFonts w:ascii="Cambria Math" w:hAnsi="Cambria Math"/>
                              </w:rPr>
                            </m:ctrlPr>
                          </m:sSubSupPr>
                          <m:e>
                            <m:r>
                              <w:rPr>
                                <w:rFonts w:ascii="Cambria Math" w:hAnsi="Cambria Math"/>
                              </w:rPr>
                              <m:t>P</m:t>
                            </m:r>
                          </m:e>
                          <m:sub>
                            <m:r>
                              <w:rPr>
                                <w:rFonts w:ascii="Cambria Math" w:hAnsi="Cambria Math"/>
                              </w:rPr>
                              <m:t>i</m:t>
                            </m:r>
                            <m:r>
                              <m:rPr>
                                <m:sty m:val="p"/>
                              </m:rPr>
                              <w:rPr>
                                <w:rFonts w:ascii="Cambria Math" w:hAnsi="Cambria Math"/>
                              </w:rPr>
                              <m:t>,</m:t>
                            </m:r>
                            <m:r>
                              <w:rPr>
                                <w:rFonts w:ascii="Cambria Math" w:hAnsi="Cambria Math"/>
                              </w:rPr>
                              <m:t>t</m:t>
                            </m:r>
                          </m:sub>
                          <m:sup>
                            <m:r>
                              <w:rPr>
                                <w:rFonts w:ascii="Cambria Math" w:hAnsi="Cambria Math"/>
                              </w:rPr>
                              <m:t>2</m:t>
                            </m:r>
                          </m:sup>
                        </m:sSubSup>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n</m:t>
                            </m:r>
                          </m:sup>
                          <m:e>
                            <m:r>
                              <m:rPr>
                                <m:sty m:val="p"/>
                              </m:rPr>
                              <w:rPr>
                                <w:rFonts w:ascii="Cambria Math" w:hAnsi="Cambria Math"/>
                              </w:rPr>
                              <m:t>(</m:t>
                            </m:r>
                          </m:e>
                        </m:nary>
                        <m:r>
                          <w:rPr>
                            <w:rFonts w:ascii="Cambria Math" w:hAnsi="Cambria Math"/>
                          </w:rPr>
                          <m:t>O</m:t>
                        </m:r>
                        <m:sSub>
                          <m:sSubPr>
                            <m:ctrlPr>
                              <w:rPr>
                                <w:rFonts w:ascii="Cambria Math" w:hAnsi="Cambria Math"/>
                              </w:rPr>
                            </m:ctrlPr>
                          </m:sSubPr>
                          <m:e>
                            <m:r>
                              <w:rPr>
                                <w:rFonts w:ascii="Cambria Math" w:hAnsi="Cambria Math"/>
                              </w:rPr>
                              <m:t>P</m:t>
                            </m:r>
                          </m:e>
                          <m:sub>
                            <m:r>
                              <w:rPr>
                                <w:rFonts w:ascii="Cambria Math" w:hAnsi="Cambria Math"/>
                              </w:rPr>
                              <m:t>i</m:t>
                            </m:r>
                            <m:r>
                              <m:rPr>
                                <m:sty m:val="p"/>
                              </m:rPr>
                              <w:rPr>
                                <w:rFonts w:ascii="Cambria Math" w:hAnsi="Cambria Math"/>
                              </w:rPr>
                              <m:t>,</m:t>
                            </m:r>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rPr>
                              <m:t>,</m:t>
                            </m:r>
                            <m:r>
                              <w:rPr>
                                <w:rFonts w:ascii="Cambria Math" w:hAnsi="Cambria Math"/>
                              </w:rPr>
                              <m:t>t</m:t>
                            </m:r>
                          </m:sub>
                        </m:sSub>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t</m:t>
                            </m:r>
                          </m:sub>
                          <m:sup>
                            <m:r>
                              <w:rPr>
                                <w:rFonts w:ascii="Cambria Math" w:hAnsi="Cambria Math"/>
                              </w:rPr>
                              <m:t>cog</m:t>
                            </m:r>
                          </m:sup>
                        </m:sSubSup>
                        <m:sSup>
                          <m:sSupPr>
                            <m:ctrlPr>
                              <w:rPr>
                                <w:rFonts w:ascii="Cambria Math" w:hAnsi="Cambria Math"/>
                              </w:rPr>
                            </m:ctrlPr>
                          </m:sSupPr>
                          <m:e>
                            <m:r>
                              <m:rPr>
                                <m:sty m:val="p"/>
                              </m:rPr>
                              <w:rPr>
                                <w:rFonts w:ascii="Cambria Math" w:hAnsi="Cambria Math"/>
                              </w:rPr>
                              <m:t>)</m:t>
                            </m:r>
                          </m:e>
                          <m:sup>
                            <m:r>
                              <w:rPr>
                                <w:rFonts w:ascii="Cambria Math" w:hAnsi="Cambria Math"/>
                              </w:rPr>
                              <m:t>2</m:t>
                            </m:r>
                          </m:sup>
                        </m:sSup>
                        <m:r>
                          <m:rPr>
                            <m:sty m:val="p"/>
                          </m:rPr>
                          <w:rPr>
                            <w:rFonts w:ascii="Cambria Math" w:hAnsi="Cambria Math"/>
                          </w:rPr>
                          <m:t>)</m:t>
                        </m:r>
                      </m:den>
                    </m:f>
                  </m:e>
                </m:rad>
              </m:e>
            </m:mr>
          </m:m>
        </m:oMath>
      </m:oMathPara>
    </w:p>
    <w:p w:rsidR="0080583B" w:rsidRDefault="002910EF">
      <w:pPr>
        <w:pStyle w:val="FirstParagraph"/>
      </w:pPr>
      <m:oMathPara>
        <m:oMathParaPr>
          <m:jc m:val="center"/>
        </m:oMathParaPr>
        <m:oMath>
          <m:m>
            <m:mPr>
              <m:plcHide m:val="1"/>
              <m:mcs>
                <m:mc>
                  <m:mcPr>
                    <m:count m:val="1"/>
                    <m:mcJc m:val="right"/>
                  </m:mcPr>
                </m:mc>
              </m:mcs>
              <m:ctrlPr>
                <w:rPr>
                  <w:rFonts w:ascii="Cambria Math" w:hAnsi="Cambria Math"/>
                </w:rPr>
              </m:ctrlPr>
            </m:mPr>
            <m:mr>
              <m:e>
                <m:sSubSup>
                  <m:sSubSupPr>
                    <m:ctrlPr>
                      <w:rPr>
                        <w:rFonts w:ascii="Cambria Math" w:hAnsi="Cambria Math"/>
                      </w:rPr>
                    </m:ctrlPr>
                  </m:sSubSupPr>
                  <m:e>
                    <m:r>
                      <w:rPr>
                        <w:rFonts w:ascii="Cambria Math" w:hAnsi="Cambria Math"/>
                      </w:rPr>
                      <m:t>σ</m:t>
                    </m:r>
                  </m:e>
                  <m:sub>
                    <m:r>
                      <w:rPr>
                        <w:rFonts w:ascii="Cambria Math" w:hAnsi="Cambria Math"/>
                      </w:rPr>
                      <m:t>cog</m:t>
                    </m:r>
                    <m:r>
                      <m:rPr>
                        <m:sty m:val="p"/>
                      </m:rPr>
                      <w:rPr>
                        <w:rFonts w:ascii="Cambria Math" w:hAnsi="Cambria Math"/>
                      </w:rPr>
                      <m:t>,</m:t>
                    </m:r>
                    <m:r>
                      <w:rPr>
                        <w:rFonts w:ascii="Cambria Math" w:hAnsi="Cambria Math"/>
                      </w:rPr>
                      <m:t>t</m:t>
                    </m:r>
                  </m:sub>
                  <m:sup>
                    <m:r>
                      <w:rPr>
                        <w:rFonts w:ascii="Cambria Math" w:hAnsi="Cambria Math"/>
                      </w:rPr>
                      <m:t>y</m:t>
                    </m:r>
                  </m:sup>
                </m:sSubSup>
                <m:r>
                  <m:rPr>
                    <m:sty m:val="p"/>
                  </m:rPr>
                  <w:rPr>
                    <w:rFonts w:ascii="Cambria Math" w:hAnsi="Cambria Math"/>
                  </w:rPr>
                  <m:t>=</m:t>
                </m:r>
                <m:rad>
                  <m:radPr>
                    <m:degHide m:val="1"/>
                    <m:ctrlPr>
                      <w:rPr>
                        <w:rFonts w:ascii="Cambria Math" w:hAnsi="Cambria Math"/>
                      </w:rPr>
                    </m:ctrlPr>
                  </m:radPr>
                  <m:deg/>
                  <m:e>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n</m:t>
                            </m:r>
                          </m:sup>
                          <m:e>
                            <m:r>
                              <w:rPr>
                                <w:rFonts w:ascii="Cambria Math" w:hAnsi="Cambria Math"/>
                              </w:rPr>
                              <m:t>O</m:t>
                            </m:r>
                          </m:e>
                        </m:nary>
                        <m:sSub>
                          <m:sSubPr>
                            <m:ctrlPr>
                              <w:rPr>
                                <w:rFonts w:ascii="Cambria Math" w:hAnsi="Cambria Math"/>
                              </w:rPr>
                            </m:ctrlPr>
                          </m:sSubPr>
                          <m:e>
                            <m:r>
                              <w:rPr>
                                <w:rFonts w:ascii="Cambria Math" w:hAnsi="Cambria Math"/>
                              </w:rPr>
                              <m:t>P</m:t>
                            </m:r>
                          </m:e>
                          <m:sub>
                            <m:r>
                              <w:rPr>
                                <w:rFonts w:ascii="Cambria Math" w:hAnsi="Cambria Math"/>
                              </w:rPr>
                              <m:t>i</m:t>
                            </m:r>
                            <m:r>
                              <m:rPr>
                                <m:sty m:val="p"/>
                              </m:rPr>
                              <w:rPr>
                                <w:rFonts w:ascii="Cambria Math" w:hAnsi="Cambria Math"/>
                              </w:rPr>
                              <m:t>,</m:t>
                            </m:r>
                            <m:r>
                              <w:rPr>
                                <w:rFonts w:ascii="Cambria Math" w:hAnsi="Cambria Math"/>
                              </w:rPr>
                              <m:t>t</m:t>
                            </m:r>
                          </m:sub>
                        </m:sSub>
                      </m:num>
                      <m:den>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n</m:t>
                            </m:r>
                          </m:sup>
                          <m:e>
                            <m:r>
                              <w:rPr>
                                <w:rFonts w:ascii="Cambria Math" w:hAnsi="Cambria Math"/>
                              </w:rPr>
                              <m:t>O</m:t>
                            </m:r>
                          </m:e>
                        </m:nary>
                        <m:sSub>
                          <m:sSubPr>
                            <m:ctrlPr>
                              <w:rPr>
                                <w:rFonts w:ascii="Cambria Math" w:hAnsi="Cambria Math"/>
                              </w:rPr>
                            </m:ctrlPr>
                          </m:sSubPr>
                          <m:e>
                            <m:r>
                              <w:rPr>
                                <w:rFonts w:ascii="Cambria Math" w:hAnsi="Cambria Math"/>
                              </w:rPr>
                              <m:t>P</m:t>
                            </m:r>
                          </m:e>
                          <m:sub>
                            <m:r>
                              <w:rPr>
                                <w:rFonts w:ascii="Cambria Math" w:hAnsi="Cambria Math"/>
                              </w:rPr>
                              <m:t>i</m:t>
                            </m:r>
                            <m:r>
                              <m:rPr>
                                <m:sty m:val="p"/>
                              </m:rPr>
                              <w:rPr>
                                <w:rFonts w:ascii="Cambria Math" w:hAnsi="Cambria Math"/>
                              </w:rPr>
                              <m:t>,</m:t>
                            </m:r>
                            <m:r>
                              <w:rPr>
                                <w:rFonts w:ascii="Cambria Math" w:hAnsi="Cambria Math"/>
                              </w:rPr>
                              <m:t>t</m:t>
                            </m:r>
                          </m:sub>
                        </m:sSub>
                        <m:sSup>
                          <m:sSupPr>
                            <m:ctrlPr>
                              <w:rPr>
                                <w:rFonts w:ascii="Cambria Math" w:hAnsi="Cambria Math"/>
                              </w:rPr>
                            </m:ctrlPr>
                          </m:sSupPr>
                          <m:e>
                            <m:r>
                              <m:rPr>
                                <m:sty m:val="p"/>
                              </m:rPr>
                              <w:rPr>
                                <w:rFonts w:ascii="Cambria Math" w:hAnsi="Cambria Math"/>
                              </w:rPr>
                              <m:t>)</m:t>
                            </m:r>
                          </m:e>
                          <m:sup>
                            <m:r>
                              <w:rPr>
                                <w:rFonts w:ascii="Cambria Math" w:hAnsi="Cambria Math"/>
                              </w:rPr>
                              <m:t>2</m:t>
                            </m:r>
                          </m:sup>
                        </m:sSup>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n</m:t>
                            </m:r>
                          </m:sup>
                          <m:e>
                            <m:r>
                              <w:rPr>
                                <w:rFonts w:ascii="Cambria Math" w:hAnsi="Cambria Math"/>
                              </w:rPr>
                              <m:t>O</m:t>
                            </m:r>
                          </m:e>
                        </m:nary>
                        <m:sSubSup>
                          <m:sSubSupPr>
                            <m:ctrlPr>
                              <w:rPr>
                                <w:rFonts w:ascii="Cambria Math" w:hAnsi="Cambria Math"/>
                              </w:rPr>
                            </m:ctrlPr>
                          </m:sSubSupPr>
                          <m:e>
                            <m:r>
                              <w:rPr>
                                <w:rFonts w:ascii="Cambria Math" w:hAnsi="Cambria Math"/>
                              </w:rPr>
                              <m:t>P</m:t>
                            </m:r>
                          </m:e>
                          <m:sub>
                            <m:r>
                              <w:rPr>
                                <w:rFonts w:ascii="Cambria Math" w:hAnsi="Cambria Math"/>
                              </w:rPr>
                              <m:t>i</m:t>
                            </m:r>
                            <m:r>
                              <m:rPr>
                                <m:sty m:val="p"/>
                              </m:rPr>
                              <w:rPr>
                                <w:rFonts w:ascii="Cambria Math" w:hAnsi="Cambria Math"/>
                              </w:rPr>
                              <m:t>,</m:t>
                            </m:r>
                            <m:r>
                              <w:rPr>
                                <w:rFonts w:ascii="Cambria Math" w:hAnsi="Cambria Math"/>
                              </w:rPr>
                              <m:t>t</m:t>
                            </m:r>
                          </m:sub>
                          <m:sup>
                            <m:r>
                              <w:rPr>
                                <w:rFonts w:ascii="Cambria Math" w:hAnsi="Cambria Math"/>
                              </w:rPr>
                              <m:t>2</m:t>
                            </m:r>
                          </m:sup>
                        </m:sSubSup>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n</m:t>
                            </m:r>
                          </m:sup>
                          <m:e>
                            <m:r>
                              <m:rPr>
                                <m:sty m:val="p"/>
                              </m:rPr>
                              <w:rPr>
                                <w:rFonts w:ascii="Cambria Math" w:hAnsi="Cambria Math"/>
                              </w:rPr>
                              <m:t>(</m:t>
                            </m:r>
                          </m:e>
                        </m:nary>
                        <m:r>
                          <w:rPr>
                            <w:rFonts w:ascii="Cambria Math" w:hAnsi="Cambria Math"/>
                          </w:rPr>
                          <m:t>O</m:t>
                        </m:r>
                        <m:sSub>
                          <m:sSubPr>
                            <m:ctrlPr>
                              <w:rPr>
                                <w:rFonts w:ascii="Cambria Math" w:hAnsi="Cambria Math"/>
                              </w:rPr>
                            </m:ctrlPr>
                          </m:sSubPr>
                          <m:e>
                            <m:r>
                              <w:rPr>
                                <w:rFonts w:ascii="Cambria Math" w:hAnsi="Cambria Math"/>
                              </w:rPr>
                              <m:t>P</m:t>
                            </m:r>
                          </m:e>
                          <m:sub>
                            <m:r>
                              <w:rPr>
                                <w:rFonts w:ascii="Cambria Math" w:hAnsi="Cambria Math"/>
                              </w:rPr>
                              <m:t>i</m:t>
                            </m:r>
                            <m:r>
                              <m:rPr>
                                <m:sty m:val="p"/>
                              </m:rPr>
                              <w:rPr>
                                <w:rFonts w:ascii="Cambria Math" w:hAnsi="Cambria Math"/>
                              </w:rPr>
                              <m:t>,</m:t>
                            </m:r>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r>
                              <m:rPr>
                                <m:sty m:val="p"/>
                              </m:rPr>
                              <w:rPr>
                                <w:rFonts w:ascii="Cambria Math" w:hAnsi="Cambria Math"/>
                              </w:rPr>
                              <m:t>,</m:t>
                            </m:r>
                            <m:r>
                              <w:rPr>
                                <w:rFonts w:ascii="Cambria Math" w:hAnsi="Cambria Math"/>
                              </w:rPr>
                              <m:t>t</m:t>
                            </m:r>
                          </m:sub>
                        </m:sSub>
                        <m:r>
                          <m:rPr>
                            <m:sty m:val="p"/>
                          </m:rP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cog</m:t>
                            </m:r>
                          </m:sup>
                        </m:sSubSup>
                        <m:sSup>
                          <m:sSupPr>
                            <m:ctrlPr>
                              <w:rPr>
                                <w:rFonts w:ascii="Cambria Math" w:hAnsi="Cambria Math"/>
                              </w:rPr>
                            </m:ctrlPr>
                          </m:sSupPr>
                          <m:e>
                            <m:r>
                              <m:rPr>
                                <m:sty m:val="p"/>
                              </m:rPr>
                              <w:rPr>
                                <w:rFonts w:ascii="Cambria Math" w:hAnsi="Cambria Math"/>
                              </w:rPr>
                              <m:t>)</m:t>
                            </m:r>
                          </m:e>
                          <m:sup>
                            <m:r>
                              <w:rPr>
                                <w:rFonts w:ascii="Cambria Math" w:hAnsi="Cambria Math"/>
                              </w:rPr>
                              <m:t>2</m:t>
                            </m:r>
                          </m:sup>
                        </m:sSup>
                        <m:r>
                          <m:rPr>
                            <m:sty m:val="p"/>
                          </m:rPr>
                          <w:rPr>
                            <w:rFonts w:ascii="Cambria Math" w:hAnsi="Cambria Math"/>
                          </w:rPr>
                          <m:t>)</m:t>
                        </m:r>
                      </m:den>
                    </m:f>
                  </m:e>
                </m:rad>
              </m:e>
            </m:mr>
          </m:m>
        </m:oMath>
      </m:oMathPara>
    </w:p>
    <w:p w:rsidR="0080583B" w:rsidRDefault="002910EF">
      <w:pPr>
        <w:pStyle w:val="FirstParagraph"/>
      </w:pPr>
      <w:r>
        <w:lastRenderedPageBreak/>
        <w:t>To quantify the ability of these models to predict the location of the stocks in future years, data from the 2017-2019 surveys were used as a tes</w:t>
      </w:r>
      <w:r>
        <w:t xml:space="preserve">ting dataset to predict the OP in 2017, 2018, and 2019. In addition to the </w:t>
      </w:r>
      <w:r>
        <w:rPr>
          <w:i/>
          <w:iCs/>
        </w:rPr>
        <w:t>final model</w:t>
      </w:r>
      <w:r>
        <w:t xml:space="preserve">, an </w:t>
      </w:r>
      <w:r>
        <w:rPr>
          <w:i/>
          <w:iCs/>
        </w:rPr>
        <w:t>Intercept Model</w:t>
      </w:r>
      <w:r>
        <w:t xml:space="preserve"> which used only the temporally varying random field for prediction (i.e. the model excluded all environmental covariates) was compared to the predict</w:t>
      </w:r>
      <w:r>
        <w:t xml:space="preserve">ions from the </w:t>
      </w:r>
      <w:r>
        <w:rPr>
          <w:i/>
          <w:iCs/>
        </w:rPr>
        <w:t>final models</w:t>
      </w:r>
      <w:r>
        <w:t>. Both the model residual and the 2017-2019 predictive error were calculated for each year using Root Mean Squared Error (RMSE), Mean Average Error (MAE), and the standard deviation (SD). Given the similarity of the results only t</w:t>
      </w:r>
      <w:r>
        <w:t xml:space="preserve">he RMSE is presented (full results are available in the interactive </w:t>
      </w:r>
      <w:hyperlink r:id="rId10">
        <w:r>
          <w:rPr>
            <w:rStyle w:val="Hyperlink"/>
          </w:rPr>
          <w:t>dashboard</w:t>
        </w:r>
      </w:hyperlink>
      <w:r>
        <w:t>).</w:t>
      </w:r>
    </w:p>
    <w:p w:rsidR="0080583B" w:rsidRDefault="002910EF">
      <w:pPr>
        <w:pStyle w:val="Heading2"/>
      </w:pPr>
      <w:bookmarkStart w:id="9" w:name="model-validation"/>
      <w:bookmarkEnd w:id="8"/>
      <w:r>
        <w:t>Model Validation</w:t>
      </w:r>
    </w:p>
    <w:p w:rsidR="0080583B" w:rsidRDefault="002910EF">
      <w:pPr>
        <w:pStyle w:val="FirstParagraph"/>
      </w:pPr>
      <w:r>
        <w:t>Five fold cross validation was used to compare the out-of-sample predictive</w:t>
      </w:r>
      <w:r>
        <w:t xml:space="preserve"> performance for a subset of the 5-year random field models: intercept only, SST (Atlantic Cod), Dep (Yellowtail Flounder), and Dep + SST. The Atlantic Cod model validation was performed using the </w:t>
      </w:r>
      <w:r>
        <w:rPr>
          <w:i/>
          <w:iCs/>
        </w:rPr>
        <w:t>Winter</w:t>
      </w:r>
      <w:r>
        <w:t xml:space="preserve"> survey data, the Yellowtail Flounder validation used</w:t>
      </w:r>
      <w:r>
        <w:t xml:space="preserve"> the </w:t>
      </w:r>
      <w:r>
        <w:rPr>
          <w:i/>
          <w:iCs/>
        </w:rPr>
        <w:t>Spring</w:t>
      </w:r>
      <w:r>
        <w:t xml:space="preserve"> survey data. The data were randomly divided into 5 subsets and trained using 4 of the subsets; the 5th dataset was treated as a testing dataset to determine how well the model was able to predict out-of-sample data. Model performance was measur</w:t>
      </w:r>
      <w:r>
        <w:t>ed by comparing the model residuals from the training data to the prediction error from the testing data. The metrics used for this comparison were RMSE, MAE, and SD, given the similarity of the results only the RMSE is presented (full results are availabl</w:t>
      </w:r>
      <w:r>
        <w:t xml:space="preserve">e in the interative </w:t>
      </w:r>
      <w:hyperlink r:id="rId11">
        <w:r>
          <w:rPr>
            <w:rStyle w:val="Hyperlink"/>
          </w:rPr>
          <w:t>dashboard</w:t>
        </w:r>
      </w:hyperlink>
      <w:r>
        <w:t>). A subset of models were chosen because of the computational demands of this validation procedure.</w:t>
      </w:r>
    </w:p>
    <w:p w:rsidR="0080583B" w:rsidRDefault="002910EF">
      <w:pPr>
        <w:pStyle w:val="Heading1"/>
      </w:pPr>
      <w:bookmarkStart w:id="10" w:name="ref-results"/>
      <w:bookmarkEnd w:id="2"/>
      <w:bookmarkEnd w:id="9"/>
      <w:r>
        <w:t>RESULTS</w:t>
      </w:r>
    </w:p>
    <w:p w:rsidR="0080583B" w:rsidRDefault="002910EF">
      <w:pPr>
        <w:pStyle w:val="Heading2"/>
      </w:pPr>
      <w:bookmarkStart w:id="11" w:name="distributional-shifts"/>
      <w:r>
        <w:t>Distributional Shifts</w:t>
      </w:r>
    </w:p>
    <w:p w:rsidR="0080583B" w:rsidRDefault="002910EF">
      <w:pPr>
        <w:pStyle w:val="FirstParagraph"/>
      </w:pPr>
      <w:r>
        <w:t>For both sto</w:t>
      </w:r>
      <w:r>
        <w:t xml:space="preserve">cks, the core areas (OP </w:t>
      </w:r>
      <m:oMath>
        <m:r>
          <m:rPr>
            <m:sty m:val="p"/>
          </m:rPr>
          <w:rPr>
            <w:rFonts w:ascii="Cambria Math" w:hAnsi="Cambria Math"/>
          </w:rPr>
          <m:t>≥</m:t>
        </m:r>
      </m:oMath>
      <w:r>
        <w:t xml:space="preserve"> 0.75) shifted towards the north and east throughout the study period (Figure 3). For Atlantic Cod, the shift in distribution of the core area occurred relatively rapidly in the 1990s and the centre of gravity (COG) of the core are</w:t>
      </w:r>
      <w:r>
        <w:t xml:space="preserve">a has remained relatively stable since this period (Figure 3). In the 1970s and 1980s, core area was observed across the bank, however since the mid-1990s there was a clear shift in distribution with core area concentrated in the north-east portion of the </w:t>
      </w:r>
      <w:r>
        <w:t xml:space="preserve">bank, mainly in Canadian waters (see Supplemental Figures 20 -22). In addition, in the </w:t>
      </w:r>
      <w:r>
        <w:rPr>
          <w:i/>
          <w:iCs/>
        </w:rPr>
        <w:t>Fall</w:t>
      </w:r>
      <w:r>
        <w:t xml:space="preserve">, Atlantic Cod was distributed even further to the northeast along the edge of the study area. The size of the core area followed a similar temporal pattern, with a rapid decline in the core area for Atlantic Cod occurring in the 1990s in the </w:t>
      </w:r>
      <w:r>
        <w:rPr>
          <w:i/>
          <w:iCs/>
        </w:rPr>
        <w:t>Winter</w:t>
      </w:r>
      <w:r>
        <w:t xml:space="preserve"> and </w:t>
      </w:r>
      <w:r>
        <w:rPr>
          <w:i/>
          <w:iCs/>
        </w:rPr>
        <w:t>Sp</w:t>
      </w:r>
      <w:r>
        <w:rPr>
          <w:i/>
          <w:iCs/>
        </w:rPr>
        <w:t>ring</w:t>
      </w:r>
      <w:r>
        <w:t xml:space="preserve"> (Figure 4). The decline in the size of the core area was observed approximately a decade earlier in the </w:t>
      </w:r>
      <w:r>
        <w:rPr>
          <w:i/>
          <w:iCs/>
        </w:rPr>
        <w:t>Fall</w:t>
      </w:r>
      <w:r>
        <w:t xml:space="preserve"> and the size of the core area was always smaller in the </w:t>
      </w:r>
      <w:r>
        <w:rPr>
          <w:i/>
          <w:iCs/>
        </w:rPr>
        <w:t>Fall</w:t>
      </w:r>
      <w:r>
        <w:t xml:space="preserve"> (Figure 4). The distribution of Atlantic Cod along the edge of the bank during th</w:t>
      </w:r>
      <w:r>
        <w:t xml:space="preserve">e </w:t>
      </w:r>
      <w:r>
        <w:rPr>
          <w:i/>
          <w:iCs/>
        </w:rPr>
        <w:t>Fall</w:t>
      </w:r>
      <w:r>
        <w:t xml:space="preserve"> suggests that a substantial portion of this stock may have been located on the slope where survey coverage was limited (Figure 1).</w:t>
      </w:r>
    </w:p>
    <w:p w:rsidR="0080583B" w:rsidRDefault="002910EF">
      <w:pPr>
        <w:pStyle w:val="BodyText"/>
      </w:pPr>
      <w:r>
        <w:t>The Yellowtail Flounder shift in COG (Figure 3), largely was the result of a reduction in the core area in the southwe</w:t>
      </w:r>
      <w:r>
        <w:t xml:space="preserve">st portion of GB; the majority of core area was located in a central region of GB that straddles the ICJ line dividing Canada and the U.S (Supplemental Figures </w:t>
      </w:r>
      <w:r>
        <w:lastRenderedPageBreak/>
        <w:t>23 -25). The COG of Yellowtail Flounder has slowly been shifting towards the northeast (Figure 4</w:t>
      </w:r>
      <w:r>
        <w:t xml:space="preserve">). The trends in the size of the core area during the </w:t>
      </w:r>
      <w:r>
        <w:rPr>
          <w:i/>
          <w:iCs/>
        </w:rPr>
        <w:t>Spring</w:t>
      </w:r>
      <w:r>
        <w:t xml:space="preserve"> and </w:t>
      </w:r>
      <w:r>
        <w:rPr>
          <w:i/>
          <w:iCs/>
        </w:rPr>
        <w:t>Fall</w:t>
      </w:r>
      <w:r>
        <w:t xml:space="preserve"> have been very similar with rapid declines in the early 1980s followed by an increase in the 1990s and early 2000s (Figure 4). The size of the core area in the </w:t>
      </w:r>
      <w:r>
        <w:rPr>
          <w:i/>
          <w:iCs/>
        </w:rPr>
        <w:t>Winter</w:t>
      </w:r>
      <w:r>
        <w:t xml:space="preserve"> has been in decline</w:t>
      </w:r>
      <w:r>
        <w:t xml:space="preserve"> since a period of increase in the 1990s (Figure 4).</w:t>
      </w:r>
    </w:p>
    <w:p w:rsidR="0080583B" w:rsidRDefault="002910EF">
      <w:pPr>
        <w:pStyle w:val="BodyText"/>
      </w:pPr>
      <w:r>
        <w:t>For both stocks, the changes in the size of the core area were more pronounced in the U.S. than in Canadian waters (Figure 5). In the U.S. the declines in the size of core area of Atlantic Cod occurred r</w:t>
      </w:r>
      <w:r>
        <w:t xml:space="preserve">apidly in the early 1990s in the </w:t>
      </w:r>
      <w:r>
        <w:rPr>
          <w:i/>
          <w:iCs/>
        </w:rPr>
        <w:t>Winter</w:t>
      </w:r>
      <w:r>
        <w:t xml:space="preserve"> and </w:t>
      </w:r>
      <w:r>
        <w:rPr>
          <w:i/>
          <w:iCs/>
        </w:rPr>
        <w:t>Spring</w:t>
      </w:r>
      <w:r>
        <w:t xml:space="preserve">. In the </w:t>
      </w:r>
      <w:r>
        <w:rPr>
          <w:i/>
          <w:iCs/>
        </w:rPr>
        <w:t>Fall</w:t>
      </w:r>
      <w:r>
        <w:t xml:space="preserve"> the loss of core area occurred approximately a decade earlier, although the size of the core area in the U.S. during the </w:t>
      </w:r>
      <w:r>
        <w:rPr>
          <w:i/>
          <w:iCs/>
        </w:rPr>
        <w:t>Fall</w:t>
      </w:r>
      <w:r>
        <w:t xml:space="preserve"> was always substantially lower than in the </w:t>
      </w:r>
      <w:r>
        <w:rPr>
          <w:i/>
          <w:iCs/>
        </w:rPr>
        <w:t>Winter</w:t>
      </w:r>
      <w:r>
        <w:t xml:space="preserve"> or </w:t>
      </w:r>
      <w:r>
        <w:rPr>
          <w:i/>
          <w:iCs/>
        </w:rPr>
        <w:t>Spring</w:t>
      </w:r>
      <w:r>
        <w:t>. In Ca</w:t>
      </w:r>
      <w:r>
        <w:t xml:space="preserve">nada there has been minimal change in the size of the core area for Atlantic Cod in any of the seasons through time; the size of the core area in the </w:t>
      </w:r>
      <w:r>
        <w:rPr>
          <w:i/>
          <w:iCs/>
        </w:rPr>
        <w:t>Fall</w:t>
      </w:r>
      <w:r>
        <w:t xml:space="preserve"> has tended to be lower than observed in the </w:t>
      </w:r>
      <w:r>
        <w:rPr>
          <w:i/>
          <w:iCs/>
        </w:rPr>
        <w:t>Winter</w:t>
      </w:r>
      <w:r>
        <w:t xml:space="preserve"> or </w:t>
      </w:r>
      <w:r>
        <w:rPr>
          <w:i/>
          <w:iCs/>
        </w:rPr>
        <w:t>Spring</w:t>
      </w:r>
      <w:r>
        <w:t xml:space="preserve"> (Figure 5). For Yellowtail Flounder, the</w:t>
      </w:r>
      <w:r>
        <w:t xml:space="preserve"> size of the core area in the U.S. declined steadily throughout the 1970s and 1980s, this was followed by an increase in the 1990s and early 2000s (Figure 5). Since the mid-2000s, the size of the core area in the U.S. appeared to stabilize. In Canada, the </w:t>
      </w:r>
      <w:r>
        <w:t>size of core area for Yellowtail Flounder throughout the 1970s and 1980s was relatively low, slowly increased in the mid-1990s, and has been relatively stable since (Figure 5).</w:t>
      </w:r>
    </w:p>
    <w:p w:rsidR="0080583B" w:rsidRDefault="002910EF">
      <w:pPr>
        <w:pStyle w:val="Heading2"/>
      </w:pPr>
      <w:bookmarkStart w:id="12" w:name="environmental-covariates-1"/>
      <w:bookmarkEnd w:id="11"/>
      <w:r>
        <w:t>Environmental Covariates</w:t>
      </w:r>
    </w:p>
    <w:p w:rsidR="0080583B" w:rsidRDefault="002910EF">
      <w:pPr>
        <w:pStyle w:val="FirstParagraph"/>
      </w:pPr>
      <w:r>
        <w:t>The spatial fields for the three environmental variabl</w:t>
      </w:r>
      <w:r>
        <w:t>es retained by model selection were shown in Supplemental Figure 14. The average SST between 1997 and 2008 had the largest effect on the OP of Atlantic Cod; they were more likely to be found in regions of the bank with a lower SST (Figure 6). For all 3 sur</w:t>
      </w:r>
      <w:r>
        <w:t>veys, the OP of Atlantic Cod declined rapidly in regions of the bank where the SST was above approximately 10°C (Figure 6). Although depth was also retained in the final Atlantic Cod model its effect on OP was substantially smaller than the SST effect. Dur</w:t>
      </w:r>
      <w:r>
        <w:t xml:space="preserve">ing the </w:t>
      </w:r>
      <w:r>
        <w:rPr>
          <w:i/>
          <w:iCs/>
        </w:rPr>
        <w:t>Winter</w:t>
      </w:r>
      <w:r>
        <w:t xml:space="preserve"> and </w:t>
      </w:r>
      <w:r>
        <w:rPr>
          <w:i/>
          <w:iCs/>
        </w:rPr>
        <w:t>Spring</w:t>
      </w:r>
      <w:r>
        <w:t xml:space="preserve"> the OP peaked between 70-82 m and declined slowly in shallower and deeper waters (Figure 6). There was no clear relationship with depth in the Winter.</w:t>
      </w:r>
    </w:p>
    <w:p w:rsidR="0080583B" w:rsidRDefault="002910EF">
      <w:pPr>
        <w:pStyle w:val="BodyText"/>
      </w:pPr>
      <w:r>
        <w:t>For Yellowtail Flounder, depth had the largest effect on OP, with Yellowtail Fl</w:t>
      </w:r>
      <w:r>
        <w:t xml:space="preserve">ounder most likely to be observed between depths of 66-75 m in each of the 3 surveys and its effect on OP was highest during the </w:t>
      </w:r>
      <w:r>
        <w:rPr>
          <w:i/>
          <w:iCs/>
        </w:rPr>
        <w:t>Spring</w:t>
      </w:r>
      <w:r>
        <w:t xml:space="preserve"> (Figure 7). The average SST between 1997 and 2008 was also included in the final model, with Yellowtail Flounder OP gene</w:t>
      </w:r>
      <w:r>
        <w:t xml:space="preserve">rally declining as SST increased. The effect of SST was least pronounced in the </w:t>
      </w:r>
      <w:r>
        <w:rPr>
          <w:i/>
          <w:iCs/>
        </w:rPr>
        <w:t>Fall</w:t>
      </w:r>
      <w:r>
        <w:t xml:space="preserve">. The sediment type also had a significant influence on the OP for Yellowtail Flounder in the </w:t>
      </w:r>
      <w:r>
        <w:rPr>
          <w:i/>
          <w:iCs/>
        </w:rPr>
        <w:t>Winter</w:t>
      </w:r>
      <w:r>
        <w:t xml:space="preserve"> and </w:t>
      </w:r>
      <w:r>
        <w:rPr>
          <w:i/>
          <w:iCs/>
        </w:rPr>
        <w:t>Fall</w:t>
      </w:r>
      <w:r>
        <w:t>, with Sand and Gravel-Sand having higher OPs than the Other se</w:t>
      </w:r>
      <w:r>
        <w:t xml:space="preserve">diment category, this difference was most notable during the </w:t>
      </w:r>
      <w:r>
        <w:rPr>
          <w:i/>
          <w:iCs/>
        </w:rPr>
        <w:t>Winter</w:t>
      </w:r>
      <w:r>
        <w:t xml:space="preserve"> (Figure 7 and Supplemental Figure 18).</w:t>
      </w:r>
    </w:p>
    <w:p w:rsidR="0080583B" w:rsidRDefault="002910EF">
      <w:pPr>
        <w:pStyle w:val="Heading2"/>
      </w:pPr>
      <w:bookmarkStart w:id="13" w:name="model-hyperparameters"/>
      <w:bookmarkEnd w:id="12"/>
      <w:r>
        <w:t>Model Hyperparameters</w:t>
      </w:r>
    </w:p>
    <w:p w:rsidR="0080583B" w:rsidRDefault="002910EF">
      <w:pPr>
        <w:pStyle w:val="FirstParagraph"/>
      </w:pPr>
      <w:r>
        <w:t>The decorrelation range for Atlantic Cod was above 100 km throughout the year and was generally higher than that observed for Y</w:t>
      </w:r>
      <w:r>
        <w:t xml:space="preserve">ellowtail Flounder (Figure 8). The range was highest for Atlantic Cod in the </w:t>
      </w:r>
      <w:r>
        <w:rPr>
          <w:i/>
          <w:iCs/>
        </w:rPr>
        <w:t>Spring</w:t>
      </w:r>
      <w:r>
        <w:t xml:space="preserve"> with an estimate of 218 (95% CI:131-346) km while the range during the </w:t>
      </w:r>
      <w:r>
        <w:rPr>
          <w:i/>
          <w:iCs/>
        </w:rPr>
        <w:t>Winter</w:t>
      </w:r>
      <w:r>
        <w:t xml:space="preserve"> spawning period was the lowest at 154 (95% CI:99-227) km. </w:t>
      </w:r>
      <w:r>
        <w:lastRenderedPageBreak/>
        <w:t xml:space="preserve">In the </w:t>
      </w:r>
      <w:r>
        <w:rPr>
          <w:i/>
          <w:iCs/>
        </w:rPr>
        <w:t>Fall</w:t>
      </w:r>
      <w:r>
        <w:t xml:space="preserve"> the range declined from </w:t>
      </w:r>
      <w:r>
        <w:t xml:space="preserve">the </w:t>
      </w:r>
      <w:r>
        <w:rPr>
          <w:i/>
          <w:iCs/>
        </w:rPr>
        <w:t>Spring</w:t>
      </w:r>
      <w:r>
        <w:t xml:space="preserve">; this may indicate spatial contraction or fish leaving the study domain (Figure 8). For Yellowtail Flounder, the lowest range was estimated in the </w:t>
      </w:r>
      <w:r>
        <w:rPr>
          <w:i/>
          <w:iCs/>
        </w:rPr>
        <w:t>Winter</w:t>
      </w:r>
      <w:r>
        <w:t xml:space="preserve"> at 86 (95% CI:63-109) km with the </w:t>
      </w:r>
      <w:r>
        <w:rPr>
          <w:i/>
          <w:iCs/>
        </w:rPr>
        <w:t>Spring</w:t>
      </w:r>
      <w:r>
        <w:t xml:space="preserve"> and </w:t>
      </w:r>
      <w:r>
        <w:rPr>
          <w:i/>
          <w:iCs/>
        </w:rPr>
        <w:t>Fall</w:t>
      </w:r>
      <w:r>
        <w:t xml:space="preserve"> range estimates being higher and somewhat</w:t>
      </w:r>
      <w:r>
        <w:t xml:space="preserve"> more variable than the </w:t>
      </w:r>
      <w:r>
        <w:rPr>
          <w:i/>
          <w:iCs/>
        </w:rPr>
        <w:t>Winter</w:t>
      </w:r>
      <w:r>
        <w:t xml:space="preserve"> range estimate. The range estimates of Yellowtail Flounder throughout the year were smaller and less variable than that observed with Atlantic Cod (Figure 8). The uncertainty of these estimates precludes any statistical diffe</w:t>
      </w:r>
      <w:r>
        <w:t>rences being observed between the seasons.</w:t>
      </w:r>
    </w:p>
    <w:p w:rsidR="0080583B" w:rsidRDefault="002910EF">
      <w:pPr>
        <w:pStyle w:val="BodyText"/>
      </w:pPr>
      <w:r>
        <w:t xml:space="preserve">The standard deviation of the random field was lower for Atlantic Cod in the </w:t>
      </w:r>
      <w:r>
        <w:rPr>
          <w:i/>
          <w:iCs/>
        </w:rPr>
        <w:t>Winter</w:t>
      </w:r>
      <w:r>
        <w:t xml:space="preserve"> and </w:t>
      </w:r>
      <w:r>
        <w:rPr>
          <w:i/>
          <w:iCs/>
        </w:rPr>
        <w:t>Spring</w:t>
      </w:r>
      <w:r>
        <w:t xml:space="preserve"> than during the </w:t>
      </w:r>
      <w:r>
        <w:rPr>
          <w:i/>
          <w:iCs/>
        </w:rPr>
        <w:t>Fall</w:t>
      </w:r>
      <w:r>
        <w:t xml:space="preserve"> (Figure 9), this was indicative of the increased clustering of the stock and the relatively small</w:t>
      </w:r>
      <w:r>
        <w:t xml:space="preserve"> effect of the environmental covariates in the </w:t>
      </w:r>
      <w:r>
        <w:rPr>
          <w:i/>
          <w:iCs/>
        </w:rPr>
        <w:t>Fall</w:t>
      </w:r>
      <w:r>
        <w:t xml:space="preserve">. The standard deviation of the random field was highest for Yellowtail Flounder in the </w:t>
      </w:r>
      <w:r>
        <w:rPr>
          <w:i/>
          <w:iCs/>
        </w:rPr>
        <w:t>Winter</w:t>
      </w:r>
      <w:r>
        <w:t xml:space="preserve"> and the seasonal differences for Yellowtail Flounder were smaller than those observed with Atlantic Cod (Figur</w:t>
      </w:r>
      <w:r>
        <w:t xml:space="preserve">e 9). The standard deviation of the Yellowtail Flounder field was higher than Atlantic Cod in the </w:t>
      </w:r>
      <w:r>
        <w:rPr>
          <w:i/>
          <w:iCs/>
        </w:rPr>
        <w:t>Winter</w:t>
      </w:r>
      <w:r>
        <w:t xml:space="preserve"> and </w:t>
      </w:r>
      <w:r>
        <w:rPr>
          <w:i/>
          <w:iCs/>
        </w:rPr>
        <w:t>Spring</w:t>
      </w:r>
      <w:r>
        <w:t xml:space="preserve">, but lower in the </w:t>
      </w:r>
      <w:r>
        <w:rPr>
          <w:i/>
          <w:iCs/>
        </w:rPr>
        <w:t>Fall</w:t>
      </w:r>
      <w:r>
        <w:t xml:space="preserve"> (Figure 9). The posteriors of other hyperparameters for both stocks in the Winter, </w:t>
      </w:r>
      <w:r>
        <w:rPr>
          <w:i/>
          <w:iCs/>
        </w:rPr>
        <w:t>Spring</w:t>
      </w:r>
      <w:r>
        <w:t xml:space="preserve">, and </w:t>
      </w:r>
      <w:r>
        <w:rPr>
          <w:i/>
          <w:iCs/>
        </w:rPr>
        <w:t>Fall</w:t>
      </w:r>
      <w:r>
        <w:t xml:space="preserve"> </w:t>
      </w:r>
      <w:r>
        <w:t>are provided in Supplemental Figures 46 - 51.</w:t>
      </w:r>
    </w:p>
    <w:p w:rsidR="0080583B" w:rsidRDefault="002910EF">
      <w:pPr>
        <w:pStyle w:val="Heading2"/>
      </w:pPr>
      <w:bookmarkStart w:id="14" w:name="validation-and-prediction"/>
      <w:bookmarkEnd w:id="13"/>
      <w:r>
        <w:t>Validation and Prediction</w:t>
      </w:r>
    </w:p>
    <w:p w:rsidR="0080583B" w:rsidRDefault="002910EF">
      <w:pPr>
        <w:pStyle w:val="FirstParagraph"/>
      </w:pPr>
      <w:r>
        <w:t>The 5-fold cross validation indicated that each of the models tested (intercept only, SST (Atlantic Cod), Dep (Yellowtail Flounder), and Dep + SST) were able to predict the distributio</w:t>
      </w:r>
      <w:r>
        <w:t>n for both stocks without an increase in bias or a loss of accuracy (Figure 10). The mean error of the residuals for the validation training set predictions were similar to the error from the predicted test data and while the mean error of the test data wa</w:t>
      </w:r>
      <w:r>
        <w:t>s generally more variable, the estimates were centred on 0 and thus there was no evidence of bias in these predictions (Figure 10). The RMSE from the test and training data showed similar patterns for both stocks and most models, although for Yellowtail Fl</w:t>
      </w:r>
      <w:r>
        <w:t>ounder the RMSE for both the training and test data from the intercept only model was slightly lower than either of the models with covariates. This indicates that the inclusion of the environmental covariates may result in a small loss of out-of-sample pr</w:t>
      </w:r>
      <w:r>
        <w:t>ediction (Figure 10).</w:t>
      </w:r>
    </w:p>
    <w:p w:rsidR="0080583B" w:rsidRDefault="002910EF">
      <w:pPr>
        <w:pStyle w:val="BodyText"/>
      </w:pPr>
      <w:r>
        <w:t>The error in the prediction of the distributions of each stock 1, 2, and 3 years into the future were well below the RMSE associated with a model with no predictive ability (dashed line; Figure 11). The prediction for the models witho</w:t>
      </w:r>
      <w:r>
        <w:t>ut any environmental covariates were similar to the prediction from the models that included both Dep and SST. For both stocks, the 2018 data consistently had the lowest prediction accuracy with the models tending to predict individuals where none were obs</w:t>
      </w:r>
      <w:r>
        <w:t>erved. This was in agreement with observations of the survey biomass indices being near historic lows for both stocks in 2018 (</w:t>
      </w:r>
      <w:hyperlink w:anchor="Xa28c9ea88c31816fdf689427086ec96ae0e79fd">
        <w:r>
          <w:rPr>
            <w:rStyle w:val="Hyperlink"/>
          </w:rPr>
          <w:t>Andrushchenko et al. 2018</w:t>
        </w:r>
      </w:hyperlink>
      <w:r>
        <w:t xml:space="preserve">; </w:t>
      </w:r>
      <w:hyperlink w:anchor="ref-legaultStockAssessmentGeorges2018">
        <w:r>
          <w:rPr>
            <w:rStyle w:val="Hyperlink"/>
          </w:rPr>
          <w:t>Legault and McCurdy 2018</w:t>
        </w:r>
      </w:hyperlink>
      <w:r>
        <w:t>). Generally, the predictive error from these models were near the high end of the range of the annual model residual error, this indicates that these models were able to predict the spatial OP patterns for both</w:t>
      </w:r>
      <w:r>
        <w:t xml:space="preserve"> stocks up to 3 years into the future without a substantial loss of accuracy, even with environmental covariates excluded from the models (Figure 11).</w:t>
      </w:r>
    </w:p>
    <w:p w:rsidR="0080583B" w:rsidRDefault="002910EF">
      <w:pPr>
        <w:pStyle w:val="Heading1"/>
      </w:pPr>
      <w:bookmarkStart w:id="15" w:name="discussion"/>
      <w:bookmarkEnd w:id="10"/>
      <w:bookmarkEnd w:id="14"/>
      <w:r>
        <w:lastRenderedPageBreak/>
        <w:t>DISCUSSION</w:t>
      </w:r>
    </w:p>
    <w:p w:rsidR="0080583B" w:rsidRDefault="002910EF">
      <w:pPr>
        <w:pStyle w:val="FirstParagraph"/>
      </w:pPr>
      <w:r>
        <w:t>The SDMs developed here incorporated environmental, spatial, and multi-scale temporal information to partition dynamic changes which occur both inter and intra-annually from static environmental relationships. This framework provided a more complete unders</w:t>
      </w:r>
      <w:r>
        <w:t xml:space="preserve">tanding of the temporal shifts in the stocks distribution than simpler aggregation based indices that are often used in fisheries science [e.g. </w:t>
      </w:r>
      <w:hyperlink w:anchor="X23a5438454de93f058bf06d4eb551a4916a8d7c">
        <w:r>
          <w:rPr>
            <w:rStyle w:val="Hyperlink"/>
          </w:rPr>
          <w:t>Reuchlin-Hugenholtz et al.</w:t>
        </w:r>
      </w:hyperlink>
      <w:r>
        <w:t xml:space="preserve"> (</w:t>
      </w:r>
      <w:hyperlink w:anchor="X23a5438454de93f058bf06d4eb551a4916a8d7c">
        <w:r>
          <w:rPr>
            <w:rStyle w:val="Hyperlink"/>
          </w:rPr>
          <w:t>2015</w:t>
        </w:r>
      </w:hyperlink>
      <w:r>
        <w:t>); see Supplemental Figure 15 showing the Gini index timeseries for Yellowtail Flounder and Atlantic Cod on Georges Bank for each survey]. A general shift in the distributions of both stocks towards the east an</w:t>
      </w:r>
      <w:r>
        <w:t>d north was identified. For both stocks this shift was in large part due to the loss of core area in the southern and western portion of GB (primarily in U.S. waters). In addition, the analysis of surveys from different times of the year provided a snapsho</w:t>
      </w:r>
      <w:r>
        <w:t xml:space="preserve">t of the seasonal changes in the distributions of the stocks; the Yellowtail Flounder distribution was relatively stable throughout the year, while Atlantic Cod moved towards the northeastern slope of GB in the </w:t>
      </w:r>
      <w:r>
        <w:rPr>
          <w:i/>
          <w:iCs/>
        </w:rPr>
        <w:t>Fall</w:t>
      </w:r>
      <w:r>
        <w:t>. Finally, the models were able to predic</w:t>
      </w:r>
      <w:r>
        <w:t>t the location of Atlantic Cod and Yellowtail Flounder, without including envioronmental covariates, up to 3 years in the future with only a modest loss of predictive ability. The SDMs developed here can be used to identify regions of consistently high and</w:t>
      </w:r>
      <w:r>
        <w:t xml:space="preserve"> low probability of occurrence, quantify changes in the size of a core area over time and between seasons (surveys), quantify how rapidly distributional shifts occur, and provide short term forecasts of the spatial distributions in future years.</w:t>
      </w:r>
    </w:p>
    <w:p w:rsidR="0080583B" w:rsidRDefault="002910EF">
      <w:pPr>
        <w:pStyle w:val="BodyText"/>
      </w:pPr>
      <w:r>
        <w:t>The core a</w:t>
      </w:r>
      <w:r>
        <w:t>rea for Atlantic Cod collapsed rapidly in the early 1990s in unison with the collapse of Atlantic Cod (and other groundfish) stocks throughout the Northwest Atlantic (</w:t>
      </w:r>
      <w:hyperlink w:anchor="ref-bundySealsCodForage2009">
        <w:r>
          <w:rPr>
            <w:rStyle w:val="Hyperlink"/>
          </w:rPr>
          <w:t>Bundy et al. 2009</w:t>
        </w:r>
      </w:hyperlink>
      <w:r>
        <w:t>). Since this collapse</w:t>
      </w:r>
      <w:r>
        <w:t xml:space="preserve">, the size of the core area has remained relatively consistent but there has been a shift to the northeast, which was more pronounced in the </w:t>
      </w:r>
      <w:r>
        <w:rPr>
          <w:i/>
          <w:iCs/>
        </w:rPr>
        <w:t>Fall</w:t>
      </w:r>
      <w:r>
        <w:t>. The loss of core area from the warmer southern and western reaches of the bank was the primary reason for the</w:t>
      </w:r>
      <w:r>
        <w:t xml:space="preserve"> shift in the distribution of Atlantic Cod into Canadian waters. In more recent years, the </w:t>
      </w:r>
      <w:r>
        <w:rPr>
          <w:i/>
          <w:iCs/>
        </w:rPr>
        <w:t>Fall</w:t>
      </w:r>
      <w:r>
        <w:t xml:space="preserve"> distribution of Atlantic Cod was likely located on the northeastern slope of the bank and outside of the core survey domains.</w:t>
      </w:r>
    </w:p>
    <w:p w:rsidR="0080583B" w:rsidRDefault="002910EF">
      <w:pPr>
        <w:pStyle w:val="BodyText"/>
      </w:pPr>
      <w:r>
        <w:t>This northeastern shift of the sto</w:t>
      </w:r>
      <w:r>
        <w:t xml:space="preserve">ck over the course of this study suggests that the surveys may no longer be sampling the entirety of Atlantic Cod throughout the course of the year (i.e. a higher proportion of the stock may now be located outside of the survey domain in the </w:t>
      </w:r>
      <w:r>
        <w:rPr>
          <w:i/>
          <w:iCs/>
        </w:rPr>
        <w:t>Fall</w:t>
      </w:r>
      <w:r>
        <w:t xml:space="preserve"> than in t</w:t>
      </w:r>
      <w:r>
        <w:t>he past). The Atlantic Cod stock assessment model for eastern GB Atlantic Cod used the survey indices from all three of the surveys (</w:t>
      </w:r>
      <w:hyperlink w:anchor="Xa28c9ea88c31816fdf689427086ec96ae0e79fd">
        <w:r>
          <w:rPr>
            <w:rStyle w:val="Hyperlink"/>
          </w:rPr>
          <w:t>Andrushchenko et al. 2018</w:t>
        </w:r>
      </w:hyperlink>
      <w:r>
        <w:t>). However, this assessment model s</w:t>
      </w:r>
      <w:r>
        <w:t>uffered from such significant retrospective patterns that the model was rejected in 2018; the results of this study are in agreement with the suggestion that the observed shift in the distribution of Atlantic Cod outside of the survey domain was a contribu</w:t>
      </w:r>
      <w:r>
        <w:t>ting factor to the model retrospective problems (</w:t>
      </w:r>
      <w:hyperlink w:anchor="Xa28c9ea88c31816fdf689427086ec96ae0e79fd">
        <w:r>
          <w:rPr>
            <w:rStyle w:val="Hyperlink"/>
          </w:rPr>
          <w:t>Andrushchenko et al. 2018</w:t>
        </w:r>
      </w:hyperlink>
      <w:r>
        <w:t xml:space="preserve">, </w:t>
      </w:r>
      <w:hyperlink w:anchor="Xe5737ff190e9ec79e021a99310d4516dc8dae50">
        <w:r>
          <w:rPr>
            <w:rStyle w:val="Hyperlink"/>
          </w:rPr>
          <w:t>2019</w:t>
        </w:r>
      </w:hyperlink>
      <w:r>
        <w:t>). In addition, because the management of this sto</w:t>
      </w:r>
      <w:r>
        <w:t xml:space="preserve">ck is shared between Canada and the U.S., the observed shift in the core distribution to Canadian waters suggests that shared management policies, such as quota sharing agreements between the two jurisdictions, may require regular review (e.g. </w:t>
      </w:r>
      <w:hyperlink w:anchor="ref-tmgcDevelopmentSharingAllocation2002">
        <w:r>
          <w:rPr>
            <w:rStyle w:val="Hyperlink"/>
          </w:rPr>
          <w:t>TMGC 2002</w:t>
        </w:r>
      </w:hyperlink>
      <w:r>
        <w:t xml:space="preserve">). </w:t>
      </w:r>
    </w:p>
    <w:p w:rsidR="0080583B" w:rsidRDefault="002910EF">
      <w:pPr>
        <w:pStyle w:val="BodyText"/>
      </w:pPr>
      <w:r>
        <w:t xml:space="preserve">Yellowtail Flounder were more likely to be found on sandy bottom types, in regions of the bank that historically had lower temperatures, and at depths between 66-75 meters; this is </w:t>
      </w:r>
      <w:r>
        <w:lastRenderedPageBreak/>
        <w:t xml:space="preserve">consistent </w:t>
      </w:r>
      <w:r>
        <w:t>with the known life history for this stock (</w:t>
      </w:r>
      <w:hyperlink w:anchor="ref-johnsonYellowtailFlounderLimanda1999">
        <w:r>
          <w:rPr>
            <w:rStyle w:val="Hyperlink"/>
          </w:rPr>
          <w:t>Johnson et al. 1999</w:t>
        </w:r>
      </w:hyperlink>
      <w:r>
        <w:t>). In addition, there was a consistent elevated likelihood of encountering Yellowtail Flounder in the region straddling the ICJ li</w:t>
      </w:r>
      <w:r>
        <w:t>ne that was not explained by the environmental covariates. This suggests that this region has some unexplained ecological or environmental significance to Yellowtail Flounder. The shift in the distribution of Yellowtail Flounder away from more southern and</w:t>
      </w:r>
      <w:r>
        <w:t xml:space="preserve"> western parts of GB combined with the declines in biomass of Yellowtail Flounder throughout the U.S. supports the view that environmental change was a factor in the recent decline of Yellowtail Flounder both on GB and throughout the region (</w:t>
      </w:r>
      <w:hyperlink w:anchor="ref-nfsc54thNortheastRegional2012">
        <w:r>
          <w:rPr>
            <w:rStyle w:val="Hyperlink"/>
          </w:rPr>
          <w:t>NFSC 2012</w:t>
        </w:r>
      </w:hyperlink>
      <w:r>
        <w:t xml:space="preserve">; </w:t>
      </w:r>
      <w:hyperlink w:anchor="ref-pershingSlowAdaptationFace2015">
        <w:r>
          <w:rPr>
            <w:rStyle w:val="Hyperlink"/>
          </w:rPr>
          <w:t>Pershing et al. 2015</w:t>
        </w:r>
      </w:hyperlink>
      <w:r>
        <w:t xml:space="preserve">; </w:t>
      </w:r>
      <w:hyperlink w:anchor="ref-legaultStockAssessmentGeorges2018">
        <w:r>
          <w:rPr>
            <w:rStyle w:val="Hyperlink"/>
          </w:rPr>
          <w:t>Legault and McCurdy 2018</w:t>
        </w:r>
      </w:hyperlink>
      <w:r>
        <w:t xml:space="preserve">; </w:t>
      </w:r>
      <w:hyperlink w:anchor="ref-noaaNOAAYellowtailFlounder2020">
        <w:r>
          <w:rPr>
            <w:rStyle w:val="Hyperlink"/>
          </w:rPr>
          <w:t>NOAA 2020</w:t>
        </w:r>
      </w:hyperlink>
      <w:r>
        <w:t>)</w:t>
      </w:r>
      <w:r>
        <w:t>. Given the loss of Yellowtail Flounder from the warmer portions of the bank observed in this study, it is possible that the remaining core area straddling the ICJ line represents the most northern suitable habitat on GB for this stock. If temperatures con</w:t>
      </w:r>
      <w:r>
        <w:t>tinue to increase, as projected with climate change, the suitability of this habitat may decline, increasing the risk of extirpation of Yellowtail Flounder from GB irrespective of any fisheries management action (</w:t>
      </w:r>
      <w:hyperlink w:anchor="X641ebdcafebfa4c0af72de49f1709c36edb6547">
        <w:r>
          <w:rPr>
            <w:rStyle w:val="Hyperlink"/>
          </w:rPr>
          <w:t>Allyn et al. 2020</w:t>
        </w:r>
      </w:hyperlink>
      <w:r>
        <w:t>).</w:t>
      </w:r>
    </w:p>
    <w:p w:rsidR="0080583B" w:rsidRDefault="002910EF">
      <w:pPr>
        <w:pStyle w:val="Heading3"/>
      </w:pPr>
      <w:bookmarkStart w:id="16" w:name="X33e36032600ad95b29d18bad3ab834456e4f4c2"/>
      <w:r>
        <w:t>Environmental Covariates and Random Fields</w:t>
      </w:r>
    </w:p>
    <w:p w:rsidR="0080583B" w:rsidRDefault="002910EF">
      <w:pPr>
        <w:pStyle w:val="FirstParagraph"/>
      </w:pPr>
      <w:r>
        <w:t>Few of the static environmental covariates examined were related to the distribution of either stock. Only the static SST layer, depth, and sediment type (Yellowtail Flounde</w:t>
      </w:r>
      <w:r>
        <w:t>r only) had any consistent relationship to the likelihood of encountering either stock throughout the duration of this study. The influence of the average SST was somewhat surprising given this layer was derived from monthly SST composites from the Advance</w:t>
      </w:r>
      <w:r>
        <w:t>d Very High Resolution Radiometer (AVHRR) satellite from 1997 to 2008 (</w:t>
      </w:r>
      <w:hyperlink w:anchor="X20eebb7ac45ec5aee52640a9653d539f6a5eeab">
        <w:r>
          <w:rPr>
            <w:rStyle w:val="Hyperlink"/>
          </w:rPr>
          <w:t>Greenlaw et al. 2010</w:t>
        </w:r>
      </w:hyperlink>
      <w:r>
        <w:t xml:space="preserve">) and thus represents an aggregate, static layer from only a subset of the time period covered by the </w:t>
      </w:r>
      <w:r>
        <w:t>groundfish survey data. However, the importance of this SST layer may be due to its ability to capture general widespread oceanographic features across the bank domain. Further, the observed variability of the effect between seasons was likely a reflection</w:t>
      </w:r>
      <w:r>
        <w:t xml:space="preserve"> of the connection between surface waters and the benthos given that the degree of vertical mixing and stratification varies with season and spatially across the bank (</w:t>
      </w:r>
      <w:hyperlink w:anchor="ref-kavanaughThirtyThreeYearsOcean2017">
        <w:r>
          <w:rPr>
            <w:rStyle w:val="Hyperlink"/>
          </w:rPr>
          <w:t>Kavanaugh et al. 2017</w:t>
        </w:r>
      </w:hyperlink>
      <w:r>
        <w:t xml:space="preserve">). It </w:t>
      </w:r>
      <w:r>
        <w:t>is acknowledged that the interpretation of the static SST layer used in these analyses as a thermal effect is likely somewhat unrealistic as it assumes that the relative temperature patterns and the stocks response to these patterns have remained static ac</w:t>
      </w:r>
      <w:r>
        <w:t>ross more than four decades. To understand how the thermal environment has influenced the stocks distributions on GB, the development of more advanced models that use either dynamic SST or modelled bottom temperature layers would be beneficial (</w:t>
      </w:r>
      <w:hyperlink w:anchor="ref-pershingSlowAdaptationFace2015">
        <w:r>
          <w:rPr>
            <w:rStyle w:val="Hyperlink"/>
          </w:rPr>
          <w:t>Pershing et al. 2015</w:t>
        </w:r>
      </w:hyperlink>
      <w:r>
        <w:t xml:space="preserve">; </w:t>
      </w:r>
      <w:hyperlink w:anchor="X40e4b90367109730a2718e09c02eacb1dce3e88">
        <w:r>
          <w:rPr>
            <w:rStyle w:val="Hyperlink"/>
          </w:rPr>
          <w:t>Greenan et al. 2019</w:t>
        </w:r>
      </w:hyperlink>
      <w:r>
        <w:t>). Further, changes in a stocks distribution cannot be inferred from static environmental layers like thos</w:t>
      </w:r>
      <w:r>
        <w:t>e used in this analysis, the random fields were the means by which the changes in distribution could be tracked.</w:t>
      </w:r>
    </w:p>
    <w:p w:rsidR="0080583B" w:rsidRDefault="002910EF">
      <w:pPr>
        <w:pStyle w:val="BodyText"/>
      </w:pPr>
      <w:r>
        <w:t>From a predictive standpoint, the random fields were often able to predict the OPwithout a substantial loss of predictive ability when compared</w:t>
      </w:r>
      <w:r>
        <w:t xml:space="preserve"> to the more complex models including the static environmental data (e.g. Figure 10). This occurred because the random fields were flexible enough to capture the variability inherent in the data in each era, while the environmental covariate relationships </w:t>
      </w:r>
      <w:r>
        <w:t xml:space="preserve">were constrained to be invariant throughout the entire time series. Recent research suggests that using a static random field in conjunction with a spatio-temporal random field may provide less biased and more accurate estimates </w:t>
      </w:r>
      <w:r>
        <w:lastRenderedPageBreak/>
        <w:t>than models that rely solel</w:t>
      </w:r>
      <w:r>
        <w:t>y on environmental covariates (</w:t>
      </w:r>
      <w:hyperlink w:anchor="ref-yinReviewSpatiotemporalModel">
        <w:r>
          <w:rPr>
            <w:rStyle w:val="Hyperlink"/>
          </w:rPr>
          <w:t>Yin et al. n.d.</w:t>
        </w:r>
      </w:hyperlink>
      <w:r>
        <w:t>). The results of the current study also suggest that when environmental data aren’t available or are prohibitively expensive to collect, these spatial mod</w:t>
      </w:r>
      <w:r>
        <w:t>els on their own can provide insight into the drivers of a stocks distribution. The information from these spatio-temporal models could then be used as a first step to better understand the patterns and processes driving change in the stocks distribution a</w:t>
      </w:r>
      <w:r>
        <w:t>nd subsequently help with the design of more efficient data collection programs.</w:t>
      </w:r>
    </w:p>
    <w:p w:rsidR="0080583B" w:rsidRDefault="002910EF">
      <w:pPr>
        <w:pStyle w:val="BodyText"/>
      </w:pPr>
      <w:r>
        <w:t xml:space="preserve">Finally, it should be noted that the observed shifts in the distributions could be due to environmental change and/or direct anthropogenic factors [e.g. fishing; </w:t>
      </w:r>
      <w:hyperlink w:anchor="Xc9ea2e3c9697e3a1aafde395ff6558a2222db6f">
        <w:r>
          <w:rPr>
            <w:rStyle w:val="Hyperlink"/>
          </w:rPr>
          <w:t>Boudreau et al.</w:t>
        </w:r>
      </w:hyperlink>
      <w:r>
        <w:t xml:space="preserve"> (</w:t>
      </w:r>
      <w:hyperlink w:anchor="Xc9ea2e3c9697e3a1aafde395ff6558a2222db6f">
        <w:r>
          <w:rPr>
            <w:rStyle w:val="Hyperlink"/>
          </w:rPr>
          <w:t>2017</w:t>
        </w:r>
      </w:hyperlink>
      <w:r>
        <w:t>)]. The shifts in the distributions in the 1970s and 1980s may indeed have been related to either fishing or environmental</w:t>
      </w:r>
      <w:r>
        <w:t xml:space="preserve"> factors given the relatively high fishing effort during this period (</w:t>
      </w:r>
      <w:hyperlink w:anchor="X9dcf4e425aa95c463211f653a869c9b38811d83">
        <w:r>
          <w:rPr>
            <w:rStyle w:val="Hyperlink"/>
          </w:rPr>
          <w:t>Anderson 1997</w:t>
        </w:r>
      </w:hyperlink>
      <w:r>
        <w:t xml:space="preserve">; </w:t>
      </w:r>
      <w:hyperlink w:anchor="Xa28c9ea88c31816fdf689427086ec96ae0e79fd">
        <w:r>
          <w:rPr>
            <w:rStyle w:val="Hyperlink"/>
          </w:rPr>
          <w:t>Andrushchenko et al. 2018</w:t>
        </w:r>
      </w:hyperlink>
      <w:r>
        <w:t xml:space="preserve">; </w:t>
      </w:r>
      <w:hyperlink w:anchor="ref-legaultStockAssessmentGeorges2018">
        <w:r>
          <w:rPr>
            <w:rStyle w:val="Hyperlink"/>
          </w:rPr>
          <w:t>Legault and McCurdy 2018</w:t>
        </w:r>
      </w:hyperlink>
      <w:r>
        <w:t>). However several lines of evidence suggest that fisheries are not inhibiting these stocks from re-establishing themselves in the southern or western portions of GB in more recent years. Th</w:t>
      </w:r>
      <w:r>
        <w:t>e lack of a large directed fishery for Atlantic Cod on GB since the early 1990s, along with the addition of two large closures in United States waters (</w:t>
      </w:r>
      <w:hyperlink w:anchor="ref-murawskiLargescaleClosedAreas2000">
        <w:r>
          <w:rPr>
            <w:rStyle w:val="Hyperlink"/>
          </w:rPr>
          <w:t>Murawski et al. 2000</w:t>
        </w:r>
      </w:hyperlink>
      <w:r>
        <w:t>) have not resulted in a</w:t>
      </w:r>
      <w:r>
        <w:t xml:space="preserve"> shift in the distribution of this stock back into southern or western portions of the bank. In addition, in the early 2000s there was a large increase in the biomass of Yellowtail Flounder, which lead to a short-lived directed fishery, that was followed b</w:t>
      </w:r>
      <w:r>
        <w:t>y a rapid decline in the biomass of this stock (</w:t>
      </w:r>
      <w:hyperlink w:anchor="ref-legaultStockAssessmentGeorges2018">
        <w:r>
          <w:rPr>
            <w:rStyle w:val="Hyperlink"/>
          </w:rPr>
          <w:t>Legault and McCurdy 2018</w:t>
        </w:r>
      </w:hyperlink>
      <w:r>
        <w:t>). During this ephemeral Yellowtail Flounder recovery, the size of the core area increased substantially on GB, but it remai</w:t>
      </w:r>
      <w:r>
        <w:t>ned centred on the ICJ line; there was no widespread re-establishment of this stock throughout southern and western regions where it was observed frequently in the 1970s. Finally, in recent years, bycatch of these two stocks in two lucrative scallop fisher</w:t>
      </w:r>
      <w:r>
        <w:t>ies on GB has been in decline (</w:t>
      </w:r>
      <w:hyperlink w:anchor="X386ec52bcfd85d20eeb581d944b464f9dea36c5">
        <w:r>
          <w:rPr>
            <w:rStyle w:val="Hyperlink"/>
          </w:rPr>
          <w:t>O’Keefe et al. 2014</w:t>
        </w:r>
      </w:hyperlink>
      <w:r>
        <w:t xml:space="preserve">; </w:t>
      </w:r>
      <w:hyperlink w:anchor="X0cc0d8a93df722e71c49e78bd344cb40c38ffdf">
        <w:r>
          <w:rPr>
            <w:rStyle w:val="Hyperlink"/>
          </w:rPr>
          <w:t>Keith et al. 2020</w:t>
        </w:r>
      </w:hyperlink>
      <w:r>
        <w:t>) but this has not resulted in an expansion of the distributi</w:t>
      </w:r>
      <w:r>
        <w:t>on of either stock. Given these patterns along with the regional trends observed for other stocks of these species (</w:t>
      </w:r>
      <w:hyperlink w:anchor="ref-bundySealsCodForage2009">
        <w:r>
          <w:rPr>
            <w:rStyle w:val="Hyperlink"/>
          </w:rPr>
          <w:t>Bundy et al. 2009</w:t>
        </w:r>
      </w:hyperlink>
      <w:r>
        <w:t xml:space="preserve">; </w:t>
      </w:r>
      <w:hyperlink w:anchor="ref-nfsc54thNortheastRegional2012">
        <w:r>
          <w:rPr>
            <w:rStyle w:val="Hyperlink"/>
          </w:rPr>
          <w:t>NFSC 2012</w:t>
        </w:r>
      </w:hyperlink>
      <w:r>
        <w:t xml:space="preserve">; </w:t>
      </w:r>
      <w:hyperlink w:anchor="ref-pershingSlowAdaptationFace2015">
        <w:r>
          <w:rPr>
            <w:rStyle w:val="Hyperlink"/>
          </w:rPr>
          <w:t>Pershing et al. 2015</w:t>
        </w:r>
      </w:hyperlink>
      <w:r>
        <w:t xml:space="preserve">; </w:t>
      </w:r>
      <w:hyperlink w:anchor="ref-noaaNOAAYellowtailFlounder2020">
        <w:r>
          <w:rPr>
            <w:rStyle w:val="Hyperlink"/>
          </w:rPr>
          <w:t>NOAA 2020</w:t>
        </w:r>
      </w:hyperlink>
      <w:r>
        <w:t>), it seems likely the distributions of both stocks on GB in recent years has been predominately influenced by en</w:t>
      </w:r>
      <w:r>
        <w:t>vironmental conditions.</w:t>
      </w:r>
    </w:p>
    <w:p w:rsidR="0080583B" w:rsidRDefault="002910EF">
      <w:pPr>
        <w:pStyle w:val="Heading3"/>
      </w:pPr>
      <w:bookmarkStart w:id="17" w:name="conclusion"/>
      <w:bookmarkEnd w:id="16"/>
      <w:r>
        <w:t>Conclusion</w:t>
      </w:r>
    </w:p>
    <w:p w:rsidR="0080583B" w:rsidRDefault="002910EF">
      <w:pPr>
        <w:pStyle w:val="FirstParagraph"/>
      </w:pPr>
      <w:r>
        <w:t>Temporally variable SDMs provide insight into how the distributions of Yellowtail Flounder and Atlantic Cod have changed on GB. The only static environmental data which had a significant effect on the stocks distributions</w:t>
      </w:r>
      <w:r>
        <w:t xml:space="preserve"> were the average SST (1997-2008), depth, and bottom type (Yellowtail Flounder only). The inter-annual shifts in the distributions indicate the increasing importance of Canadian waters for both stocks; these shifts are likely due to the long-term environme</w:t>
      </w:r>
      <w:r>
        <w:t>ntal shifts observed in the region. Given the habitat constraints faced by both stocks continued directed environmental change will likely put both stocks at increased risk of extirpation in the U.S. portion of Georges Bank and, eventually, all of GB irres</w:t>
      </w:r>
      <w:r>
        <w:t>pective of any fisheries management action. The shifts in species distribution identified by in these spatio-temporal models can be used to improve science advice and lead to more informed fisheries management decisions.</w:t>
      </w:r>
    </w:p>
    <w:p w:rsidR="0080583B" w:rsidRDefault="002910EF">
      <w:pPr>
        <w:pStyle w:val="Heading1"/>
      </w:pPr>
      <w:bookmarkStart w:id="18" w:name="acknowledgements"/>
      <w:bookmarkEnd w:id="15"/>
      <w:bookmarkEnd w:id="17"/>
      <w:r>
        <w:lastRenderedPageBreak/>
        <w:t>ACKNOWLEDGEMENTS</w:t>
      </w:r>
    </w:p>
    <w:p w:rsidR="0080583B" w:rsidRDefault="002910EF">
      <w:pPr>
        <w:pStyle w:val="FirstParagraph"/>
      </w:pPr>
      <w:r>
        <w:t>Thanks to Christin</w:t>
      </w:r>
      <w:r>
        <w:t>e Ward-Paige, Yanjun Wang, Dheeraj Busawon, Monica Finley, Phil Politis, and Nancy Shackell for help with data, questions, and the development and exploration of various parts of this project. Thanks to Trish Pearo Drew, Jamie Raper, and Brittany Wilson fo</w:t>
      </w:r>
      <w:r>
        <w:t>r general support. Finally, thanks to Dan Ricard and Joanna Mills Flemming for their feedback on a previous version of this manuscript. This project was made possible by funding from Fisheries and Oceans Canada (DFO) Strategic Program for Ecosystem-based R</w:t>
      </w:r>
      <w:r>
        <w:t>esearch and Advice (SPERA).</w:t>
      </w:r>
    </w:p>
    <w:p w:rsidR="0080583B" w:rsidRDefault="002910EF">
      <w:r>
        <w:br w:type="page"/>
      </w:r>
    </w:p>
    <w:p w:rsidR="0080583B" w:rsidRDefault="0080583B">
      <w:pPr>
        <w:pStyle w:val="BodyText"/>
      </w:pPr>
    </w:p>
    <w:p w:rsidR="0080583B" w:rsidRDefault="002910EF">
      <w:pPr>
        <w:pStyle w:val="Heading1"/>
      </w:pPr>
      <w:bookmarkStart w:id="19" w:name="references"/>
      <w:bookmarkEnd w:id="18"/>
      <w:r>
        <w:t>REFERENCES</w:t>
      </w:r>
    </w:p>
    <w:p w:rsidR="0080583B" w:rsidRDefault="002910EF">
      <w:pPr>
        <w:pStyle w:val="Bibliography"/>
      </w:pPr>
      <w:bookmarkStart w:id="20" w:name="X641ebdcafebfa4c0af72de49f1709c36edb6547"/>
      <w:bookmarkStart w:id="21" w:name="refs"/>
      <w:r>
        <w:t>Allyn, A.J., Alexander, M.A., Franklin, B.S., Massiot-Granier, F., Pershing, A.J., Scott, J.D., and Mills, K.E. 2020. Comparing and synthesizing quantitative distribution models and qualitative vulnerability assess</w:t>
      </w:r>
      <w:r>
        <w:t xml:space="preserve">ments to project marine species distributions under climate change. PLOS ONE </w:t>
      </w:r>
      <w:r>
        <w:rPr>
          <w:b/>
          <w:bCs/>
        </w:rPr>
        <w:t>15</w:t>
      </w:r>
      <w:r>
        <w:t>(4): e0231595. Public Library of Science. doi:</w:t>
      </w:r>
      <w:hyperlink r:id="rId12">
        <w:r>
          <w:rPr>
            <w:rStyle w:val="Hyperlink"/>
          </w:rPr>
          <w:t>10.1371/journal.pone.0231595</w:t>
        </w:r>
      </w:hyperlink>
      <w:r>
        <w:t>.</w:t>
      </w:r>
    </w:p>
    <w:p w:rsidR="0080583B" w:rsidRDefault="002910EF">
      <w:pPr>
        <w:pStyle w:val="Bibliography"/>
      </w:pPr>
      <w:bookmarkStart w:id="22" w:name="X9dcf4e425aa95c463211f653a869c9b38811d83"/>
      <w:bookmarkEnd w:id="20"/>
      <w:r>
        <w:t>Anderson, E.D. 1997. The history of f</w:t>
      </w:r>
      <w:r>
        <w:t>isheries management and scientific advice – the ICNAF/NAFO history from the end of World War II to the present. J. Northw. Atl. Fish. Sci.</w:t>
      </w:r>
    </w:p>
    <w:p w:rsidR="0080583B" w:rsidRDefault="002910EF">
      <w:pPr>
        <w:pStyle w:val="Bibliography"/>
      </w:pPr>
      <w:bookmarkStart w:id="23" w:name="Xe5737ff190e9ec79e021a99310d4516dc8dae50"/>
      <w:bookmarkEnd w:id="22"/>
      <w:r>
        <w:t>Andrushchenko, I., Legault, C.M., and Barrett, M.A. 2019. Alternative Methodologies for Providing Interim Catch Advic</w:t>
      </w:r>
      <w:r>
        <w:t>e for Eastern Georges Bank Cod.</w:t>
      </w:r>
    </w:p>
    <w:p w:rsidR="0080583B" w:rsidRDefault="002910EF">
      <w:pPr>
        <w:pStyle w:val="Bibliography"/>
      </w:pPr>
      <w:bookmarkStart w:id="24" w:name="Xa28c9ea88c31816fdf689427086ec96ae0e79fd"/>
      <w:bookmarkEnd w:id="23"/>
      <w:r>
        <w:t>Andrushchenko, I., Legault, C.M., Martin, R., Brooks, E.N., and Wang, Y. 2018. Assessment of Eastern Georges Bank Atlantic Cod for 2018.</w:t>
      </w:r>
    </w:p>
    <w:p w:rsidR="0080583B" w:rsidRDefault="002910EF">
      <w:pPr>
        <w:pStyle w:val="Bibliography"/>
      </w:pPr>
      <w:bookmarkStart w:id="25" w:name="ref-backusGeorgesBank1987"/>
      <w:bookmarkEnd w:id="24"/>
      <w:r>
        <w:t>Backus, R.H., and Bourne, D.W. 1987. Georges Bank. MIT, Cambridge, Mass.</w:t>
      </w:r>
    </w:p>
    <w:p w:rsidR="0080583B" w:rsidRDefault="002910EF">
      <w:pPr>
        <w:pStyle w:val="Bibliography"/>
      </w:pPr>
      <w:bookmarkStart w:id="26" w:name="ref-bakkaSpatialModellingRINLA2018"/>
      <w:bookmarkEnd w:id="25"/>
      <w:r>
        <w:t>Bakka, H., Rue</w:t>
      </w:r>
      <w:r>
        <w:t xml:space="preserve">, H., Fuglstad, G.-A., Riebler, A., Bolin, D., Krainski, E., Simpson, D., and Lindgren, F. 2018. Spatial modelling with R-INLA: A review. Available from </w:t>
      </w:r>
      <w:hyperlink r:id="rId13">
        <w:r>
          <w:rPr>
            <w:rStyle w:val="Hyperlink"/>
          </w:rPr>
          <w:t>https://arxiv.org/abs/1802.06350v2</w:t>
        </w:r>
      </w:hyperlink>
      <w:r>
        <w:t xml:space="preserve"> [accessed 22 S</w:t>
      </w:r>
      <w:r>
        <w:t>eptember 2020].</w:t>
      </w:r>
    </w:p>
    <w:p w:rsidR="0080583B" w:rsidRDefault="002910EF">
      <w:pPr>
        <w:pStyle w:val="Bibliography"/>
      </w:pPr>
      <w:bookmarkStart w:id="27" w:name="ref-bevertonDynamicsExploitedFish1957"/>
      <w:bookmarkEnd w:id="26"/>
      <w:r>
        <w:t>Beverton, R., and Holt, S. 1957. On the dynamics of exploited Fish Populations. UK Ministry of Agriculture, Fisheries and Food.</w:t>
      </w:r>
    </w:p>
    <w:p w:rsidR="0080583B" w:rsidRDefault="002910EF">
      <w:pPr>
        <w:pStyle w:val="Bibliography"/>
      </w:pPr>
      <w:bookmarkStart w:id="28" w:name="ref-boothBioclimFirstSpecies2014"/>
      <w:bookmarkEnd w:id="27"/>
      <w:r>
        <w:t>Booth, T.H., Nix, H.A., Busby, J.R., and Hutchinson, M.F. 2014. Bioclim: The first species distribution modellin</w:t>
      </w:r>
      <w:r>
        <w:t xml:space="preserve">g package, its early applications and relevance to most current MaxEnt studies. Diversity and Distributions </w:t>
      </w:r>
      <w:r>
        <w:rPr>
          <w:b/>
          <w:bCs/>
        </w:rPr>
        <w:t>20</w:t>
      </w:r>
      <w:r>
        <w:t>(1): 1–9. doi:</w:t>
      </w:r>
      <w:hyperlink r:id="rId14">
        <w:r>
          <w:rPr>
            <w:rStyle w:val="Hyperlink"/>
          </w:rPr>
          <w:t>10.1111/ddi.12144</w:t>
        </w:r>
      </w:hyperlink>
      <w:r>
        <w:t>.</w:t>
      </w:r>
    </w:p>
    <w:p w:rsidR="0080583B" w:rsidRDefault="002910EF">
      <w:pPr>
        <w:pStyle w:val="Bibliography"/>
      </w:pPr>
      <w:bookmarkStart w:id="29" w:name="Xc9ea2e3c9697e3a1aafde395ff6558a2222db6f"/>
      <w:bookmarkEnd w:id="28"/>
      <w:r>
        <w:t xml:space="preserve">Boudreau, S.A., Shackell, N.L., Carson, S., and Heyer, C.E. </w:t>
      </w:r>
      <w:r>
        <w:t xml:space="preserve">den. 2017. Connectivity, persistence, and loss of high abundance areas of a recovering marine fish population in the Northwest Atlantic Ocean. Ecology and Evolution </w:t>
      </w:r>
      <w:r>
        <w:rPr>
          <w:b/>
          <w:bCs/>
        </w:rPr>
        <w:t>7</w:t>
      </w:r>
      <w:r>
        <w:t>(22): 9739–9749. doi:</w:t>
      </w:r>
      <w:hyperlink r:id="rId15">
        <w:r>
          <w:rPr>
            <w:rStyle w:val="Hyperlink"/>
          </w:rPr>
          <w:t>10.1002/ece3.349</w:t>
        </w:r>
        <w:r>
          <w:rPr>
            <w:rStyle w:val="Hyperlink"/>
          </w:rPr>
          <w:t>5</w:t>
        </w:r>
      </w:hyperlink>
      <w:r>
        <w:t>.</w:t>
      </w:r>
    </w:p>
    <w:p w:rsidR="0080583B" w:rsidRDefault="002910EF">
      <w:pPr>
        <w:pStyle w:val="Bibliography"/>
      </w:pPr>
      <w:bookmarkStart w:id="30" w:name="X72909392b0ebd1f25547bb5760c82778ea3a788"/>
      <w:bookmarkEnd w:id="29"/>
      <w:r>
        <w:t xml:space="preserve">Box, E.O. 1981. Predicting Physiognomic Vegetation Types with Climate Variables. Vegetatio </w:t>
      </w:r>
      <w:r>
        <w:rPr>
          <w:b/>
          <w:bCs/>
        </w:rPr>
        <w:t>45</w:t>
      </w:r>
      <w:r>
        <w:t xml:space="preserve">(2): 127–139. Springer. Available from </w:t>
      </w:r>
      <w:hyperlink r:id="rId16">
        <w:r>
          <w:rPr>
            <w:rStyle w:val="Hyperlink"/>
          </w:rPr>
          <w:t>http://www.jstor.org/stable/20037033</w:t>
        </w:r>
      </w:hyperlink>
      <w:r>
        <w:t>.</w:t>
      </w:r>
    </w:p>
    <w:p w:rsidR="0080583B" w:rsidRDefault="002910EF">
      <w:pPr>
        <w:pStyle w:val="Bibliography"/>
      </w:pPr>
      <w:bookmarkStart w:id="31" w:name="ref-bundySealsCodForage2009"/>
      <w:bookmarkEnd w:id="30"/>
      <w:r>
        <w:t>Bundy, A., Heymans, J.J., M</w:t>
      </w:r>
      <w:r>
        <w:t xml:space="preserve">orissette, L., and Savenkoff, C. 2009. Seals, cod and forage fish: A comparative exploration of variations in the theme of stock collapse and ecosystem change in four Northwest Atlantic ecosystems. Progress in Oceanography </w:t>
      </w:r>
      <w:r>
        <w:rPr>
          <w:b/>
          <w:bCs/>
        </w:rPr>
        <w:t>81</w:t>
      </w:r>
      <w:r>
        <w:t>(1): 188–206. doi:</w:t>
      </w:r>
      <w:hyperlink r:id="rId17">
        <w:r>
          <w:rPr>
            <w:rStyle w:val="Hyperlink"/>
          </w:rPr>
          <w:t>10.1016/j.pocean.2009.04.010</w:t>
        </w:r>
      </w:hyperlink>
      <w:r>
        <w:t>.</w:t>
      </w:r>
    </w:p>
    <w:p w:rsidR="0080583B" w:rsidRDefault="002910EF">
      <w:pPr>
        <w:pStyle w:val="Bibliography"/>
      </w:pPr>
      <w:bookmarkStart w:id="32" w:name="ref-cadrinDefiningSpatialStructure2020a"/>
      <w:bookmarkEnd w:id="31"/>
      <w:r>
        <w:t xml:space="preserve">Cadrin, S.X. 2020. Defining spatial structure for fishery stock assessment. Fisheries Research </w:t>
      </w:r>
      <w:r>
        <w:rPr>
          <w:b/>
          <w:bCs/>
        </w:rPr>
        <w:t>221</w:t>
      </w:r>
      <w:r>
        <w:t>: 105397. doi:</w:t>
      </w:r>
      <w:hyperlink r:id="rId18">
        <w:r>
          <w:rPr>
            <w:rStyle w:val="Hyperlink"/>
          </w:rPr>
          <w:t>10.1016/j.fishres.2019.105397</w:t>
        </w:r>
      </w:hyperlink>
      <w:r>
        <w:t>.</w:t>
      </w:r>
    </w:p>
    <w:p w:rsidR="0080583B" w:rsidRDefault="002910EF">
      <w:pPr>
        <w:pStyle w:val="Bibliography"/>
      </w:pPr>
      <w:bookmarkStart w:id="33" w:name="ref-cbdAichiBiodiversityTargets2018"/>
      <w:bookmarkEnd w:id="32"/>
      <w:r>
        <w:lastRenderedPageBreak/>
        <w:t xml:space="preserve">CBD. 2018, May 11. Aichi Biodiversity Targets. Available from </w:t>
      </w:r>
      <w:hyperlink r:id="rId19">
        <w:r>
          <w:rPr>
            <w:rStyle w:val="Hyperlink"/>
          </w:rPr>
          <w:t>https://www.cbd.int/sp/targets/</w:t>
        </w:r>
      </w:hyperlink>
      <w:r>
        <w:t xml:space="preserve"> [accessed 11 March 2020].</w:t>
      </w:r>
    </w:p>
    <w:p w:rsidR="0080583B" w:rsidRDefault="002910EF">
      <w:pPr>
        <w:pStyle w:val="Bibliography"/>
      </w:pPr>
      <w:bookmarkStart w:id="34" w:name="Xef09a163493951c0f43275a087cc73f580105dd"/>
      <w:bookmarkEnd w:id="33"/>
      <w:r>
        <w:t xml:space="preserve">Cheung, W.W.L., Close, C., Lam, V., Watson, R., and Pauly, D. 2008. Application of macroecological theory to predict effects of climate change on global fisheries potential. Marine Ecology Progress Series </w:t>
      </w:r>
      <w:r>
        <w:rPr>
          <w:b/>
          <w:bCs/>
        </w:rPr>
        <w:t>365</w:t>
      </w:r>
      <w:r>
        <w:t>: 187–197. doi:</w:t>
      </w:r>
      <w:hyperlink r:id="rId20">
        <w:r>
          <w:rPr>
            <w:rStyle w:val="Hyperlink"/>
          </w:rPr>
          <w:t>10.3354/meps07414</w:t>
        </w:r>
      </w:hyperlink>
      <w:r>
        <w:t>.</w:t>
      </w:r>
    </w:p>
    <w:p w:rsidR="0080583B" w:rsidRDefault="002910EF">
      <w:pPr>
        <w:pStyle w:val="Bibliography"/>
      </w:pPr>
      <w:bookmarkStart w:id="35" w:name="Xe9d296218d103c3c5bffdb854fbe5e4b1995af3"/>
      <w:bookmarkEnd w:id="34"/>
      <w:r>
        <w:t xml:space="preserve">Cosandey-Godin, A., Krainski, E.T., Worm, B., and Flemming, J.M. 2015. Applying Bayesian spatiotemporal models to fisheries bycatch in the Canadian Arctic. Can. J. Fish. Aquat. Sci. </w:t>
      </w:r>
      <w:r>
        <w:rPr>
          <w:b/>
          <w:bCs/>
        </w:rPr>
        <w:t>72</w:t>
      </w:r>
      <w:r>
        <w:t>(2): 186–197. doi:</w:t>
      </w:r>
      <w:hyperlink r:id="rId21">
        <w:r>
          <w:rPr>
            <w:rStyle w:val="Hyperlink"/>
          </w:rPr>
          <w:t>10.1139/cjfas-2014-0159</w:t>
        </w:r>
      </w:hyperlink>
      <w:r>
        <w:t>.</w:t>
      </w:r>
    </w:p>
    <w:p w:rsidR="0080583B" w:rsidRDefault="002910EF">
      <w:pPr>
        <w:pStyle w:val="Bibliography"/>
      </w:pPr>
      <w:bookmarkStart w:id="36" w:name="ref-domischSpatiallyExplicitSpecies2019"/>
      <w:bookmarkEnd w:id="35"/>
      <w:r>
        <w:t>Domisch, S., Friedrichs, M., Hein, T., Borgwardt, F., Wetzig, A., Jähnig, S.C., and Langhans, S.D. 2019. Spatially explicit species distribution models: A missed opportunity in conservati</w:t>
      </w:r>
      <w:r>
        <w:t xml:space="preserve">on planning? Diversity and Distributions </w:t>
      </w:r>
      <w:r>
        <w:rPr>
          <w:b/>
          <w:bCs/>
        </w:rPr>
        <w:t>25</w:t>
      </w:r>
      <w:r>
        <w:t>(5): 758–769. doi:</w:t>
      </w:r>
      <w:hyperlink r:id="rId22">
        <w:r>
          <w:rPr>
            <w:rStyle w:val="Hyperlink"/>
          </w:rPr>
          <w:t>10.1111/ddi.12891</w:t>
        </w:r>
      </w:hyperlink>
      <w:r>
        <w:t>.</w:t>
      </w:r>
    </w:p>
    <w:p w:rsidR="0080583B" w:rsidRDefault="002910EF">
      <w:pPr>
        <w:pStyle w:val="Bibliography"/>
      </w:pPr>
      <w:bookmarkStart w:id="37" w:name="ref-elithSpeciesDistributionModels2009"/>
      <w:bookmarkEnd w:id="36"/>
      <w:r>
        <w:t>Elith, J., and Leathwick, J.R. 2009. Species Distribution Models: Ecological Explanation and Prediction Across Space and Ti</w:t>
      </w:r>
      <w:r>
        <w:t xml:space="preserve">me. Annu. Rev. Ecol. Evol. Syst. </w:t>
      </w:r>
      <w:r>
        <w:rPr>
          <w:b/>
          <w:bCs/>
        </w:rPr>
        <w:t>40</w:t>
      </w:r>
      <w:r>
        <w:t>(1): 677–697. doi:</w:t>
      </w:r>
      <w:hyperlink r:id="rId23">
        <w:r>
          <w:rPr>
            <w:rStyle w:val="Hyperlink"/>
          </w:rPr>
          <w:t>10.1146/annurev.ecolsys.110308.120159</w:t>
        </w:r>
      </w:hyperlink>
      <w:r>
        <w:t>.</w:t>
      </w:r>
    </w:p>
    <w:p w:rsidR="0080583B" w:rsidRDefault="002910EF">
      <w:pPr>
        <w:pStyle w:val="Bibliography"/>
      </w:pPr>
      <w:bookmarkStart w:id="38" w:name="ref-fuglstadConstructingPriorsThat2019"/>
      <w:bookmarkEnd w:id="37"/>
      <w:r>
        <w:t>Fuglstad, G.-A., Simpson, D., Lindgren, F., and Rue, H. 2019. Constructing Priors that Pena</w:t>
      </w:r>
      <w:r>
        <w:t xml:space="preserve">lize the Complexity of Gaussian Random Fields. null </w:t>
      </w:r>
      <w:r>
        <w:rPr>
          <w:b/>
          <w:bCs/>
        </w:rPr>
        <w:t>114</w:t>
      </w:r>
      <w:r>
        <w:t>(525): 445–452. Taylor &amp; Francis. doi:</w:t>
      </w:r>
      <w:hyperlink r:id="rId24">
        <w:r>
          <w:rPr>
            <w:rStyle w:val="Hyperlink"/>
          </w:rPr>
          <w:t>10.1080/01621459.2017.1415907</w:t>
        </w:r>
      </w:hyperlink>
      <w:r>
        <w:t>.</w:t>
      </w:r>
    </w:p>
    <w:p w:rsidR="0080583B" w:rsidRDefault="002910EF">
      <w:pPr>
        <w:pStyle w:val="Bibliography"/>
      </w:pPr>
      <w:bookmarkStart w:id="39" w:name="X40e4b90367109730a2718e09c02eacb1dce3e88"/>
      <w:bookmarkEnd w:id="38"/>
      <w:r>
        <w:t>Greenan, B.J.W., Shackell, N.L., Ferguson, K., Greyson, P., Cogswel</w:t>
      </w:r>
      <w:r>
        <w:t xml:space="preserve">l, A., Brickman, D., Wang, Z., Cook, A., Brennan, C.E., and Saba, V.S. 2019. Climate Change Vulnerability of American Lobster Fishing Communities in Atlantic Canada. Front. Mar. Sci. </w:t>
      </w:r>
      <w:r>
        <w:rPr>
          <w:b/>
          <w:bCs/>
        </w:rPr>
        <w:t>6</w:t>
      </w:r>
      <w:r>
        <w:t>. Frontiers. doi:</w:t>
      </w:r>
      <w:hyperlink r:id="rId25">
        <w:r>
          <w:rPr>
            <w:rStyle w:val="Hyperlink"/>
          </w:rPr>
          <w:t>10.3389/fmars.2019.00579</w:t>
        </w:r>
      </w:hyperlink>
      <w:r>
        <w:t>.</w:t>
      </w:r>
    </w:p>
    <w:p w:rsidR="0080583B" w:rsidRDefault="002910EF">
      <w:pPr>
        <w:pStyle w:val="Bibliography"/>
      </w:pPr>
      <w:bookmarkStart w:id="40" w:name="X20eebb7ac45ec5aee52640a9653d539f6a5eeab"/>
      <w:bookmarkEnd w:id="39"/>
      <w:r>
        <w:t>Greenlaw, M.E., Sameoto, J.A., Lawton, P., Wolff, N.H., Incze, L.S., Pitcher, C.R., Smith, S.J., and Drozdowski, A. 2010. A geodatabase of historical and contemporary oceanographic datasets for investigating the role of the p</w:t>
      </w:r>
      <w:r>
        <w:t xml:space="preserve">hysical environment in shaping patterns of seabed biodiversity in the Gulf of Maine. Available from </w:t>
      </w:r>
      <w:hyperlink r:id="rId26">
        <w:r>
          <w:rPr>
            <w:rStyle w:val="Hyperlink"/>
          </w:rPr>
          <w:t>http://waves-vagues.dfo-mpo.gc.ca/Library/342505.pdf</w:t>
        </w:r>
      </w:hyperlink>
      <w:r>
        <w:t>.</w:t>
      </w:r>
    </w:p>
    <w:p w:rsidR="0080583B" w:rsidRDefault="002910EF">
      <w:pPr>
        <w:pStyle w:val="Bibliography"/>
      </w:pPr>
      <w:bookmarkStart w:id="41" w:name="X2b0c2f4695e7093a431a3e535d437bdde075506"/>
      <w:bookmarkEnd w:id="40"/>
      <w:r>
        <w:t xml:space="preserve">Grinnell, J. 1904. The Origin </w:t>
      </w:r>
      <w:r>
        <w:t xml:space="preserve">and Distribution of the Chest-Nut-Backed Chickadee. The Auk </w:t>
      </w:r>
      <w:r>
        <w:rPr>
          <w:b/>
          <w:bCs/>
        </w:rPr>
        <w:t>21</w:t>
      </w:r>
      <w:r>
        <w:t>(3): 364–382. American Ornithological Society. doi:</w:t>
      </w:r>
      <w:hyperlink r:id="rId27">
        <w:r>
          <w:rPr>
            <w:rStyle w:val="Hyperlink"/>
          </w:rPr>
          <w:t>10.2307/4070199</w:t>
        </w:r>
      </w:hyperlink>
      <w:r>
        <w:t>.</w:t>
      </w:r>
    </w:p>
    <w:p w:rsidR="0080583B" w:rsidRDefault="002910EF">
      <w:pPr>
        <w:pStyle w:val="Bibliography"/>
      </w:pPr>
      <w:bookmarkStart w:id="42" w:name="ref-hallidayNorthAtlanticFishery1996"/>
      <w:bookmarkEnd w:id="41"/>
      <w:r>
        <w:t>Halliday, R.G., and Pinhorn, A.T. 1996. North Atlantic Fishery Management S</w:t>
      </w:r>
      <w:r>
        <w:t xml:space="preserve">ystems: A Comparison of Management Methods and Resource Trends. Journal of Northwest Atlantic Fishery Science; Dartmouth </w:t>
      </w:r>
      <w:r>
        <w:rPr>
          <w:b/>
          <w:bCs/>
        </w:rPr>
        <w:t>20</w:t>
      </w:r>
      <w:r>
        <w:t xml:space="preserve">. Northwest Atlantic Fisheries Org, Dartmouth, Canada, Dartmouth. Available from </w:t>
      </w:r>
      <w:hyperlink r:id="rId28">
        <w:r>
          <w:rPr>
            <w:rStyle w:val="Hyperlink"/>
          </w:rPr>
          <w:t>http://search.proquest.com/docview/2377266062/abstract/B0E1653EF6254974PQ/1</w:t>
        </w:r>
      </w:hyperlink>
      <w:r>
        <w:t xml:space="preserve"> [accessed 22 September 2020].</w:t>
      </w:r>
    </w:p>
    <w:p w:rsidR="0080583B" w:rsidRDefault="002910EF">
      <w:pPr>
        <w:pStyle w:val="Bibliography"/>
      </w:pPr>
      <w:bookmarkStart w:id="43" w:name="ref-halpernAchievingTripleBottom2013"/>
      <w:bookmarkEnd w:id="42"/>
      <w:r>
        <w:t>Halpern, B.S., Klein, C.J., Brown, C.J., Beger, M., Grantham, H.S., Mangubhai, S., Ruckelshaus, M., Tulloch</w:t>
      </w:r>
      <w:r>
        <w:t xml:space="preserve">, V.J., Watts, M., White, C., and Possingham, H.P. 2013. Achieving the triple bottom line in the face of inherent trade-offs among social equity, economic return, and conservation. PNAS </w:t>
      </w:r>
      <w:r>
        <w:rPr>
          <w:b/>
          <w:bCs/>
        </w:rPr>
        <w:t>110</w:t>
      </w:r>
      <w:r>
        <w:t>(15): 6229–6234. doi:</w:t>
      </w:r>
      <w:hyperlink r:id="rId29">
        <w:r>
          <w:rPr>
            <w:rStyle w:val="Hyperlink"/>
          </w:rPr>
          <w:t>10.1073/pnas.1217689110</w:t>
        </w:r>
      </w:hyperlink>
      <w:r>
        <w:t>.</w:t>
      </w:r>
    </w:p>
    <w:p w:rsidR="0080583B" w:rsidRDefault="002910EF">
      <w:pPr>
        <w:pStyle w:val="Bibliography"/>
      </w:pPr>
      <w:bookmarkStart w:id="44" w:name="Xda9d4cc8f946e4ba2888c3552833b9a67b9f362"/>
      <w:bookmarkEnd w:id="43"/>
      <w:r>
        <w:lastRenderedPageBreak/>
        <w:t>Hilborn, R., and Walters, C.J. 1992. Quantitative fisheries stock assessment: Choice, dynamics and uncertainty. Chapman and Hall, New York.</w:t>
      </w:r>
    </w:p>
    <w:p w:rsidR="0080583B" w:rsidRDefault="002910EF">
      <w:pPr>
        <w:pStyle w:val="Bibliography"/>
      </w:pPr>
      <w:bookmarkStart w:id="45" w:name="ref-johnsonYellowtailFlounderLimanda1999"/>
      <w:bookmarkEnd w:id="44"/>
      <w:r>
        <w:t>Johnson, D.L., Morse, W.W., Berrien, P.L., and Vitaliano, J.J. 1999. Yellowtail Flounder, Limanda ferruginea, Life History and Habitat Characteristics. NOAA Technical Memorandum.</w:t>
      </w:r>
    </w:p>
    <w:p w:rsidR="0080583B" w:rsidRDefault="002910EF">
      <w:pPr>
        <w:pStyle w:val="Bibliography"/>
      </w:pPr>
      <w:bookmarkStart w:id="46" w:name="ref-kavanaughThirtyThreeYearsOcean2017"/>
      <w:bookmarkEnd w:id="45"/>
      <w:r>
        <w:t>Kavanaugh, M.T., Rheuban, J.E., Luis, K.M.A., and Doney, S.C. 2017. Thirty-Th</w:t>
      </w:r>
      <w:r>
        <w:t xml:space="preserve">ree Years of Ocean Benthic Warming Along the U.S. Northeast Continental Shelf and Slope: Patterns, Drivers, and Ecological Consequences. Journal of Geophysical Research: Oceans </w:t>
      </w:r>
      <w:r>
        <w:rPr>
          <w:b/>
          <w:bCs/>
        </w:rPr>
        <w:t>122</w:t>
      </w:r>
      <w:r>
        <w:t>(12): 9399–9414. doi:</w:t>
      </w:r>
      <w:hyperlink r:id="rId30">
        <w:r>
          <w:rPr>
            <w:rStyle w:val="Hyperlink"/>
          </w:rPr>
          <w:t>10.1002/2017JC012953</w:t>
        </w:r>
      </w:hyperlink>
      <w:r>
        <w:t>.</w:t>
      </w:r>
    </w:p>
    <w:p w:rsidR="0080583B" w:rsidRDefault="002910EF">
      <w:pPr>
        <w:pStyle w:val="Bibliography"/>
      </w:pPr>
      <w:bookmarkStart w:id="47" w:name="X0cc0d8a93df722e71c49e78bd344cb40c38ffdf"/>
      <w:bookmarkEnd w:id="46"/>
      <w:r>
        <w:t xml:space="preserve">Keith, D.M., Sameoto, J.A., Keyser, F.M., and Ward-Paige, C.A. 2020. Evaluating socio-economic and conservation impacts of management: A case study of time-area closures on Georges Bank. PLOS ONE </w:t>
      </w:r>
      <w:r>
        <w:rPr>
          <w:b/>
          <w:bCs/>
        </w:rPr>
        <w:t>15</w:t>
      </w:r>
      <w:r>
        <w:t>(10): e0240322. Public Library of S</w:t>
      </w:r>
      <w:r>
        <w:t>cience. doi:</w:t>
      </w:r>
      <w:hyperlink r:id="rId31">
        <w:r>
          <w:rPr>
            <w:rStyle w:val="Hyperlink"/>
          </w:rPr>
          <w:t>10.1371/journal.pone.0240322</w:t>
        </w:r>
      </w:hyperlink>
      <w:r>
        <w:t>.</w:t>
      </w:r>
    </w:p>
    <w:p w:rsidR="0080583B" w:rsidRDefault="002910EF">
      <w:pPr>
        <w:pStyle w:val="Bibliography"/>
      </w:pPr>
      <w:bookmarkStart w:id="48" w:name="X9fda6dcb8957dc3010b781e0e341d7ffc02749b"/>
      <w:bookmarkEnd w:id="47"/>
      <w:r>
        <w:t>Kristensen, K., Nielsen, A., Berg, C.W., Skaug, H., and Bell, B.M. 2016. TMB: Automatic Differentiation and Laplace Approximation. Journal of Statisti</w:t>
      </w:r>
      <w:r>
        <w:t xml:space="preserve">cal Software </w:t>
      </w:r>
      <w:r>
        <w:rPr>
          <w:b/>
          <w:bCs/>
        </w:rPr>
        <w:t>70</w:t>
      </w:r>
      <w:r>
        <w:t>(1): 1–21. doi:</w:t>
      </w:r>
      <w:hyperlink r:id="rId32">
        <w:r>
          <w:rPr>
            <w:rStyle w:val="Hyperlink"/>
          </w:rPr>
          <w:t>10.18637/jss.v070.i05</w:t>
        </w:r>
      </w:hyperlink>
      <w:r>
        <w:t>.</w:t>
      </w:r>
    </w:p>
    <w:p w:rsidR="0080583B" w:rsidRDefault="002910EF">
      <w:pPr>
        <w:pStyle w:val="Bibliography"/>
      </w:pPr>
      <w:bookmarkStart w:id="49" w:name="ref-leachModellingInfluenceBiotic2016"/>
      <w:bookmarkEnd w:id="48"/>
      <w:r>
        <w:t xml:space="preserve">Leach, K., Montgomery, W.I., and Reid, N. 2016. Modelling the influence of biotic factors on species distribution patterns. Ecological Modelling </w:t>
      </w:r>
      <w:r>
        <w:rPr>
          <w:b/>
          <w:bCs/>
        </w:rPr>
        <w:t>3</w:t>
      </w:r>
      <w:r>
        <w:rPr>
          <w:b/>
          <w:bCs/>
        </w:rPr>
        <w:t>37</w:t>
      </w:r>
      <w:r>
        <w:t>: 96–106. doi:</w:t>
      </w:r>
      <w:hyperlink r:id="rId33">
        <w:r>
          <w:rPr>
            <w:rStyle w:val="Hyperlink"/>
          </w:rPr>
          <w:t>10.1016/j.ecolmodel.2016.06.008</w:t>
        </w:r>
      </w:hyperlink>
      <w:r>
        <w:t>.</w:t>
      </w:r>
    </w:p>
    <w:p w:rsidR="0080583B" w:rsidRDefault="002910EF">
      <w:pPr>
        <w:pStyle w:val="Bibliography"/>
      </w:pPr>
      <w:bookmarkStart w:id="50" w:name="ref-legaultStockAssessmentGeorges2018"/>
      <w:bookmarkEnd w:id="49"/>
      <w:r>
        <w:t xml:space="preserve">Legault, C.M., and McCurdy, Q.M. 2018. Stock Assessment of Georges Bank Yellowtail Flounder for 2018. TRAC. Ref. Doc </w:t>
      </w:r>
      <w:r>
        <w:rPr>
          <w:b/>
          <w:bCs/>
        </w:rPr>
        <w:t>2018/03</w:t>
      </w:r>
      <w:r>
        <w:t>: 64.</w:t>
      </w:r>
    </w:p>
    <w:p w:rsidR="0080583B" w:rsidRDefault="002910EF">
      <w:pPr>
        <w:pStyle w:val="Bibliography"/>
      </w:pPr>
      <w:bookmarkStart w:id="51" w:name="ref-lindgrenBayesianSpatialModelling2015"/>
      <w:bookmarkEnd w:id="50"/>
      <w:r>
        <w:t xml:space="preserve">Lindgren, </w:t>
      </w:r>
      <w:r>
        <w:t xml:space="preserve">F., and Rue, H. 2015. Bayesian Spatial Modelling with R-INLA. Journal of Statistical Software </w:t>
      </w:r>
      <w:r>
        <w:rPr>
          <w:b/>
          <w:bCs/>
        </w:rPr>
        <w:t>63</w:t>
      </w:r>
      <w:r>
        <w:t>(1, 1): 1–25. doi:</w:t>
      </w:r>
      <w:hyperlink r:id="rId34">
        <w:r>
          <w:rPr>
            <w:rStyle w:val="Hyperlink"/>
          </w:rPr>
          <w:t>10.18637/jss.v063.i19</w:t>
        </w:r>
      </w:hyperlink>
      <w:r>
        <w:t>.</w:t>
      </w:r>
    </w:p>
    <w:p w:rsidR="0080583B" w:rsidRDefault="002910EF">
      <w:pPr>
        <w:pStyle w:val="Bibliography"/>
      </w:pPr>
      <w:bookmarkStart w:id="52" w:name="Xabec9d6aceacb92388cea5494eeb4ab54cbadb5"/>
      <w:bookmarkEnd w:id="51"/>
      <w:r>
        <w:t>Martínez-Minaya, J., Cameletti, M., Conesa, D., and Pennino, M</w:t>
      </w:r>
      <w:r>
        <w:t xml:space="preserve">.G. 2018. Species distribution modeling: A statistical review with focus in spatio-temporal issues. Stoch Environ Res Risk Assess </w:t>
      </w:r>
      <w:r>
        <w:rPr>
          <w:b/>
          <w:bCs/>
        </w:rPr>
        <w:t>32</w:t>
      </w:r>
      <w:r>
        <w:t>(11): 3227–3244. doi:</w:t>
      </w:r>
      <w:hyperlink r:id="rId35">
        <w:r>
          <w:rPr>
            <w:rStyle w:val="Hyperlink"/>
          </w:rPr>
          <w:t>10.1007/s00477-018-1548-7</w:t>
        </w:r>
      </w:hyperlink>
      <w:r>
        <w:t>.</w:t>
      </w:r>
    </w:p>
    <w:p w:rsidR="0080583B" w:rsidRDefault="002910EF">
      <w:pPr>
        <w:pStyle w:val="Bibliography"/>
      </w:pPr>
      <w:bookmarkStart w:id="53" w:name="ref-mchenryProjectingMarineSpecies2019"/>
      <w:bookmarkEnd w:id="52"/>
      <w:r>
        <w:t>McHenry, J., We</w:t>
      </w:r>
      <w:r>
        <w:t xml:space="preserve">lch, H., Lester, S.E., and Saba, V. 2019. Projecting marine species range shifts from only temperature can mask climate vulnerability. Global Change Biology </w:t>
      </w:r>
      <w:r>
        <w:rPr>
          <w:b/>
          <w:bCs/>
        </w:rPr>
        <w:t>0</w:t>
      </w:r>
      <w:r>
        <w:t>(0). doi:</w:t>
      </w:r>
      <w:hyperlink r:id="rId36">
        <w:r>
          <w:rPr>
            <w:rStyle w:val="Hyperlink"/>
          </w:rPr>
          <w:t>10.1111/gcb.14828</w:t>
        </w:r>
      </w:hyperlink>
      <w:r>
        <w:t>.</w:t>
      </w:r>
    </w:p>
    <w:p w:rsidR="0080583B" w:rsidRDefault="002910EF">
      <w:pPr>
        <w:pStyle w:val="Bibliography"/>
      </w:pPr>
      <w:bookmarkStart w:id="54" w:name="ref-mcmullen2014GISData2014"/>
      <w:bookmarkEnd w:id="53"/>
      <w:r>
        <w:t>McMullen, K.Y., P</w:t>
      </w:r>
      <w:r>
        <w:t xml:space="preserve">askevich, V.F., and Poppe, L.J. 2014. 2014, GIS data catalog, in Poppe, L.J., McMullen, K.Y., Williams, S.J., And Paskevich, V.F., Eds., 2014, USGS east-coast sediment analysis: Procedures, database, and GIS data (ver. 3.0, November 2014). Available from </w:t>
      </w:r>
      <w:hyperlink r:id="rId37">
        <w:r>
          <w:rPr>
            <w:rStyle w:val="Hyperlink"/>
          </w:rPr>
          <w:t>http://pubs.usgs.gov/of/2005/1001/</w:t>
        </w:r>
      </w:hyperlink>
      <w:r>
        <w:t>.</w:t>
      </w:r>
    </w:p>
    <w:p w:rsidR="0080583B" w:rsidRDefault="002910EF">
      <w:pPr>
        <w:pStyle w:val="Bibliography"/>
      </w:pPr>
      <w:bookmarkStart w:id="55" w:name="X45a9a89a24fb129f687a58ed5664036165a3520"/>
      <w:bookmarkEnd w:id="54"/>
      <w:r>
        <w:t>Merow, C., LaFleur, N., Silander Jr., J.A., Wilson, A.M., and Rubega, M. 2011. Developing Dynamic Mechanistic Species Distribution Models: Predicting Bird-Mediated Spr</w:t>
      </w:r>
      <w:r>
        <w:t xml:space="preserve">ead of Invasive Plants across Northeastern North America. The American Naturalist </w:t>
      </w:r>
      <w:r>
        <w:rPr>
          <w:b/>
          <w:bCs/>
        </w:rPr>
        <w:t>178</w:t>
      </w:r>
      <w:r>
        <w:t>(1): 30–43. The University of Chicago Press. doi:</w:t>
      </w:r>
      <w:hyperlink r:id="rId38">
        <w:r>
          <w:rPr>
            <w:rStyle w:val="Hyperlink"/>
          </w:rPr>
          <w:t>10.1086/660295</w:t>
        </w:r>
      </w:hyperlink>
      <w:r>
        <w:t>.</w:t>
      </w:r>
    </w:p>
    <w:p w:rsidR="0080583B" w:rsidRDefault="002910EF">
      <w:pPr>
        <w:pStyle w:val="Bibliography"/>
      </w:pPr>
      <w:bookmarkStart w:id="56" w:name="ref-murawskiLargescaleClosedAreas2000"/>
      <w:bookmarkEnd w:id="55"/>
      <w:r>
        <w:lastRenderedPageBreak/>
        <w:t>Murawski, S.A., Brown, R., Lai, H.-L., Rago, P.J., and H</w:t>
      </w:r>
      <w:r>
        <w:t xml:space="preserve">endrickson, L. 2000. Large-scale closed areas as a fishery-management tool in temperate marine systems: The Georges Bank experience. Bull. US FIsh Comm </w:t>
      </w:r>
      <w:r>
        <w:rPr>
          <w:b/>
          <w:bCs/>
        </w:rPr>
        <w:t>66</w:t>
      </w:r>
      <w:r>
        <w:t xml:space="preserve">: 775–798. Available from </w:t>
      </w:r>
      <w:hyperlink r:id="rId39">
        <w:r>
          <w:rPr>
            <w:rStyle w:val="Hyperlink"/>
          </w:rPr>
          <w:t>https://www.ingentaconnect.com/content/umrsmas/bullmar/2000/00000066/00000003/art00020</w:t>
        </w:r>
      </w:hyperlink>
      <w:r>
        <w:t xml:space="preserve"> [accessed 24 July 2019].</w:t>
      </w:r>
    </w:p>
    <w:p w:rsidR="0080583B" w:rsidRDefault="002910EF">
      <w:pPr>
        <w:pStyle w:val="Bibliography"/>
      </w:pPr>
      <w:bookmarkStart w:id="57" w:name="ref-nfsc54thNortheastRegional2012"/>
      <w:bookmarkEnd w:id="56"/>
      <w:r>
        <w:t>NFSC. 2012. 54th Northeast Regional Stock Assessment Workshop (54th SAW</w:t>
      </w:r>
      <w:r>
        <w:t xml:space="preserve">), assessment summary report. Available from </w:t>
      </w:r>
      <w:hyperlink r:id="rId40">
        <w:r>
          <w:rPr>
            <w:rStyle w:val="Hyperlink"/>
          </w:rPr>
          <w:t>https://repository.library.noaa.gov/view/noaa/4184</w:t>
        </w:r>
      </w:hyperlink>
      <w:r>
        <w:t xml:space="preserve"> [accessed 1 September 2020].</w:t>
      </w:r>
    </w:p>
    <w:p w:rsidR="0080583B" w:rsidRDefault="002910EF">
      <w:pPr>
        <w:pStyle w:val="Bibliography"/>
      </w:pPr>
      <w:bookmarkStart w:id="58" w:name="ref-noaaNOAAYellowtailFlounder2020"/>
      <w:bookmarkEnd w:id="57"/>
      <w:r>
        <w:t>NOAA. 2020. NOAA Yellowtail Flounder Overview. Accessed Septe</w:t>
      </w:r>
      <w:r>
        <w:t xml:space="preserve">mber 1, 2020. https://www.fisheries.noaa.gov/species/yellowtail-flounder#overview. NOAA Yellowtail Flounder Overview. Available from </w:t>
      </w:r>
      <w:hyperlink r:id="rId41" w:anchor="overview">
        <w:r>
          <w:rPr>
            <w:rStyle w:val="Hyperlink"/>
          </w:rPr>
          <w:t>https://www.fisheries.noaa.gov/</w:t>
        </w:r>
        <w:r>
          <w:rPr>
            <w:rStyle w:val="Hyperlink"/>
          </w:rPr>
          <w:t>species/yellowtail-flounder#overview</w:t>
        </w:r>
      </w:hyperlink>
      <w:r>
        <w:t xml:space="preserve"> [accessed 1 September 2020].</w:t>
      </w:r>
    </w:p>
    <w:p w:rsidR="0080583B" w:rsidRDefault="002910EF">
      <w:pPr>
        <w:pStyle w:val="Bibliography"/>
      </w:pPr>
      <w:bookmarkStart w:id="59" w:name="X386ec52bcfd85d20eeb581d944b464f9dea36c5"/>
      <w:bookmarkEnd w:id="58"/>
      <w:r>
        <w:t xml:space="preserve">O’Keefe, C.E., Cadrin, S.X., and Stokesbury, K.D.E. 2014. Evaluating effectiveness of time/area closures, quotas/caps, and fleet communications to reduce fisheries bycatch. ICES J Mar Sci </w:t>
      </w:r>
      <w:r>
        <w:rPr>
          <w:b/>
          <w:bCs/>
        </w:rPr>
        <w:t>71</w:t>
      </w:r>
      <w:r>
        <w:t>(5): 1286–1297. doi:</w:t>
      </w:r>
      <w:hyperlink r:id="rId42">
        <w:r>
          <w:rPr>
            <w:rStyle w:val="Hyperlink"/>
          </w:rPr>
          <w:t>10.1093/icesjms/fst063</w:t>
        </w:r>
      </w:hyperlink>
      <w:r>
        <w:t>.</w:t>
      </w:r>
    </w:p>
    <w:p w:rsidR="0080583B" w:rsidRDefault="002910EF">
      <w:pPr>
        <w:pStyle w:val="Bibliography"/>
      </w:pPr>
      <w:bookmarkStart w:id="60" w:name="ref-pershingSlowAdaptationFace2015"/>
      <w:bookmarkEnd w:id="59"/>
      <w:r>
        <w:t>Pershing, A.J., Alexander, M.A., Hernandez, C.M., Kerr, L.A., Bris, A.L., Mills, K.E., Nye, J.A., Record, N.R., Scannell, H.A., Scott, J.D., Sherwood, G.D</w:t>
      </w:r>
      <w:r>
        <w:t xml:space="preserve">., and Thomas, A.C. 2015. Slow adaptation in the face of rapid warming leads to collapse of the Gulf of Maine cod fishery. Science </w:t>
      </w:r>
      <w:r>
        <w:rPr>
          <w:b/>
          <w:bCs/>
        </w:rPr>
        <w:t>350</w:t>
      </w:r>
      <w:r>
        <w:t>(6262): 809–812. American Association for the Advancement of Science. doi:</w:t>
      </w:r>
      <w:hyperlink r:id="rId43">
        <w:r>
          <w:rPr>
            <w:rStyle w:val="Hyperlink"/>
          </w:rPr>
          <w:t>10.1126/science.aac9819</w:t>
        </w:r>
      </w:hyperlink>
      <w:r>
        <w:t>.</w:t>
      </w:r>
    </w:p>
    <w:p w:rsidR="0080583B" w:rsidRDefault="002910EF">
      <w:pPr>
        <w:pStyle w:val="Bibliography"/>
      </w:pPr>
      <w:bookmarkStart w:id="61" w:name="X7b3c79bfb7654af1f4b03dba64dad1a6765c972"/>
      <w:bookmarkEnd w:id="60"/>
      <w:r>
        <w:t xml:space="preserve">R Core Team. 2020. R: A language and environment for statistical computing. R Foundation for Statistical Computing, Vienna, Austria. Available from </w:t>
      </w:r>
      <w:hyperlink r:id="rId44">
        <w:r>
          <w:rPr>
            <w:rStyle w:val="Hyperlink"/>
          </w:rPr>
          <w:t>https://www.R-project.org/</w:t>
        </w:r>
      </w:hyperlink>
      <w:r>
        <w:t>.</w:t>
      </w:r>
    </w:p>
    <w:p w:rsidR="0080583B" w:rsidRDefault="002910EF">
      <w:pPr>
        <w:pStyle w:val="Bibliography"/>
      </w:pPr>
      <w:bookmarkStart w:id="62" w:name="X23a5438454de93f058bf06d4eb551a4916a8d7c"/>
      <w:bookmarkEnd w:id="61"/>
      <w:r>
        <w:t xml:space="preserve">Reuchlin-Hugenholtz, E., Shackell, N.L., and Hutchings, J.A. 2015. The Potential for Spatial Distribution Indices to Signal Thresholds in Marine Fish Biomass. PLOS ONE </w:t>
      </w:r>
      <w:r>
        <w:rPr>
          <w:b/>
          <w:bCs/>
        </w:rPr>
        <w:t>10</w:t>
      </w:r>
      <w:r>
        <w:t>(3): e0120500. Public Library of Science. doi:</w:t>
      </w:r>
      <w:hyperlink r:id="rId45">
        <w:r>
          <w:rPr>
            <w:rStyle w:val="Hyperlink"/>
          </w:rPr>
          <w:t>10.1371/journal.pone.0120500</w:t>
        </w:r>
      </w:hyperlink>
      <w:r>
        <w:t>.</w:t>
      </w:r>
    </w:p>
    <w:p w:rsidR="0080583B" w:rsidRDefault="002910EF">
      <w:pPr>
        <w:pStyle w:val="Bibliography"/>
      </w:pPr>
      <w:bookmarkStart w:id="63" w:name="ref-rickerFurtherNotesFishing1944"/>
      <w:bookmarkEnd w:id="62"/>
      <w:r>
        <w:t xml:space="preserve">Ricker, W.E. 1944. Further Notes on Fishing Mortality and Effort. Copeia </w:t>
      </w:r>
      <w:r>
        <w:rPr>
          <w:b/>
          <w:bCs/>
        </w:rPr>
        <w:t>1944</w:t>
      </w:r>
      <w:r>
        <w:t>(1): 23–44. doi:</w:t>
      </w:r>
      <w:hyperlink r:id="rId46">
        <w:r>
          <w:rPr>
            <w:rStyle w:val="Hyperlink"/>
          </w:rPr>
          <w:t>10.2307/1438245</w:t>
        </w:r>
      </w:hyperlink>
      <w:r>
        <w:t>.</w:t>
      </w:r>
    </w:p>
    <w:p w:rsidR="0080583B" w:rsidRDefault="002910EF">
      <w:pPr>
        <w:pStyle w:val="Bibliography"/>
      </w:pPr>
      <w:bookmarkStart w:id="64" w:name="Xf9cc38473ed8313b625eef6dd83e832a413696b"/>
      <w:bookmarkEnd w:id="63"/>
      <w:r>
        <w:t xml:space="preserve">Ricker, W.E. 1975. Computation and </w:t>
      </w:r>
      <w:r>
        <w:t>Interpretation of Biological Statistics of Fish Populaions. Environment Canada, Ottawa.</w:t>
      </w:r>
    </w:p>
    <w:p w:rsidR="0080583B" w:rsidRDefault="002910EF">
      <w:pPr>
        <w:pStyle w:val="Bibliography"/>
      </w:pPr>
      <w:bookmarkStart w:id="65" w:name="ref-robinsonPushingLimitsMarine2011"/>
      <w:bookmarkEnd w:id="64"/>
      <w:r>
        <w:t>Robinson, L.M., Elith, J., Hobday, A.J., Pearson, R.G., Kendall, B.E., Possingham, H.P., and Richardson, A.J. 2011. Pushing the limits in marine species distribution mo</w:t>
      </w:r>
      <w:r>
        <w:t xml:space="preserve">delling: Lessons from the land present challenges and opportunities. Global Ecology and Biogeography </w:t>
      </w:r>
      <w:r>
        <w:rPr>
          <w:b/>
          <w:bCs/>
        </w:rPr>
        <w:t>20</w:t>
      </w:r>
      <w:r>
        <w:t>(6): 789–802. doi:</w:t>
      </w:r>
      <w:hyperlink r:id="rId47">
        <w:r>
          <w:rPr>
            <w:rStyle w:val="Hyperlink"/>
          </w:rPr>
          <w:t>10.1111/j.1466-8238.2010.00636.x</w:t>
        </w:r>
      </w:hyperlink>
      <w:r>
        <w:t>.</w:t>
      </w:r>
    </w:p>
    <w:p w:rsidR="0080583B" w:rsidRDefault="002910EF">
      <w:pPr>
        <w:pStyle w:val="Bibliography"/>
      </w:pPr>
      <w:bookmarkStart w:id="66" w:name="ref-rueBayesianComputingINLA2016"/>
      <w:bookmarkEnd w:id="65"/>
      <w:r>
        <w:t>Rue, H., Riebler, A., Sørbye, S.H</w:t>
      </w:r>
      <w:r>
        <w:t xml:space="preserve">., Illian, J.B., Simpson, D.P., and Lindgren, F.K. 2016. Bayesian Computing with INLA: A Review. Available from </w:t>
      </w:r>
      <w:hyperlink r:id="rId48">
        <w:r>
          <w:rPr>
            <w:rStyle w:val="Hyperlink"/>
          </w:rPr>
          <w:t>https://arxiv.org/abs/1604.00860v2</w:t>
        </w:r>
      </w:hyperlink>
      <w:r>
        <w:t xml:space="preserve"> [accessed 22 September 2020].</w:t>
      </w:r>
    </w:p>
    <w:p w:rsidR="0080583B" w:rsidRDefault="002910EF">
      <w:pPr>
        <w:pStyle w:val="Bibliography"/>
      </w:pPr>
      <w:bookmarkStart w:id="67" w:name="ref-smithAnalysisDataBottom1996"/>
      <w:bookmarkEnd w:id="66"/>
      <w:r>
        <w:t>Smith, S.J. 1996. Analysi</w:t>
      </w:r>
      <w:r>
        <w:t>s of Data from Bottom Trawl Surveys. NAFO Scientific Council Studies (28): 25–53.</w:t>
      </w:r>
    </w:p>
    <w:p w:rsidR="0080583B" w:rsidRDefault="002910EF">
      <w:pPr>
        <w:pStyle w:val="Bibliography"/>
      </w:pPr>
      <w:bookmarkStart w:id="68" w:name="X0b09a21b065124699f16b7b859edf6997c8d6eb"/>
      <w:bookmarkEnd w:id="67"/>
      <w:r>
        <w:lastRenderedPageBreak/>
        <w:t>Sundblad, G., Bergström, U., and Sandström, A. 2011. Ecological coherence of marine protected area networks: A spatial assessment using species distribution models. Journal o</w:t>
      </w:r>
      <w:r>
        <w:t xml:space="preserve">f Applied Ecology </w:t>
      </w:r>
      <w:r>
        <w:rPr>
          <w:b/>
          <w:bCs/>
        </w:rPr>
        <w:t>48</w:t>
      </w:r>
      <w:r>
        <w:t>(1): 112–120. doi:</w:t>
      </w:r>
      <w:hyperlink r:id="rId49">
        <w:r>
          <w:rPr>
            <w:rStyle w:val="Hyperlink"/>
          </w:rPr>
          <w:t>10.1111/j.1365-2664.2010.01892.x</w:t>
        </w:r>
      </w:hyperlink>
      <w:r>
        <w:t>.</w:t>
      </w:r>
    </w:p>
    <w:p w:rsidR="0080583B" w:rsidRDefault="002910EF">
      <w:pPr>
        <w:pStyle w:val="Bibliography"/>
      </w:pPr>
      <w:bookmarkStart w:id="69" w:name="ref-thorsonGuidanceDecisionsUsing2019"/>
      <w:bookmarkEnd w:id="68"/>
      <w:r>
        <w:t xml:space="preserve">Thorson, J.T. 2019. Guidance for decisions using the Vector Autoregressive Spatio-Temporal (VAST) package in stock, </w:t>
      </w:r>
      <w:r>
        <w:t xml:space="preserve">ecosystem, habitat and climate assessments. Fisheries Research </w:t>
      </w:r>
      <w:r>
        <w:rPr>
          <w:b/>
          <w:bCs/>
        </w:rPr>
        <w:t>210</w:t>
      </w:r>
      <w:r>
        <w:t>: 143–161. doi:</w:t>
      </w:r>
      <w:hyperlink r:id="rId50">
        <w:r>
          <w:rPr>
            <w:rStyle w:val="Hyperlink"/>
          </w:rPr>
          <w:t>10.1016/j.fishres.2018.10.013</w:t>
        </w:r>
      </w:hyperlink>
      <w:r>
        <w:t>.</w:t>
      </w:r>
    </w:p>
    <w:p w:rsidR="0080583B" w:rsidRDefault="002910EF">
      <w:pPr>
        <w:pStyle w:val="Bibliography"/>
      </w:pPr>
      <w:bookmarkStart w:id="70" w:name="ref-thorsonJointDynamicSpecies2016"/>
      <w:bookmarkEnd w:id="69"/>
      <w:r>
        <w:t xml:space="preserve">Thorson, J.T., Ianelli, J.N., Larsen, E.A., Ries, L., Scheuerell, M.D., Szuwalski, C., and Zipkin, E.F. 2016. Joint dynamic species distribution models: A tool for community ordination and spatio-temporal monitoring. Global Ecology and Biogeography </w:t>
      </w:r>
      <w:r>
        <w:rPr>
          <w:b/>
          <w:bCs/>
        </w:rPr>
        <w:t>25</w:t>
      </w:r>
      <w:r>
        <w:t xml:space="preserve">(9): </w:t>
      </w:r>
      <w:r>
        <w:t>1144–1158. doi:</w:t>
      </w:r>
      <w:hyperlink r:id="rId51">
        <w:r>
          <w:rPr>
            <w:rStyle w:val="Hyperlink"/>
          </w:rPr>
          <w:t>10.1111/geb.12464</w:t>
        </w:r>
      </w:hyperlink>
      <w:r>
        <w:t>.</w:t>
      </w:r>
    </w:p>
    <w:p w:rsidR="0080583B" w:rsidRDefault="002910EF">
      <w:pPr>
        <w:pStyle w:val="Bibliography"/>
      </w:pPr>
      <w:bookmarkStart w:id="71" w:name="ref-tmgcDevelopmentSharingAllocation2002"/>
      <w:bookmarkEnd w:id="70"/>
      <w:r>
        <w:t>TMGC. 2002. Development of a Sharing Allocation Proposal for Transboundary Resources of Cod, Haddock and Yellowtail Flounder on Georges Bank. Fisheries and Oceans Canada</w:t>
      </w:r>
      <w:r>
        <w:t xml:space="preserve">. Fisheries Management Regional Report </w:t>
      </w:r>
      <w:r>
        <w:rPr>
          <w:b/>
          <w:bCs/>
        </w:rPr>
        <w:t>2002/01</w:t>
      </w:r>
      <w:r>
        <w:t xml:space="preserve">: 1–59. Available from </w:t>
      </w:r>
      <w:hyperlink r:id="rId52">
        <w:r>
          <w:rPr>
            <w:rStyle w:val="Hyperlink"/>
          </w:rPr>
          <w:t>http://www.bio.gc.ca/info/intercol/tmgc-cogst/documents/FMR_2002_01.pdf</w:t>
        </w:r>
      </w:hyperlink>
      <w:r>
        <w:t>.</w:t>
      </w:r>
    </w:p>
    <w:p w:rsidR="0080583B" w:rsidRDefault="002910EF">
      <w:pPr>
        <w:pStyle w:val="Bibliography"/>
      </w:pPr>
      <w:bookmarkStart w:id="72" w:name="X4c25c5b716c4c78232b55f3f643ffb200fd9483"/>
      <w:bookmarkEnd w:id="71"/>
      <w:r>
        <w:t>Townsend, D.W., and Pet</w:t>
      </w:r>
      <w:r>
        <w:t xml:space="preserve">tigrew, N.R. 1997. Nitrogen limitation of secondary production on Georges Bank. J Plankton Res </w:t>
      </w:r>
      <w:r>
        <w:rPr>
          <w:b/>
          <w:bCs/>
        </w:rPr>
        <w:t>19</w:t>
      </w:r>
      <w:r>
        <w:t>(2): 221–235. doi:</w:t>
      </w:r>
      <w:hyperlink r:id="rId53">
        <w:r>
          <w:rPr>
            <w:rStyle w:val="Hyperlink"/>
          </w:rPr>
          <w:t>10.1093/plankt/19.2.221</w:t>
        </w:r>
      </w:hyperlink>
      <w:r>
        <w:t>.</w:t>
      </w:r>
    </w:p>
    <w:p w:rsidR="0080583B" w:rsidRDefault="002910EF">
      <w:pPr>
        <w:pStyle w:val="Bibliography"/>
      </w:pPr>
      <w:bookmarkStart w:id="73" w:name="ref-valentineSeaFloorEnvironment1991"/>
      <w:bookmarkEnd w:id="72"/>
      <w:r>
        <w:t>Valentine, P., and Lough, R.G. 1991. The Sea Floor Enviro</w:t>
      </w:r>
      <w:r>
        <w:t>nment and the Fishery of Eastern Georges Bank - The Influence of Geological and Oceanographic Environmental Factors on the Abundance and Distribution of Fisheries Resources of the Northeast United States Continental Shelf. Open- File Rep: 91–439.</w:t>
      </w:r>
    </w:p>
    <w:p w:rsidR="0080583B" w:rsidRDefault="002910EF">
      <w:pPr>
        <w:pStyle w:val="Bibliography"/>
      </w:pPr>
      <w:bookmarkStart w:id="74" w:name="ref-yinReviewSpatiotemporalModel"/>
      <w:bookmarkEnd w:id="73"/>
      <w:r>
        <w:t xml:space="preserve">Yin, Y., </w:t>
      </w:r>
      <w:r>
        <w:t>Sameoto, J.A., Keith, D.M., and Mills Flemming, J. (n.d.). (In Review) A Spatiotemporal Model of the Meat Weight - Shell Height Relationship for Sea Scallops in the Bay of Fundy.</w:t>
      </w:r>
    </w:p>
    <w:p w:rsidR="0080583B" w:rsidRDefault="002910EF">
      <w:pPr>
        <w:pStyle w:val="Bibliography"/>
      </w:pPr>
      <w:bookmarkStart w:id="75" w:name="ref-zuurProtocolDataExploration2010"/>
      <w:bookmarkEnd w:id="74"/>
      <w:r>
        <w:t>Zuur, A.F., Ieno, E.N., and Elphick, C.S. 2010. A protocol for data explorati</w:t>
      </w:r>
      <w:r>
        <w:t xml:space="preserve">on to avoid common statistical problems: Data exploration. Methods in Ecology and Evolution </w:t>
      </w:r>
      <w:r>
        <w:rPr>
          <w:b/>
          <w:bCs/>
        </w:rPr>
        <w:t>1</w:t>
      </w:r>
      <w:r>
        <w:t>(1): 3–14. doi:</w:t>
      </w:r>
      <w:hyperlink r:id="rId54">
        <w:r>
          <w:rPr>
            <w:rStyle w:val="Hyperlink"/>
          </w:rPr>
          <w:t>10.1111/j.2041-210X.2009.00001.x</w:t>
        </w:r>
      </w:hyperlink>
      <w:r>
        <w:t>.</w:t>
      </w:r>
    </w:p>
    <w:p w:rsidR="0080583B" w:rsidRDefault="002910EF">
      <w:pPr>
        <w:pStyle w:val="Bibliography"/>
      </w:pPr>
      <w:bookmarkStart w:id="76" w:name="ref-zuurBeginnerGuideSpatial2018"/>
      <w:bookmarkEnd w:id="75"/>
      <w:r>
        <w:t>Zuur, A.F., and Leno, E.N. 2018. Beginner’s gu</w:t>
      </w:r>
      <w:r>
        <w:t>ide to spatial, temporal, and spatial-temporal ecological data analysis with R-INLA /. Highland Statistics Ltd, Newburgh, United Kingdom.</w:t>
      </w:r>
    </w:p>
    <w:p w:rsidR="0080583B" w:rsidRDefault="002910EF">
      <w:pPr>
        <w:pStyle w:val="Bibliography"/>
      </w:pPr>
      <w:bookmarkStart w:id="77" w:name="ref-zuurBeginnerGuideSpatial2017"/>
      <w:bookmarkEnd w:id="76"/>
      <w:r>
        <w:t>Zuur, A.F., Leno, E.N., and Saveliev, A.A. 2017. Beginner’s guide to spatial, temporal, and spatial-temporal ecologica</w:t>
      </w:r>
      <w:r>
        <w:t>l data analysis with R-INLA /. Highland Statistics Ltd, Newburgh, United Kingdom.</w:t>
      </w:r>
    </w:p>
    <w:bookmarkEnd w:id="21"/>
    <w:bookmarkEnd w:id="77"/>
    <w:p w:rsidR="0080583B" w:rsidRDefault="002910EF">
      <w:r>
        <w:br w:type="page"/>
      </w:r>
    </w:p>
    <w:p w:rsidR="0080583B" w:rsidRDefault="002910EF">
      <w:pPr>
        <w:pStyle w:val="Heading1"/>
      </w:pPr>
      <w:bookmarkStart w:id="78" w:name="ref-tabs"/>
      <w:bookmarkEnd w:id="19"/>
      <w:r>
        <w:lastRenderedPageBreak/>
        <w:t>TABLES</w:t>
      </w:r>
    </w:p>
    <w:p w:rsidR="0080583B" w:rsidRDefault="002910EF">
      <w:pPr>
        <w:pStyle w:val="TableCaption"/>
      </w:pPr>
      <w:r>
        <w:t>Table 1: Environmental variables used in the analysis. Variables in  were retained after Variance Inflation Factor (VIF) analyses and were included in the linear mod</w:t>
      </w:r>
      <w:r>
        <w:t>els. Variables in  were used for the Princpal Component Analysis (PCA)</w:t>
      </w:r>
    </w:p>
    <w:tbl>
      <w:tblPr>
        <w:tblStyle w:val="Table"/>
        <w:tblW w:w="5000" w:type="pct"/>
        <w:tblLook w:val="0020" w:firstRow="1" w:lastRow="0" w:firstColumn="0" w:lastColumn="0" w:noHBand="0" w:noVBand="0"/>
        <w:tblCaption w:val="Table 1: Environmental variables used in the analysis. Variables in  were retained after Variance Inflation Factor (VIF) analyses and were included in the linear models. Variables in  were used for the Princpal Component Analysis (PCA)"/>
      </w:tblPr>
      <w:tblGrid>
        <w:gridCol w:w="3166"/>
        <w:gridCol w:w="1504"/>
        <w:gridCol w:w="2169"/>
        <w:gridCol w:w="1703"/>
        <w:gridCol w:w="1034"/>
      </w:tblGrid>
      <w:tr w:rsidR="0080583B">
        <w:trPr>
          <w:cnfStyle w:val="100000000000" w:firstRow="1" w:lastRow="0" w:firstColumn="0" w:lastColumn="0" w:oddVBand="0" w:evenVBand="0" w:oddHBand="0" w:evenHBand="0" w:firstRowFirstColumn="0" w:firstRowLastColumn="0" w:lastRowFirstColumn="0" w:lastRowLastColumn="0"/>
        </w:trPr>
        <w:tc>
          <w:tcPr>
            <w:tcW w:w="0" w:type="auto"/>
          </w:tcPr>
          <w:p w:rsidR="0080583B" w:rsidRDefault="002910EF">
            <w:pPr>
              <w:pStyle w:val="Compact"/>
            </w:pPr>
            <w:r>
              <w:t>Data</w:t>
            </w:r>
          </w:p>
        </w:tc>
        <w:tc>
          <w:tcPr>
            <w:tcW w:w="0" w:type="auto"/>
          </w:tcPr>
          <w:p w:rsidR="0080583B" w:rsidRDefault="002910EF">
            <w:pPr>
              <w:pStyle w:val="Compact"/>
            </w:pPr>
            <w:r>
              <w:t>Variable</w:t>
            </w:r>
          </w:p>
        </w:tc>
        <w:tc>
          <w:tcPr>
            <w:tcW w:w="0" w:type="auto"/>
          </w:tcPr>
          <w:p w:rsidR="0080583B" w:rsidRDefault="002910EF">
            <w:pPr>
              <w:pStyle w:val="Compact"/>
            </w:pPr>
            <w:r>
              <w:t>Source</w:t>
            </w:r>
          </w:p>
        </w:tc>
        <w:tc>
          <w:tcPr>
            <w:tcW w:w="0" w:type="auto"/>
          </w:tcPr>
          <w:p w:rsidR="0080583B" w:rsidRDefault="002910EF">
            <w:pPr>
              <w:pStyle w:val="Compact"/>
            </w:pPr>
            <w:r>
              <w:t>Resolution(m)</w:t>
            </w:r>
          </w:p>
        </w:tc>
        <w:tc>
          <w:tcPr>
            <w:tcW w:w="0" w:type="auto"/>
          </w:tcPr>
          <w:p w:rsidR="0080583B" w:rsidRDefault="002910EF">
            <w:pPr>
              <w:pStyle w:val="Compact"/>
            </w:pPr>
            <w:r>
              <w:t>Units</w:t>
            </w:r>
          </w:p>
        </w:tc>
      </w:tr>
      <w:tr w:rsidR="0080583B">
        <w:tc>
          <w:tcPr>
            <w:tcW w:w="0" w:type="auto"/>
          </w:tcPr>
          <w:p w:rsidR="0080583B" w:rsidRDefault="002910EF">
            <w:pPr>
              <w:pStyle w:val="Compact"/>
            </w:pPr>
            <w:r>
              <w:t>USGS Yearly median Bottom Shear Stress</w:t>
            </w:r>
          </w:p>
        </w:tc>
        <w:tc>
          <w:tcPr>
            <w:tcW w:w="0" w:type="auto"/>
          </w:tcPr>
          <w:p w:rsidR="0080583B" w:rsidRDefault="002910EF">
            <w:pPr>
              <w:pStyle w:val="Compact"/>
            </w:pPr>
            <w:r>
              <w:t>Year.median</w:t>
            </w:r>
          </w:p>
        </w:tc>
        <w:tc>
          <w:tcPr>
            <w:tcW w:w="0" w:type="auto"/>
          </w:tcPr>
          <w:p w:rsidR="0080583B" w:rsidRDefault="002910EF">
            <w:pPr>
              <w:pStyle w:val="Compact"/>
            </w:pPr>
            <m:oMathPara>
              <m:oMath>
                <m:r>
                  <w:rPr>
                    <w:rFonts w:ascii="Cambria Math" w:hAnsi="Cambria Math"/>
                  </w:rPr>
                  <m:t>USGS</m:t>
                </m:r>
                <m:r>
                  <m:rPr>
                    <m:sty m:val="p"/>
                  </m:rPr>
                  <w:rPr>
                    <w:rFonts w:ascii="Cambria Math" w:hAnsi="Cambria Math"/>
                  </w:rPr>
                  <m:t>(</m:t>
                </m:r>
                <m:r>
                  <w:rPr>
                    <w:rFonts w:ascii="Cambria Math" w:hAnsi="Cambria Math"/>
                  </w:rPr>
                  <m:t>SFS</m:t>
                </m:r>
                <m:r>
                  <m:rPr>
                    <m:sty m:val="p"/>
                  </m:rPr>
                  <w:rPr>
                    <w:rFonts w:ascii="Cambria Math" w:hAnsi="Cambria Math"/>
                  </w:rPr>
                  <m:t>-</m:t>
                </m:r>
                <m:r>
                  <w:rPr>
                    <w:rFonts w:ascii="Cambria Math" w:hAnsi="Cambria Math"/>
                  </w:rPr>
                  <m:t>SMD</m:t>
                </m:r>
                <m:sSup>
                  <m:sSupPr>
                    <m:ctrlPr>
                      <w:rPr>
                        <w:rFonts w:ascii="Cambria Math" w:hAnsi="Cambria Math"/>
                      </w:rPr>
                    </m:ctrlPr>
                  </m:sSupPr>
                  <m:e>
                    <m:r>
                      <m:rPr>
                        <m:sty m:val="p"/>
                      </m:rPr>
                      <w:rPr>
                        <w:rFonts w:ascii="Cambria Math" w:hAnsi="Cambria Math"/>
                      </w:rPr>
                      <m:t>)</m:t>
                    </m:r>
                  </m:e>
                  <m:sup>
                    <m:r>
                      <w:rPr>
                        <w:rFonts w:ascii="Cambria Math" w:hAnsi="Cambria Math"/>
                      </w:rPr>
                      <m:t>3</m:t>
                    </m:r>
                  </m:sup>
                </m:sSup>
              </m:oMath>
            </m:oMathPara>
          </w:p>
        </w:tc>
        <w:tc>
          <w:tcPr>
            <w:tcW w:w="0" w:type="auto"/>
          </w:tcPr>
          <w:p w:rsidR="0080583B" w:rsidRDefault="002910EF">
            <w:pPr>
              <w:pStyle w:val="Compact"/>
            </w:pPr>
            <w:r>
              <w:t>3500</w:t>
            </w:r>
          </w:p>
        </w:tc>
        <w:tc>
          <w:tcPr>
            <w:tcW w:w="0" w:type="auto"/>
          </w:tcPr>
          <w:p w:rsidR="0080583B" w:rsidRDefault="002910EF">
            <w:pPr>
              <w:pStyle w:val="Compact"/>
            </w:pPr>
            <m:oMathPara>
              <m:oMath>
                <m:r>
                  <w:rPr>
                    <w:rFonts w:ascii="Cambria Math" w:hAnsi="Cambria Math"/>
                  </w:rPr>
                  <m:t>Pa</m:t>
                </m:r>
              </m:oMath>
            </m:oMathPara>
          </w:p>
        </w:tc>
      </w:tr>
      <w:tr w:rsidR="0080583B">
        <w:tc>
          <w:tcPr>
            <w:tcW w:w="0" w:type="auto"/>
          </w:tcPr>
          <w:p w:rsidR="0080583B" w:rsidRDefault="002910EF">
            <w:pPr>
              <w:pStyle w:val="Compact"/>
            </w:pPr>
            <w:r>
              <w:t>Stratification from 1996-2007</w:t>
            </w:r>
          </w:p>
        </w:tc>
        <w:tc>
          <w:tcPr>
            <w:tcW w:w="0" w:type="auto"/>
          </w:tcPr>
          <w:p w:rsidR="0080583B" w:rsidRDefault="002910EF">
            <w:pPr>
              <w:pStyle w:val="Compact"/>
            </w:pPr>
            <w:r>
              <w:t>strat</w:t>
            </w:r>
          </w:p>
        </w:tc>
        <w:tc>
          <w:tcPr>
            <w:tcW w:w="0" w:type="auto"/>
          </w:tcPr>
          <w:p w:rsidR="0080583B" w:rsidRDefault="002910EF">
            <w:pPr>
              <w:pStyle w:val="Compact"/>
            </w:pPr>
            <m:oMathPara>
              <m:oMath>
                <m:r>
                  <w:rPr>
                    <w:rFonts w:ascii="Cambria Math" w:hAnsi="Cambria Math"/>
                  </w:rPr>
                  <m:t>CoM</m:t>
                </m:r>
                <m:sSup>
                  <m:sSupPr>
                    <m:ctrlPr>
                      <w:rPr>
                        <w:rFonts w:ascii="Cambria Math" w:hAnsi="Cambria Math"/>
                      </w:rPr>
                    </m:ctrlPr>
                  </m:sSupPr>
                  <m:e>
                    <m:r>
                      <w:rPr>
                        <w:rFonts w:ascii="Cambria Math" w:hAnsi="Cambria Math"/>
                      </w:rPr>
                      <m:t>L</m:t>
                    </m:r>
                  </m:e>
                  <m:sup>
                    <m:r>
                      <w:rPr>
                        <w:rFonts w:ascii="Cambria Math" w:hAnsi="Cambria Math"/>
                      </w:rPr>
                      <m:t>1</m:t>
                    </m:r>
                  </m:sup>
                </m:sSup>
              </m:oMath>
            </m:oMathPara>
          </w:p>
        </w:tc>
        <w:tc>
          <w:tcPr>
            <w:tcW w:w="0" w:type="auto"/>
          </w:tcPr>
          <w:p w:rsidR="0080583B" w:rsidRDefault="002910EF">
            <w:pPr>
              <w:pStyle w:val="Compact"/>
            </w:pPr>
            <w:r>
              <w:t>2500</w:t>
            </w:r>
          </w:p>
        </w:tc>
        <w:tc>
          <w:tcPr>
            <w:tcW w:w="0" w:type="auto"/>
          </w:tcPr>
          <w:p w:rsidR="0080583B" w:rsidRDefault="002910EF">
            <w:pPr>
              <w:pStyle w:val="Compact"/>
            </w:pPr>
            <w:r>
              <w:t>none</w:t>
            </w:r>
          </w:p>
        </w:tc>
      </w:tr>
      <w:tr w:rsidR="0080583B">
        <w:tc>
          <w:tcPr>
            <w:tcW w:w="0" w:type="auto"/>
          </w:tcPr>
          <w:p w:rsidR="0080583B" w:rsidRDefault="002910EF">
            <w:pPr>
              <w:pStyle w:val="Compact"/>
            </w:pPr>
            <w:r>
              <w:t>Seasonal Range of SST</w:t>
            </w:r>
          </w:p>
        </w:tc>
        <w:tc>
          <w:tcPr>
            <w:tcW w:w="0" w:type="auto"/>
          </w:tcPr>
          <w:p w:rsidR="0080583B" w:rsidRDefault="002910EF">
            <w:pPr>
              <w:pStyle w:val="Compact"/>
            </w:pPr>
            <w:r>
              <w:t>sst.rg</w:t>
            </w:r>
          </w:p>
        </w:tc>
        <w:tc>
          <w:tcPr>
            <w:tcW w:w="0" w:type="auto"/>
          </w:tcPr>
          <w:p w:rsidR="0080583B" w:rsidRDefault="002910EF">
            <w:pPr>
              <w:pStyle w:val="Compact"/>
            </w:pPr>
            <m:oMathPara>
              <m:oMath>
                <m:r>
                  <w:rPr>
                    <w:rFonts w:ascii="Cambria Math" w:hAnsi="Cambria Math"/>
                  </w:rPr>
                  <m:t>CoM</m:t>
                </m:r>
                <m:sSup>
                  <m:sSupPr>
                    <m:ctrlPr>
                      <w:rPr>
                        <w:rFonts w:ascii="Cambria Math" w:hAnsi="Cambria Math"/>
                      </w:rPr>
                    </m:ctrlPr>
                  </m:sSupPr>
                  <m:e>
                    <m:r>
                      <w:rPr>
                        <w:rFonts w:ascii="Cambria Math" w:hAnsi="Cambria Math"/>
                      </w:rPr>
                      <m:t>L</m:t>
                    </m:r>
                  </m:e>
                  <m:sup>
                    <m:r>
                      <w:rPr>
                        <w:rFonts w:ascii="Cambria Math" w:hAnsi="Cambria Math"/>
                      </w:rPr>
                      <m:t>1</m:t>
                    </m:r>
                  </m:sup>
                </m:sSup>
              </m:oMath>
            </m:oMathPara>
          </w:p>
        </w:tc>
        <w:tc>
          <w:tcPr>
            <w:tcW w:w="0" w:type="auto"/>
          </w:tcPr>
          <w:p w:rsidR="0080583B" w:rsidRDefault="002910EF">
            <w:pPr>
              <w:pStyle w:val="Compact"/>
            </w:pPr>
            <w:r>
              <w:t>972</w:t>
            </w:r>
          </w:p>
        </w:tc>
        <w:tc>
          <w:tcPr>
            <w:tcW w:w="0" w:type="auto"/>
          </w:tcPr>
          <w:p w:rsidR="0080583B" w:rsidRDefault="002910EF">
            <w:pPr>
              <w:pStyle w:val="Compact"/>
            </w:pPr>
            <m:oMathPara>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r>
                  <w:rPr>
                    <w:rFonts w:ascii="Cambria Math" w:hAnsi="Cambria Math"/>
                  </w:rPr>
                  <m:t>C</m:t>
                </m:r>
              </m:oMath>
            </m:oMathPara>
          </w:p>
        </w:tc>
      </w:tr>
      <w:tr w:rsidR="0080583B">
        <w:tc>
          <w:tcPr>
            <w:tcW w:w="0" w:type="auto"/>
          </w:tcPr>
          <w:p w:rsidR="0080583B" w:rsidRDefault="002910EF">
            <w:pPr>
              <w:pStyle w:val="Compact"/>
            </w:pPr>
            <w:r>
              <w:t>Average SST</w:t>
            </w:r>
          </w:p>
        </w:tc>
        <w:tc>
          <w:tcPr>
            <w:tcW w:w="0" w:type="auto"/>
          </w:tcPr>
          <w:p w:rsidR="0080583B" w:rsidRDefault="002910EF">
            <w:pPr>
              <w:pStyle w:val="Compact"/>
            </w:pPr>
            <w:r>
              <w:t>sst.avg</w:t>
            </w:r>
          </w:p>
        </w:tc>
        <w:tc>
          <w:tcPr>
            <w:tcW w:w="0" w:type="auto"/>
          </w:tcPr>
          <w:p w:rsidR="0080583B" w:rsidRDefault="002910EF">
            <w:pPr>
              <w:pStyle w:val="Compact"/>
            </w:pPr>
            <m:oMathPara>
              <m:oMath>
                <m:r>
                  <w:rPr>
                    <w:rFonts w:ascii="Cambria Math" w:hAnsi="Cambria Math"/>
                  </w:rPr>
                  <m:t>CoM</m:t>
                </m:r>
                <m:sSup>
                  <m:sSupPr>
                    <m:ctrlPr>
                      <w:rPr>
                        <w:rFonts w:ascii="Cambria Math" w:hAnsi="Cambria Math"/>
                      </w:rPr>
                    </m:ctrlPr>
                  </m:sSupPr>
                  <m:e>
                    <m:r>
                      <w:rPr>
                        <w:rFonts w:ascii="Cambria Math" w:hAnsi="Cambria Math"/>
                      </w:rPr>
                      <m:t>L</m:t>
                    </m:r>
                  </m:e>
                  <m:sup>
                    <m:r>
                      <w:rPr>
                        <w:rFonts w:ascii="Cambria Math" w:hAnsi="Cambria Math"/>
                      </w:rPr>
                      <m:t>1</m:t>
                    </m:r>
                  </m:sup>
                </m:sSup>
              </m:oMath>
            </m:oMathPara>
          </w:p>
        </w:tc>
        <w:tc>
          <w:tcPr>
            <w:tcW w:w="0" w:type="auto"/>
          </w:tcPr>
          <w:p w:rsidR="0080583B" w:rsidRDefault="002910EF">
            <w:pPr>
              <w:pStyle w:val="Compact"/>
            </w:pPr>
            <w:r>
              <w:t>972</w:t>
            </w:r>
          </w:p>
        </w:tc>
        <w:tc>
          <w:tcPr>
            <w:tcW w:w="0" w:type="auto"/>
          </w:tcPr>
          <w:p w:rsidR="0080583B" w:rsidRDefault="002910EF">
            <w:pPr>
              <w:pStyle w:val="Compact"/>
            </w:pPr>
            <m:oMathPara>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r>
                  <w:rPr>
                    <w:rFonts w:ascii="Cambria Math" w:hAnsi="Cambria Math"/>
                  </w:rPr>
                  <m:t>C</m:t>
                </m:r>
              </m:oMath>
            </m:oMathPara>
          </w:p>
        </w:tc>
      </w:tr>
      <w:tr w:rsidR="0080583B">
        <w:tc>
          <w:tcPr>
            <w:tcW w:w="0" w:type="auto"/>
          </w:tcPr>
          <w:p w:rsidR="0080583B" w:rsidRDefault="002910EF">
            <w:pPr>
              <w:pStyle w:val="Compact"/>
            </w:pPr>
            <w:r>
              <w:t>Benthic Silicate</w:t>
            </w:r>
          </w:p>
        </w:tc>
        <w:tc>
          <w:tcPr>
            <w:tcW w:w="0" w:type="auto"/>
          </w:tcPr>
          <w:p w:rsidR="0080583B" w:rsidRDefault="002910EF">
            <w:pPr>
              <w:pStyle w:val="Compact"/>
            </w:pPr>
            <w:r>
              <w:t>sil</w:t>
            </w:r>
          </w:p>
        </w:tc>
        <w:tc>
          <w:tcPr>
            <w:tcW w:w="0" w:type="auto"/>
          </w:tcPr>
          <w:p w:rsidR="0080583B" w:rsidRDefault="002910EF">
            <w:pPr>
              <w:pStyle w:val="Compact"/>
            </w:pPr>
            <m:oMathPara>
              <m:oMath>
                <m:r>
                  <w:rPr>
                    <w:rFonts w:ascii="Cambria Math" w:hAnsi="Cambria Math"/>
                  </w:rPr>
                  <m:t>CoM</m:t>
                </m:r>
                <m:sSup>
                  <m:sSupPr>
                    <m:ctrlPr>
                      <w:rPr>
                        <w:rFonts w:ascii="Cambria Math" w:hAnsi="Cambria Math"/>
                      </w:rPr>
                    </m:ctrlPr>
                  </m:sSupPr>
                  <m:e>
                    <m:r>
                      <w:rPr>
                        <w:rFonts w:ascii="Cambria Math" w:hAnsi="Cambria Math"/>
                      </w:rPr>
                      <m:t>L</m:t>
                    </m:r>
                  </m:e>
                  <m:sup>
                    <m:r>
                      <w:rPr>
                        <w:rFonts w:ascii="Cambria Math" w:hAnsi="Cambria Math"/>
                      </w:rPr>
                      <m:t>1</m:t>
                    </m:r>
                  </m:sup>
                </m:sSup>
              </m:oMath>
            </m:oMathPara>
          </w:p>
        </w:tc>
        <w:tc>
          <w:tcPr>
            <w:tcW w:w="0" w:type="auto"/>
          </w:tcPr>
          <w:p w:rsidR="0080583B" w:rsidRDefault="002910EF">
            <w:pPr>
              <w:pStyle w:val="Compact"/>
            </w:pPr>
            <w:r>
              <w:t>6000</w:t>
            </w:r>
          </w:p>
        </w:tc>
        <w:tc>
          <w:tcPr>
            <w:tcW w:w="0" w:type="auto"/>
          </w:tcPr>
          <w:p w:rsidR="0080583B" w:rsidRDefault="002910EF">
            <w:pPr>
              <w:pStyle w:val="Compact"/>
            </w:pPr>
            <m:oMathPara>
              <m:oMath>
                <m:r>
                  <w:rPr>
                    <w:rFonts w:ascii="Cambria Math" w:hAnsi="Cambria Math"/>
                  </w:rPr>
                  <m:t>µ</m:t>
                </m:r>
                <m:r>
                  <w:rPr>
                    <w:rFonts w:ascii="Cambria Math" w:hAnsi="Cambria Math"/>
                  </w:rPr>
                  <m:t>M</m:t>
                </m:r>
              </m:oMath>
            </m:oMathPara>
          </w:p>
        </w:tc>
      </w:tr>
      <w:tr w:rsidR="0080583B">
        <w:tc>
          <w:tcPr>
            <w:tcW w:w="0" w:type="auto"/>
          </w:tcPr>
          <w:p w:rsidR="0080583B" w:rsidRDefault="002910EF">
            <w:pPr>
              <w:pStyle w:val="Compact"/>
            </w:pPr>
            <w:r>
              <w:t>Sediment Grain size (CONMAP)</w:t>
            </w:r>
          </w:p>
        </w:tc>
        <w:tc>
          <w:tcPr>
            <w:tcW w:w="0" w:type="auto"/>
          </w:tcPr>
          <w:p w:rsidR="0080583B" w:rsidRDefault="002910EF">
            <w:pPr>
              <w:pStyle w:val="Compact"/>
            </w:pPr>
            <w:r>
              <w:t>Sed</w:t>
            </w:r>
          </w:p>
        </w:tc>
        <w:tc>
          <w:tcPr>
            <w:tcW w:w="0" w:type="auto"/>
          </w:tcPr>
          <w:p w:rsidR="0080583B" w:rsidRDefault="002910EF">
            <w:pPr>
              <w:pStyle w:val="Compact"/>
            </w:pPr>
            <m:oMathPara>
              <m:oMath>
                <m:r>
                  <w:rPr>
                    <w:rFonts w:ascii="Cambria Math" w:hAnsi="Cambria Math"/>
                  </w:rPr>
                  <m:t>USGS</m:t>
                </m:r>
                <m:r>
                  <m:rPr>
                    <m:sty m:val="p"/>
                  </m:rPr>
                  <w:rPr>
                    <w:rFonts w:ascii="Cambria Math" w:hAnsi="Cambria Math"/>
                  </w:rPr>
                  <m:t>(</m:t>
                </m:r>
                <m:r>
                  <w:rPr>
                    <w:rFonts w:ascii="Cambria Math" w:hAnsi="Cambria Math"/>
                  </w:rPr>
                  <m:t>CONMAP</m:t>
                </m:r>
                <m:sSup>
                  <m:sSupPr>
                    <m:ctrlPr>
                      <w:rPr>
                        <w:rFonts w:ascii="Cambria Math" w:hAnsi="Cambria Math"/>
                      </w:rPr>
                    </m:ctrlPr>
                  </m:sSupPr>
                  <m:e>
                    <m:r>
                      <m:rPr>
                        <m:sty m:val="p"/>
                      </m:rPr>
                      <w:rPr>
                        <w:rFonts w:ascii="Cambria Math" w:hAnsi="Cambria Math"/>
                      </w:rPr>
                      <m:t>)</m:t>
                    </m:r>
                  </m:e>
                  <m:sup>
                    <m:r>
                      <w:rPr>
                        <w:rFonts w:ascii="Cambria Math" w:hAnsi="Cambria Math"/>
                      </w:rPr>
                      <m:t>2</m:t>
                    </m:r>
                  </m:sup>
                </m:sSup>
              </m:oMath>
            </m:oMathPara>
          </w:p>
        </w:tc>
        <w:tc>
          <w:tcPr>
            <w:tcW w:w="0" w:type="auto"/>
          </w:tcPr>
          <w:p w:rsidR="0080583B" w:rsidRDefault="002910EF">
            <w:pPr>
              <w:pStyle w:val="Compact"/>
            </w:pPr>
            <w:r>
              <w:t>-</w:t>
            </w:r>
          </w:p>
        </w:tc>
        <w:tc>
          <w:tcPr>
            <w:tcW w:w="0" w:type="auto"/>
          </w:tcPr>
          <w:p w:rsidR="0080583B" w:rsidRDefault="002910EF">
            <w:pPr>
              <w:pStyle w:val="Compact"/>
            </w:pPr>
            <w:r>
              <w:t>none</w:t>
            </w:r>
          </w:p>
        </w:tc>
      </w:tr>
      <w:tr w:rsidR="0080583B">
        <w:tc>
          <w:tcPr>
            <w:tcW w:w="0" w:type="auto"/>
          </w:tcPr>
          <w:p w:rsidR="0080583B" w:rsidRDefault="002910EF">
            <w:pPr>
              <w:pStyle w:val="Compact"/>
            </w:pPr>
            <w:r>
              <w:t>Sand</w:t>
            </w:r>
          </w:p>
        </w:tc>
        <w:tc>
          <w:tcPr>
            <w:tcW w:w="0" w:type="auto"/>
          </w:tcPr>
          <w:p w:rsidR="0080583B" w:rsidRDefault="002910EF">
            <w:pPr>
              <w:pStyle w:val="Compact"/>
            </w:pPr>
            <w:r>
              <w:t>sand</w:t>
            </w:r>
          </w:p>
        </w:tc>
        <w:tc>
          <w:tcPr>
            <w:tcW w:w="0" w:type="auto"/>
          </w:tcPr>
          <w:p w:rsidR="0080583B" w:rsidRDefault="002910EF">
            <w:pPr>
              <w:pStyle w:val="Compact"/>
            </w:pPr>
            <m:oMathPara>
              <m:oMath>
                <m:r>
                  <w:rPr>
                    <w:rFonts w:ascii="Cambria Math" w:hAnsi="Cambria Math"/>
                  </w:rPr>
                  <m:t>CoM</m:t>
                </m:r>
                <m:sSup>
                  <m:sSupPr>
                    <m:ctrlPr>
                      <w:rPr>
                        <w:rFonts w:ascii="Cambria Math" w:hAnsi="Cambria Math"/>
                      </w:rPr>
                    </m:ctrlPr>
                  </m:sSupPr>
                  <m:e>
                    <m:r>
                      <w:rPr>
                        <w:rFonts w:ascii="Cambria Math" w:hAnsi="Cambria Math"/>
                      </w:rPr>
                      <m:t>L</m:t>
                    </m:r>
                  </m:e>
                  <m:sup>
                    <m:r>
                      <w:rPr>
                        <w:rFonts w:ascii="Cambria Math" w:hAnsi="Cambria Math"/>
                      </w:rPr>
                      <m:t>1</m:t>
                    </m:r>
                  </m:sup>
                </m:sSup>
              </m:oMath>
            </m:oMathPara>
          </w:p>
        </w:tc>
        <w:tc>
          <w:tcPr>
            <w:tcW w:w="0" w:type="auto"/>
          </w:tcPr>
          <w:p w:rsidR="0080583B" w:rsidRDefault="002910EF">
            <w:pPr>
              <w:pStyle w:val="Compact"/>
            </w:pPr>
            <w:r>
              <w:t>6000</w:t>
            </w:r>
          </w:p>
        </w:tc>
        <w:tc>
          <w:tcPr>
            <w:tcW w:w="0" w:type="auto"/>
          </w:tcPr>
          <w:p w:rsidR="0080583B" w:rsidRDefault="002910EF">
            <w:pPr>
              <w:pStyle w:val="Compact"/>
            </w:pPr>
            <m:oMathPara>
              <m:oMath>
                <m:r>
                  <m:rPr>
                    <m:sty m:val="p"/>
                  </m:rPr>
                  <w:rPr>
                    <w:rFonts w:ascii="Cambria Math" w:hAnsi="Cambria Math"/>
                  </w:rPr>
                  <m:t>%</m:t>
                </m:r>
              </m:oMath>
            </m:oMathPara>
          </w:p>
        </w:tc>
      </w:tr>
      <w:tr w:rsidR="0080583B">
        <w:tc>
          <w:tcPr>
            <w:tcW w:w="0" w:type="auto"/>
          </w:tcPr>
          <w:p w:rsidR="0080583B" w:rsidRDefault="002910EF">
            <w:pPr>
              <w:pStyle w:val="Compact"/>
            </w:pPr>
            <w:r>
              <w:t>Seasonal Range of Benthic Salinity 1996-2007</w:t>
            </w:r>
          </w:p>
        </w:tc>
        <w:tc>
          <w:tcPr>
            <w:tcW w:w="0" w:type="auto"/>
          </w:tcPr>
          <w:p w:rsidR="0080583B" w:rsidRDefault="002910EF">
            <w:pPr>
              <w:pStyle w:val="Compact"/>
            </w:pPr>
            <w:r>
              <w:t>sal.rg</w:t>
            </w:r>
          </w:p>
        </w:tc>
        <w:tc>
          <w:tcPr>
            <w:tcW w:w="0" w:type="auto"/>
          </w:tcPr>
          <w:p w:rsidR="0080583B" w:rsidRDefault="002910EF">
            <w:pPr>
              <w:pStyle w:val="Compact"/>
            </w:pPr>
            <m:oMathPara>
              <m:oMath>
                <m:r>
                  <w:rPr>
                    <w:rFonts w:ascii="Cambria Math" w:hAnsi="Cambria Math"/>
                  </w:rPr>
                  <m:t>CoM</m:t>
                </m:r>
                <m:sSup>
                  <m:sSupPr>
                    <m:ctrlPr>
                      <w:rPr>
                        <w:rFonts w:ascii="Cambria Math" w:hAnsi="Cambria Math"/>
                      </w:rPr>
                    </m:ctrlPr>
                  </m:sSupPr>
                  <m:e>
                    <m:r>
                      <w:rPr>
                        <w:rFonts w:ascii="Cambria Math" w:hAnsi="Cambria Math"/>
                      </w:rPr>
                      <m:t>L</m:t>
                    </m:r>
                  </m:e>
                  <m:sup>
                    <m:r>
                      <w:rPr>
                        <w:rFonts w:ascii="Cambria Math" w:hAnsi="Cambria Math"/>
                      </w:rPr>
                      <m:t>1</m:t>
                    </m:r>
                  </m:sup>
                </m:sSup>
              </m:oMath>
            </m:oMathPara>
          </w:p>
        </w:tc>
        <w:tc>
          <w:tcPr>
            <w:tcW w:w="0" w:type="auto"/>
          </w:tcPr>
          <w:p w:rsidR="0080583B" w:rsidRDefault="002910EF">
            <w:pPr>
              <w:pStyle w:val="Compact"/>
            </w:pPr>
            <w:r>
              <w:t>6000</w:t>
            </w:r>
          </w:p>
        </w:tc>
        <w:tc>
          <w:tcPr>
            <w:tcW w:w="0" w:type="auto"/>
          </w:tcPr>
          <w:p w:rsidR="0080583B" w:rsidRDefault="002910EF">
            <w:pPr>
              <w:pStyle w:val="Compact"/>
            </w:pPr>
            <m:oMathPara>
              <m:oMath>
                <m:r>
                  <w:rPr>
                    <w:rFonts w:ascii="Cambria Math" w:hAnsi="Cambria Math"/>
                  </w:rPr>
                  <m:t>psu</m:t>
                </m:r>
              </m:oMath>
            </m:oMathPara>
          </w:p>
        </w:tc>
      </w:tr>
      <w:tr w:rsidR="0080583B">
        <w:tc>
          <w:tcPr>
            <w:tcW w:w="0" w:type="auto"/>
          </w:tcPr>
          <w:p w:rsidR="0080583B" w:rsidRDefault="002910EF">
            <w:pPr>
              <w:pStyle w:val="Compact"/>
            </w:pPr>
            <w:r>
              <w:t>Benthic Salinity 1996-2007</w:t>
            </w:r>
          </w:p>
        </w:tc>
        <w:tc>
          <w:tcPr>
            <w:tcW w:w="0" w:type="auto"/>
          </w:tcPr>
          <w:p w:rsidR="0080583B" w:rsidRDefault="002910EF">
            <w:pPr>
              <w:pStyle w:val="Compact"/>
            </w:pPr>
            <w:r>
              <w:t>sal.avg</w:t>
            </w:r>
          </w:p>
        </w:tc>
        <w:tc>
          <w:tcPr>
            <w:tcW w:w="0" w:type="auto"/>
          </w:tcPr>
          <w:p w:rsidR="0080583B" w:rsidRDefault="002910EF">
            <w:pPr>
              <w:pStyle w:val="Compact"/>
            </w:pPr>
            <m:oMathPara>
              <m:oMath>
                <m:r>
                  <w:rPr>
                    <w:rFonts w:ascii="Cambria Math" w:hAnsi="Cambria Math"/>
                  </w:rPr>
                  <m:t>CoM</m:t>
                </m:r>
                <m:sSup>
                  <m:sSupPr>
                    <m:ctrlPr>
                      <w:rPr>
                        <w:rFonts w:ascii="Cambria Math" w:hAnsi="Cambria Math"/>
                      </w:rPr>
                    </m:ctrlPr>
                  </m:sSupPr>
                  <m:e>
                    <m:r>
                      <w:rPr>
                        <w:rFonts w:ascii="Cambria Math" w:hAnsi="Cambria Math"/>
                      </w:rPr>
                      <m:t>L</m:t>
                    </m:r>
                  </m:e>
                  <m:sup>
                    <m:r>
                      <w:rPr>
                        <w:rFonts w:ascii="Cambria Math" w:hAnsi="Cambria Math"/>
                      </w:rPr>
                      <m:t>1</m:t>
                    </m:r>
                  </m:sup>
                </m:sSup>
              </m:oMath>
            </m:oMathPara>
          </w:p>
        </w:tc>
        <w:tc>
          <w:tcPr>
            <w:tcW w:w="0" w:type="auto"/>
          </w:tcPr>
          <w:p w:rsidR="0080583B" w:rsidRDefault="002910EF">
            <w:pPr>
              <w:pStyle w:val="Compact"/>
            </w:pPr>
            <w:r>
              <w:t>6000</w:t>
            </w:r>
          </w:p>
        </w:tc>
        <w:tc>
          <w:tcPr>
            <w:tcW w:w="0" w:type="auto"/>
          </w:tcPr>
          <w:p w:rsidR="0080583B" w:rsidRDefault="002910EF">
            <w:pPr>
              <w:pStyle w:val="Compact"/>
            </w:pPr>
            <m:oMathPara>
              <m:oMath>
                <m:r>
                  <w:rPr>
                    <w:rFonts w:ascii="Cambria Math" w:hAnsi="Cambria Math"/>
                  </w:rPr>
                  <m:t>psu</m:t>
                </m:r>
              </m:oMath>
            </m:oMathPara>
          </w:p>
        </w:tc>
      </w:tr>
      <w:tr w:rsidR="0080583B">
        <w:tc>
          <w:tcPr>
            <w:tcW w:w="0" w:type="auto"/>
          </w:tcPr>
          <w:p w:rsidR="0080583B" w:rsidRDefault="002910EF">
            <w:pPr>
              <w:pStyle w:val="Compact"/>
            </w:pPr>
            <w:r>
              <w:t>Benthic Phosphate 1996-2007</w:t>
            </w:r>
          </w:p>
        </w:tc>
        <w:tc>
          <w:tcPr>
            <w:tcW w:w="0" w:type="auto"/>
          </w:tcPr>
          <w:p w:rsidR="0080583B" w:rsidRDefault="002910EF">
            <w:pPr>
              <w:pStyle w:val="Compact"/>
            </w:pPr>
            <w:r>
              <w:t>phos.avg</w:t>
            </w:r>
          </w:p>
        </w:tc>
        <w:tc>
          <w:tcPr>
            <w:tcW w:w="0" w:type="auto"/>
          </w:tcPr>
          <w:p w:rsidR="0080583B" w:rsidRDefault="002910EF">
            <w:pPr>
              <w:pStyle w:val="Compact"/>
            </w:pPr>
            <m:oMathPara>
              <m:oMath>
                <m:r>
                  <w:rPr>
                    <w:rFonts w:ascii="Cambria Math" w:hAnsi="Cambria Math"/>
                  </w:rPr>
                  <m:t>CoM</m:t>
                </m:r>
                <m:sSup>
                  <m:sSupPr>
                    <m:ctrlPr>
                      <w:rPr>
                        <w:rFonts w:ascii="Cambria Math" w:hAnsi="Cambria Math"/>
                      </w:rPr>
                    </m:ctrlPr>
                  </m:sSupPr>
                  <m:e>
                    <m:r>
                      <w:rPr>
                        <w:rFonts w:ascii="Cambria Math" w:hAnsi="Cambria Math"/>
                      </w:rPr>
                      <m:t>L</m:t>
                    </m:r>
                  </m:e>
                  <m:sup>
                    <m:r>
                      <w:rPr>
                        <w:rFonts w:ascii="Cambria Math" w:hAnsi="Cambria Math"/>
                      </w:rPr>
                      <m:t>1</m:t>
                    </m:r>
                  </m:sup>
                </m:sSup>
              </m:oMath>
            </m:oMathPara>
          </w:p>
        </w:tc>
        <w:tc>
          <w:tcPr>
            <w:tcW w:w="0" w:type="auto"/>
          </w:tcPr>
          <w:p w:rsidR="0080583B" w:rsidRDefault="002910EF">
            <w:pPr>
              <w:pStyle w:val="Compact"/>
            </w:pPr>
            <w:r>
              <w:t>6000</w:t>
            </w:r>
          </w:p>
        </w:tc>
        <w:tc>
          <w:tcPr>
            <w:tcW w:w="0" w:type="auto"/>
          </w:tcPr>
          <w:p w:rsidR="0080583B" w:rsidRDefault="002910EF">
            <w:pPr>
              <w:pStyle w:val="Compact"/>
            </w:pPr>
            <m:oMathPara>
              <m:oMath>
                <m:r>
                  <w:rPr>
                    <w:rFonts w:ascii="Cambria Math" w:hAnsi="Cambria Math"/>
                  </w:rPr>
                  <m:t>μM</m:t>
                </m:r>
              </m:oMath>
            </m:oMathPara>
          </w:p>
        </w:tc>
      </w:tr>
      <w:tr w:rsidR="0080583B">
        <w:tc>
          <w:tcPr>
            <w:tcW w:w="0" w:type="auto"/>
          </w:tcPr>
          <w:p w:rsidR="0080583B" w:rsidRDefault="002910EF">
            <w:pPr>
              <w:pStyle w:val="Compact"/>
            </w:pPr>
            <w:r>
              <w:t>Benthic Nitrate 1996-2007</w:t>
            </w:r>
          </w:p>
        </w:tc>
        <w:tc>
          <w:tcPr>
            <w:tcW w:w="0" w:type="auto"/>
          </w:tcPr>
          <w:p w:rsidR="0080583B" w:rsidRDefault="002910EF">
            <w:pPr>
              <w:pStyle w:val="Compact"/>
            </w:pPr>
            <w:r>
              <w:t>nit.avg</w:t>
            </w:r>
          </w:p>
        </w:tc>
        <w:tc>
          <w:tcPr>
            <w:tcW w:w="0" w:type="auto"/>
          </w:tcPr>
          <w:p w:rsidR="0080583B" w:rsidRDefault="002910EF">
            <w:pPr>
              <w:pStyle w:val="Compact"/>
            </w:pPr>
            <m:oMathPara>
              <m:oMath>
                <m:r>
                  <w:rPr>
                    <w:rFonts w:ascii="Cambria Math" w:hAnsi="Cambria Math"/>
                  </w:rPr>
                  <m:t>CoM</m:t>
                </m:r>
                <m:sSup>
                  <m:sSupPr>
                    <m:ctrlPr>
                      <w:rPr>
                        <w:rFonts w:ascii="Cambria Math" w:hAnsi="Cambria Math"/>
                      </w:rPr>
                    </m:ctrlPr>
                  </m:sSupPr>
                  <m:e>
                    <m:r>
                      <w:rPr>
                        <w:rFonts w:ascii="Cambria Math" w:hAnsi="Cambria Math"/>
                      </w:rPr>
                      <m:t>L</m:t>
                    </m:r>
                  </m:e>
                  <m:sup>
                    <m:r>
                      <w:rPr>
                        <w:rFonts w:ascii="Cambria Math" w:hAnsi="Cambria Math"/>
                      </w:rPr>
                      <m:t>1</m:t>
                    </m:r>
                  </m:sup>
                </m:sSup>
              </m:oMath>
            </m:oMathPara>
          </w:p>
        </w:tc>
        <w:tc>
          <w:tcPr>
            <w:tcW w:w="0" w:type="auto"/>
          </w:tcPr>
          <w:p w:rsidR="0080583B" w:rsidRDefault="002910EF">
            <w:pPr>
              <w:pStyle w:val="Compact"/>
            </w:pPr>
            <w:r>
              <w:t>40000</w:t>
            </w:r>
          </w:p>
        </w:tc>
        <w:tc>
          <w:tcPr>
            <w:tcW w:w="0" w:type="auto"/>
          </w:tcPr>
          <w:p w:rsidR="0080583B" w:rsidRDefault="002910EF">
            <w:pPr>
              <w:pStyle w:val="Compact"/>
            </w:pPr>
            <m:oMathPara>
              <m:oMath>
                <m:r>
                  <w:rPr>
                    <w:rFonts w:ascii="Cambria Math" w:hAnsi="Cambria Math"/>
                  </w:rPr>
                  <m:t>µ</m:t>
                </m:r>
                <m:r>
                  <w:rPr>
                    <w:rFonts w:ascii="Cambria Math" w:hAnsi="Cambria Math"/>
                  </w:rPr>
                  <m:t>M</m:t>
                </m:r>
              </m:oMath>
            </m:oMathPara>
          </w:p>
        </w:tc>
      </w:tr>
      <w:tr w:rsidR="0080583B">
        <w:tc>
          <w:tcPr>
            <w:tcW w:w="0" w:type="auto"/>
          </w:tcPr>
          <w:p w:rsidR="0080583B" w:rsidRDefault="002910EF">
            <w:pPr>
              <w:pStyle w:val="Compact"/>
            </w:pPr>
            <w:r>
              <w:t>Mud</w:t>
            </w:r>
          </w:p>
        </w:tc>
        <w:tc>
          <w:tcPr>
            <w:tcW w:w="0" w:type="auto"/>
          </w:tcPr>
          <w:p w:rsidR="0080583B" w:rsidRDefault="002910EF">
            <w:pPr>
              <w:pStyle w:val="Compact"/>
            </w:pPr>
            <w:r>
              <w:t>Mud</w:t>
            </w:r>
          </w:p>
        </w:tc>
        <w:tc>
          <w:tcPr>
            <w:tcW w:w="0" w:type="auto"/>
          </w:tcPr>
          <w:p w:rsidR="0080583B" w:rsidRDefault="002910EF">
            <w:pPr>
              <w:pStyle w:val="Compact"/>
            </w:pPr>
            <m:oMathPara>
              <m:oMath>
                <m:r>
                  <w:rPr>
                    <w:rFonts w:ascii="Cambria Math" w:hAnsi="Cambria Math"/>
                  </w:rPr>
                  <m:t>C</m:t>
                </m:r>
                <m:r>
                  <w:rPr>
                    <w:rFonts w:ascii="Cambria Math" w:hAnsi="Cambria Math"/>
                  </w:rPr>
                  <m:t>oM</m:t>
                </m:r>
                <m:sSup>
                  <m:sSupPr>
                    <m:ctrlPr>
                      <w:rPr>
                        <w:rFonts w:ascii="Cambria Math" w:hAnsi="Cambria Math"/>
                      </w:rPr>
                    </m:ctrlPr>
                  </m:sSupPr>
                  <m:e>
                    <m:r>
                      <w:rPr>
                        <w:rFonts w:ascii="Cambria Math" w:hAnsi="Cambria Math"/>
                      </w:rPr>
                      <m:t>L</m:t>
                    </m:r>
                  </m:e>
                  <m:sup>
                    <m:r>
                      <w:rPr>
                        <w:rFonts w:ascii="Cambria Math" w:hAnsi="Cambria Math"/>
                      </w:rPr>
                      <m:t>1</m:t>
                    </m:r>
                  </m:sup>
                </m:sSup>
              </m:oMath>
            </m:oMathPara>
          </w:p>
        </w:tc>
        <w:tc>
          <w:tcPr>
            <w:tcW w:w="0" w:type="auto"/>
          </w:tcPr>
          <w:p w:rsidR="0080583B" w:rsidRDefault="002910EF">
            <w:pPr>
              <w:pStyle w:val="Compact"/>
            </w:pPr>
            <w:r>
              <w:t>6000</w:t>
            </w:r>
          </w:p>
        </w:tc>
        <w:tc>
          <w:tcPr>
            <w:tcW w:w="0" w:type="auto"/>
          </w:tcPr>
          <w:p w:rsidR="0080583B" w:rsidRDefault="002910EF">
            <w:pPr>
              <w:pStyle w:val="Compact"/>
            </w:pPr>
            <m:oMathPara>
              <m:oMath>
                <m:r>
                  <m:rPr>
                    <m:sty m:val="p"/>
                  </m:rPr>
                  <w:rPr>
                    <w:rFonts w:ascii="Cambria Math" w:hAnsi="Cambria Math"/>
                  </w:rPr>
                  <m:t>%</m:t>
                </m:r>
              </m:oMath>
            </m:oMathPara>
          </w:p>
        </w:tc>
      </w:tr>
      <w:tr w:rsidR="0080583B">
        <w:tc>
          <w:tcPr>
            <w:tcW w:w="0" w:type="auto"/>
          </w:tcPr>
          <w:p w:rsidR="0080583B" w:rsidRDefault="002910EF">
            <w:pPr>
              <w:pStyle w:val="Compact"/>
            </w:pPr>
            <w:r>
              <w:t>Average K490</w:t>
            </w:r>
          </w:p>
        </w:tc>
        <w:tc>
          <w:tcPr>
            <w:tcW w:w="0" w:type="auto"/>
          </w:tcPr>
          <w:p w:rsidR="0080583B" w:rsidRDefault="002910EF">
            <w:pPr>
              <w:pStyle w:val="Compact"/>
            </w:pPr>
            <w:r>
              <w:t>k490.avg</w:t>
            </w:r>
          </w:p>
        </w:tc>
        <w:tc>
          <w:tcPr>
            <w:tcW w:w="0" w:type="auto"/>
          </w:tcPr>
          <w:p w:rsidR="0080583B" w:rsidRDefault="002910EF">
            <w:pPr>
              <w:pStyle w:val="Compact"/>
            </w:pPr>
            <m:oMathPara>
              <m:oMath>
                <m:r>
                  <w:rPr>
                    <w:rFonts w:ascii="Cambria Math" w:hAnsi="Cambria Math"/>
                  </w:rPr>
                  <m:t>CoM</m:t>
                </m:r>
                <m:sSup>
                  <m:sSupPr>
                    <m:ctrlPr>
                      <w:rPr>
                        <w:rFonts w:ascii="Cambria Math" w:hAnsi="Cambria Math"/>
                      </w:rPr>
                    </m:ctrlPr>
                  </m:sSupPr>
                  <m:e>
                    <m:r>
                      <w:rPr>
                        <w:rFonts w:ascii="Cambria Math" w:hAnsi="Cambria Math"/>
                      </w:rPr>
                      <m:t>L</m:t>
                    </m:r>
                  </m:e>
                  <m:sup>
                    <m:r>
                      <w:rPr>
                        <w:rFonts w:ascii="Cambria Math" w:hAnsi="Cambria Math"/>
                      </w:rPr>
                      <m:t>1</m:t>
                    </m:r>
                  </m:sup>
                </m:sSup>
              </m:oMath>
            </m:oMathPara>
          </w:p>
        </w:tc>
        <w:tc>
          <w:tcPr>
            <w:tcW w:w="0" w:type="auto"/>
          </w:tcPr>
          <w:p w:rsidR="0080583B" w:rsidRDefault="002910EF">
            <w:pPr>
              <w:pStyle w:val="Compact"/>
            </w:pPr>
            <w:r>
              <w:t>8000</w:t>
            </w:r>
          </w:p>
        </w:tc>
        <w:tc>
          <w:tcPr>
            <w:tcW w:w="0" w:type="auto"/>
          </w:tcPr>
          <w:p w:rsidR="0080583B" w:rsidRDefault="002910EF">
            <w:pPr>
              <w:pStyle w:val="Compact"/>
            </w:pPr>
            <w:r>
              <w:t>none</w:t>
            </w:r>
          </w:p>
        </w:tc>
      </w:tr>
      <w:tr w:rsidR="0080583B">
        <w:tc>
          <w:tcPr>
            <w:tcW w:w="0" w:type="auto"/>
          </w:tcPr>
          <w:p w:rsidR="0080583B" w:rsidRDefault="002910EF">
            <w:pPr>
              <w:pStyle w:val="Compact"/>
            </w:pPr>
            <w:r>
              <w:t>USGS Median of Bottom Shear Stress</w:t>
            </w:r>
          </w:p>
        </w:tc>
        <w:tc>
          <w:tcPr>
            <w:tcW w:w="0" w:type="auto"/>
          </w:tcPr>
          <w:p w:rsidR="0080583B" w:rsidRDefault="002910EF">
            <w:pPr>
              <w:pStyle w:val="Compact"/>
            </w:pPr>
            <w:r>
              <w:t>gmaine</w:t>
            </w:r>
          </w:p>
        </w:tc>
        <w:tc>
          <w:tcPr>
            <w:tcW w:w="0" w:type="auto"/>
          </w:tcPr>
          <w:p w:rsidR="0080583B" w:rsidRDefault="002910EF">
            <w:pPr>
              <w:pStyle w:val="Compact"/>
            </w:pPr>
            <m:oMathPara>
              <m:oMath>
                <m:r>
                  <w:rPr>
                    <w:rFonts w:ascii="Cambria Math" w:hAnsi="Cambria Math"/>
                  </w:rPr>
                  <m:t>USGS</m:t>
                </m:r>
                <m:r>
                  <m:rPr>
                    <m:sty m:val="p"/>
                  </m:rPr>
                  <w:rPr>
                    <w:rFonts w:ascii="Cambria Math" w:hAnsi="Cambria Math"/>
                  </w:rPr>
                  <m:t>(</m:t>
                </m:r>
                <m:r>
                  <w:rPr>
                    <w:rFonts w:ascii="Cambria Math" w:hAnsi="Cambria Math"/>
                  </w:rPr>
                  <m:t>SFS</m:t>
                </m:r>
                <m:r>
                  <m:rPr>
                    <m:sty m:val="p"/>
                  </m:rPr>
                  <w:rPr>
                    <w:rFonts w:ascii="Cambria Math" w:hAnsi="Cambria Math"/>
                  </w:rPr>
                  <m:t>-</m:t>
                </m:r>
                <m:r>
                  <w:rPr>
                    <w:rFonts w:ascii="Cambria Math" w:hAnsi="Cambria Math"/>
                  </w:rPr>
                  <m:t>SMD</m:t>
                </m:r>
                <m:sSup>
                  <m:sSupPr>
                    <m:ctrlPr>
                      <w:rPr>
                        <w:rFonts w:ascii="Cambria Math" w:hAnsi="Cambria Math"/>
                      </w:rPr>
                    </m:ctrlPr>
                  </m:sSupPr>
                  <m:e>
                    <m:r>
                      <m:rPr>
                        <m:sty m:val="p"/>
                      </m:rPr>
                      <w:rPr>
                        <w:rFonts w:ascii="Cambria Math" w:hAnsi="Cambria Math"/>
                      </w:rPr>
                      <m:t>)</m:t>
                    </m:r>
                  </m:e>
                  <m:sup>
                    <m:r>
                      <w:rPr>
                        <w:rFonts w:ascii="Cambria Math" w:hAnsi="Cambria Math"/>
                      </w:rPr>
                      <m:t>3</m:t>
                    </m:r>
                  </m:sup>
                </m:sSup>
              </m:oMath>
            </m:oMathPara>
          </w:p>
        </w:tc>
        <w:tc>
          <w:tcPr>
            <w:tcW w:w="0" w:type="auto"/>
          </w:tcPr>
          <w:p w:rsidR="0080583B" w:rsidRDefault="002910EF">
            <w:pPr>
              <w:pStyle w:val="Compact"/>
            </w:pPr>
            <w:r>
              <w:t>3500</w:t>
            </w:r>
          </w:p>
        </w:tc>
        <w:tc>
          <w:tcPr>
            <w:tcW w:w="0" w:type="auto"/>
          </w:tcPr>
          <w:p w:rsidR="0080583B" w:rsidRDefault="002910EF">
            <w:pPr>
              <w:pStyle w:val="Compact"/>
            </w:pPr>
            <m:oMathPara>
              <m:oMath>
                <m:r>
                  <w:rPr>
                    <w:rFonts w:ascii="Cambria Math" w:hAnsi="Cambria Math"/>
                  </w:rPr>
                  <m:t>Pa</m:t>
                </m:r>
              </m:oMath>
            </m:oMathPara>
          </w:p>
        </w:tc>
      </w:tr>
      <w:tr w:rsidR="0080583B">
        <w:tc>
          <w:tcPr>
            <w:tcW w:w="0" w:type="auto"/>
          </w:tcPr>
          <w:p w:rsidR="0080583B" w:rsidRDefault="002910EF">
            <w:pPr>
              <w:pStyle w:val="Compact"/>
            </w:pPr>
            <w:r>
              <w:t>Benthic Complexity</w:t>
            </w:r>
          </w:p>
        </w:tc>
        <w:tc>
          <w:tcPr>
            <w:tcW w:w="0" w:type="auto"/>
          </w:tcPr>
          <w:p w:rsidR="0080583B" w:rsidRDefault="002910EF">
            <w:pPr>
              <w:pStyle w:val="Compact"/>
            </w:pPr>
            <w:r>
              <w:t>complexity</w:t>
            </w:r>
          </w:p>
        </w:tc>
        <w:tc>
          <w:tcPr>
            <w:tcW w:w="0" w:type="auto"/>
          </w:tcPr>
          <w:p w:rsidR="0080583B" w:rsidRDefault="002910EF">
            <w:pPr>
              <w:pStyle w:val="Compact"/>
            </w:pPr>
            <m:oMathPara>
              <m:oMath>
                <m:r>
                  <w:rPr>
                    <w:rFonts w:ascii="Cambria Math" w:hAnsi="Cambria Math"/>
                  </w:rPr>
                  <m:t>CoM</m:t>
                </m:r>
                <m:sSup>
                  <m:sSupPr>
                    <m:ctrlPr>
                      <w:rPr>
                        <w:rFonts w:ascii="Cambria Math" w:hAnsi="Cambria Math"/>
                      </w:rPr>
                    </m:ctrlPr>
                  </m:sSupPr>
                  <m:e>
                    <m:r>
                      <w:rPr>
                        <w:rFonts w:ascii="Cambria Math" w:hAnsi="Cambria Math"/>
                      </w:rPr>
                      <m:t>L</m:t>
                    </m:r>
                  </m:e>
                  <m:sup>
                    <m:r>
                      <w:rPr>
                        <w:rFonts w:ascii="Cambria Math" w:hAnsi="Cambria Math"/>
                      </w:rPr>
                      <m:t>1</m:t>
                    </m:r>
                  </m:sup>
                </m:sSup>
              </m:oMath>
            </m:oMathPara>
          </w:p>
        </w:tc>
        <w:tc>
          <w:tcPr>
            <w:tcW w:w="0" w:type="auto"/>
          </w:tcPr>
          <w:p w:rsidR="0080583B" w:rsidRDefault="002910EF">
            <w:pPr>
              <w:pStyle w:val="Compact"/>
            </w:pPr>
            <w:r>
              <w:t>397</w:t>
            </w:r>
          </w:p>
        </w:tc>
        <w:tc>
          <w:tcPr>
            <w:tcW w:w="0" w:type="auto"/>
          </w:tcPr>
          <w:p w:rsidR="0080583B" w:rsidRDefault="002910EF">
            <w:pPr>
              <w:pStyle w:val="Compact"/>
            </w:pPr>
            <m:oMathPara>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oMath>
            </m:oMathPara>
          </w:p>
        </w:tc>
      </w:tr>
      <w:tr w:rsidR="0080583B">
        <w:tc>
          <w:tcPr>
            <w:tcW w:w="0" w:type="auto"/>
          </w:tcPr>
          <w:p w:rsidR="0080583B" w:rsidRDefault="002910EF">
            <w:pPr>
              <w:pStyle w:val="Compact"/>
            </w:pPr>
            <w:r>
              <w:t>Slope</w:t>
            </w:r>
          </w:p>
        </w:tc>
        <w:tc>
          <w:tcPr>
            <w:tcW w:w="0" w:type="auto"/>
          </w:tcPr>
          <w:p w:rsidR="0080583B" w:rsidRDefault="002910EF">
            <w:pPr>
              <w:pStyle w:val="Compact"/>
            </w:pPr>
            <w:r>
              <w:t>slope</w:t>
            </w:r>
          </w:p>
        </w:tc>
        <w:tc>
          <w:tcPr>
            <w:tcW w:w="0" w:type="auto"/>
          </w:tcPr>
          <w:p w:rsidR="0080583B" w:rsidRDefault="002910EF">
            <w:pPr>
              <w:pStyle w:val="Compact"/>
            </w:pPr>
            <m:oMathPara>
              <m:oMath>
                <m:r>
                  <w:rPr>
                    <w:rFonts w:ascii="Cambria Math" w:hAnsi="Cambria Math"/>
                  </w:rPr>
                  <m:t>CoM</m:t>
                </m:r>
                <m:sSup>
                  <m:sSupPr>
                    <m:ctrlPr>
                      <w:rPr>
                        <w:rFonts w:ascii="Cambria Math" w:hAnsi="Cambria Math"/>
                      </w:rPr>
                    </m:ctrlPr>
                  </m:sSupPr>
                  <m:e>
                    <m:r>
                      <w:rPr>
                        <w:rFonts w:ascii="Cambria Math" w:hAnsi="Cambria Math"/>
                      </w:rPr>
                      <m:t>L</m:t>
                    </m:r>
                  </m:e>
                  <m:sup>
                    <m:r>
                      <w:rPr>
                        <w:rFonts w:ascii="Cambria Math" w:hAnsi="Cambria Math"/>
                      </w:rPr>
                      <m:t>1</m:t>
                    </m:r>
                  </m:sup>
                </m:sSup>
              </m:oMath>
            </m:oMathPara>
          </w:p>
        </w:tc>
        <w:tc>
          <w:tcPr>
            <w:tcW w:w="0" w:type="auto"/>
          </w:tcPr>
          <w:p w:rsidR="0080583B" w:rsidRDefault="002910EF">
            <w:pPr>
              <w:pStyle w:val="Compact"/>
            </w:pPr>
            <w:r>
              <w:t>397</w:t>
            </w:r>
          </w:p>
        </w:tc>
        <w:tc>
          <w:tcPr>
            <w:tcW w:w="0" w:type="auto"/>
          </w:tcPr>
          <w:p w:rsidR="0080583B" w:rsidRDefault="002910EF">
            <w:pPr>
              <w:pStyle w:val="Compact"/>
            </w:pPr>
            <m:oMathPara>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oMath>
            </m:oMathPara>
          </w:p>
        </w:tc>
      </w:tr>
      <w:tr w:rsidR="0080583B">
        <w:tc>
          <w:tcPr>
            <w:tcW w:w="0" w:type="auto"/>
          </w:tcPr>
          <w:p w:rsidR="0080583B" w:rsidRDefault="002910EF">
            <w:pPr>
              <w:pStyle w:val="Compact"/>
            </w:pPr>
            <w:r>
              <w:t>Depth</w:t>
            </w:r>
          </w:p>
        </w:tc>
        <w:tc>
          <w:tcPr>
            <w:tcW w:w="0" w:type="auto"/>
          </w:tcPr>
          <w:p w:rsidR="0080583B" w:rsidRDefault="002910EF">
            <w:pPr>
              <w:pStyle w:val="Compact"/>
            </w:pPr>
            <w:r>
              <w:t>Dep</w:t>
            </w:r>
          </w:p>
        </w:tc>
        <w:tc>
          <w:tcPr>
            <w:tcW w:w="0" w:type="auto"/>
          </w:tcPr>
          <w:p w:rsidR="0080583B" w:rsidRDefault="002910EF">
            <w:pPr>
              <w:pStyle w:val="Compact"/>
            </w:pPr>
            <m:oMathPara>
              <m:oMath>
                <m:r>
                  <w:rPr>
                    <w:rFonts w:ascii="Cambria Math" w:hAnsi="Cambria Math"/>
                  </w:rPr>
                  <m:t>CoM</m:t>
                </m:r>
                <m:sSup>
                  <m:sSupPr>
                    <m:ctrlPr>
                      <w:rPr>
                        <w:rFonts w:ascii="Cambria Math" w:hAnsi="Cambria Math"/>
                      </w:rPr>
                    </m:ctrlPr>
                  </m:sSupPr>
                  <m:e>
                    <m:r>
                      <w:rPr>
                        <w:rFonts w:ascii="Cambria Math" w:hAnsi="Cambria Math"/>
                      </w:rPr>
                      <m:t>L</m:t>
                    </m:r>
                  </m:e>
                  <m:sup>
                    <m:r>
                      <w:rPr>
                        <w:rFonts w:ascii="Cambria Math" w:hAnsi="Cambria Math"/>
                      </w:rPr>
                      <m:t>1</m:t>
                    </m:r>
                  </m:sup>
                </m:sSup>
              </m:oMath>
            </m:oMathPara>
          </w:p>
        </w:tc>
        <w:tc>
          <w:tcPr>
            <w:tcW w:w="0" w:type="auto"/>
          </w:tcPr>
          <w:p w:rsidR="0080583B" w:rsidRDefault="002910EF">
            <w:pPr>
              <w:pStyle w:val="Compact"/>
            </w:pPr>
            <w:r>
              <w:t>397</w:t>
            </w:r>
          </w:p>
        </w:tc>
        <w:tc>
          <w:tcPr>
            <w:tcW w:w="0" w:type="auto"/>
          </w:tcPr>
          <w:p w:rsidR="0080583B" w:rsidRDefault="002910EF">
            <w:pPr>
              <w:pStyle w:val="Compact"/>
            </w:pPr>
            <m:oMathPara>
              <m:oMath>
                <m:r>
                  <w:rPr>
                    <w:rFonts w:ascii="Cambria Math" w:hAnsi="Cambria Math"/>
                  </w:rPr>
                  <m:t>m</m:t>
                </m:r>
              </m:oMath>
            </m:oMathPara>
          </w:p>
        </w:tc>
      </w:tr>
      <w:tr w:rsidR="0080583B">
        <w:tc>
          <w:tcPr>
            <w:tcW w:w="0" w:type="auto"/>
          </w:tcPr>
          <w:p w:rsidR="0080583B" w:rsidRDefault="002910EF">
            <w:pPr>
              <w:pStyle w:val="Compact"/>
            </w:pPr>
            <w:r>
              <w:t>Aspect</w:t>
            </w:r>
          </w:p>
        </w:tc>
        <w:tc>
          <w:tcPr>
            <w:tcW w:w="0" w:type="auto"/>
          </w:tcPr>
          <w:p w:rsidR="0080583B" w:rsidRDefault="002910EF">
            <w:pPr>
              <w:pStyle w:val="Compact"/>
            </w:pPr>
            <w:r>
              <w:t>comlaspect</w:t>
            </w:r>
          </w:p>
        </w:tc>
        <w:tc>
          <w:tcPr>
            <w:tcW w:w="0" w:type="auto"/>
          </w:tcPr>
          <w:p w:rsidR="0080583B" w:rsidRDefault="002910EF">
            <w:pPr>
              <w:pStyle w:val="Compact"/>
            </w:pPr>
            <m:oMathPara>
              <m:oMath>
                <m:r>
                  <w:rPr>
                    <w:rFonts w:ascii="Cambria Math" w:hAnsi="Cambria Math"/>
                  </w:rPr>
                  <m:t>CoM</m:t>
                </m:r>
                <m:sSup>
                  <m:sSupPr>
                    <m:ctrlPr>
                      <w:rPr>
                        <w:rFonts w:ascii="Cambria Math" w:hAnsi="Cambria Math"/>
                      </w:rPr>
                    </m:ctrlPr>
                  </m:sSupPr>
                  <m:e>
                    <m:r>
                      <w:rPr>
                        <w:rFonts w:ascii="Cambria Math" w:hAnsi="Cambria Math"/>
                      </w:rPr>
                      <m:t>L</m:t>
                    </m:r>
                  </m:e>
                  <m:sup>
                    <m:r>
                      <w:rPr>
                        <w:rFonts w:ascii="Cambria Math" w:hAnsi="Cambria Math"/>
                      </w:rPr>
                      <m:t>1</m:t>
                    </m:r>
                  </m:sup>
                </m:sSup>
              </m:oMath>
            </m:oMathPara>
          </w:p>
        </w:tc>
        <w:tc>
          <w:tcPr>
            <w:tcW w:w="0" w:type="auto"/>
          </w:tcPr>
          <w:p w:rsidR="0080583B" w:rsidRDefault="002910EF">
            <w:pPr>
              <w:pStyle w:val="Compact"/>
            </w:pPr>
            <w:r>
              <w:t>397</w:t>
            </w:r>
          </w:p>
        </w:tc>
        <w:tc>
          <w:tcPr>
            <w:tcW w:w="0" w:type="auto"/>
          </w:tcPr>
          <w:p w:rsidR="0080583B" w:rsidRDefault="002910EF">
            <w:pPr>
              <w:pStyle w:val="Compact"/>
            </w:pPr>
            <m:oMathPara>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oMath>
            </m:oMathPara>
          </w:p>
        </w:tc>
      </w:tr>
      <w:tr w:rsidR="0080583B">
        <w:tc>
          <w:tcPr>
            <w:tcW w:w="0" w:type="auto"/>
          </w:tcPr>
          <w:p w:rsidR="0080583B" w:rsidRDefault="002910EF">
            <w:pPr>
              <w:pStyle w:val="Compact"/>
            </w:pPr>
            <w:r>
              <w:t>Seasonal Range of Sea Surface Chlorophyll</w:t>
            </w:r>
          </w:p>
        </w:tc>
        <w:tc>
          <w:tcPr>
            <w:tcW w:w="0" w:type="auto"/>
          </w:tcPr>
          <w:p w:rsidR="0080583B" w:rsidRDefault="002910EF">
            <w:pPr>
              <w:pStyle w:val="Compact"/>
            </w:pPr>
            <w:r>
              <w:t>chl.rg</w:t>
            </w:r>
          </w:p>
        </w:tc>
        <w:tc>
          <w:tcPr>
            <w:tcW w:w="0" w:type="auto"/>
          </w:tcPr>
          <w:p w:rsidR="0080583B" w:rsidRDefault="002910EF">
            <w:pPr>
              <w:pStyle w:val="Compact"/>
            </w:pPr>
            <m:oMathPara>
              <m:oMath>
                <m:r>
                  <w:rPr>
                    <w:rFonts w:ascii="Cambria Math" w:hAnsi="Cambria Math"/>
                  </w:rPr>
                  <m:t>CoM</m:t>
                </m:r>
                <m:sSup>
                  <m:sSupPr>
                    <m:ctrlPr>
                      <w:rPr>
                        <w:rFonts w:ascii="Cambria Math" w:hAnsi="Cambria Math"/>
                      </w:rPr>
                    </m:ctrlPr>
                  </m:sSupPr>
                  <m:e>
                    <m:r>
                      <w:rPr>
                        <w:rFonts w:ascii="Cambria Math" w:hAnsi="Cambria Math"/>
                      </w:rPr>
                      <m:t>L</m:t>
                    </m:r>
                  </m:e>
                  <m:sup>
                    <m:r>
                      <w:rPr>
                        <w:rFonts w:ascii="Cambria Math" w:hAnsi="Cambria Math"/>
                      </w:rPr>
                      <m:t>1</m:t>
                    </m:r>
                  </m:sup>
                </m:sSup>
              </m:oMath>
            </m:oMathPara>
          </w:p>
        </w:tc>
        <w:tc>
          <w:tcPr>
            <w:tcW w:w="0" w:type="auto"/>
          </w:tcPr>
          <w:p w:rsidR="0080583B" w:rsidRDefault="002910EF">
            <w:pPr>
              <w:pStyle w:val="Compact"/>
            </w:pPr>
            <w:r>
              <w:t>1119</w:t>
            </w:r>
          </w:p>
        </w:tc>
        <w:tc>
          <w:tcPr>
            <w:tcW w:w="0" w:type="auto"/>
          </w:tcPr>
          <w:p w:rsidR="0080583B" w:rsidRDefault="002910EF">
            <w:pPr>
              <w:pStyle w:val="Compact"/>
            </w:pPr>
            <m:oMathPara>
              <m:oMath>
                <m:r>
                  <w:rPr>
                    <w:rFonts w:ascii="Cambria Math" w:hAnsi="Cambria Math"/>
                  </w:rPr>
                  <m:t>mg</m:t>
                </m:r>
                <m:r>
                  <m:rPr>
                    <m:sty m:val="p"/>
                  </m:rPr>
                  <w:rPr>
                    <w:rFonts w:ascii="Cambria Math" w:hAnsi="Cambria Math"/>
                  </w:rPr>
                  <m:t>×</m:t>
                </m:r>
                <m:sSup>
                  <m:sSupPr>
                    <m:ctrlPr>
                      <w:rPr>
                        <w:rFonts w:ascii="Cambria Math" w:hAnsi="Cambria Math"/>
                      </w:rPr>
                    </m:ctrlPr>
                  </m:sSupPr>
                  <m:e>
                    <m:r>
                      <w:rPr>
                        <w:rFonts w:ascii="Cambria Math" w:hAnsi="Cambria Math"/>
                      </w:rPr>
                      <m:t>m</m:t>
                    </m:r>
                  </m:e>
                  <m:sup>
                    <m:r>
                      <m:rPr>
                        <m:sty m:val="p"/>
                      </m:rPr>
                      <w:rPr>
                        <w:rFonts w:ascii="Cambria Math" w:hAnsi="Cambria Math"/>
                      </w:rPr>
                      <m:t>-</m:t>
                    </m:r>
                    <m:r>
                      <w:rPr>
                        <w:rFonts w:ascii="Cambria Math" w:hAnsi="Cambria Math"/>
                      </w:rPr>
                      <m:t>3</m:t>
                    </m:r>
                  </m:sup>
                </m:sSup>
              </m:oMath>
            </m:oMathPara>
          </w:p>
        </w:tc>
      </w:tr>
      <w:tr w:rsidR="0080583B">
        <w:tc>
          <w:tcPr>
            <w:tcW w:w="0" w:type="auto"/>
          </w:tcPr>
          <w:p w:rsidR="0080583B" w:rsidRDefault="002910EF">
            <w:pPr>
              <w:pStyle w:val="Compact"/>
            </w:pPr>
            <w:r>
              <w:t>Average Sea Surface Chlorophyll</w:t>
            </w:r>
          </w:p>
        </w:tc>
        <w:tc>
          <w:tcPr>
            <w:tcW w:w="0" w:type="auto"/>
          </w:tcPr>
          <w:p w:rsidR="0080583B" w:rsidRDefault="002910EF">
            <w:pPr>
              <w:pStyle w:val="Compact"/>
            </w:pPr>
            <w:r>
              <w:t>Chl</w:t>
            </w:r>
          </w:p>
        </w:tc>
        <w:tc>
          <w:tcPr>
            <w:tcW w:w="0" w:type="auto"/>
          </w:tcPr>
          <w:p w:rsidR="0080583B" w:rsidRDefault="002910EF">
            <w:pPr>
              <w:pStyle w:val="Compact"/>
            </w:pPr>
            <m:oMathPara>
              <m:oMath>
                <m:r>
                  <w:rPr>
                    <w:rFonts w:ascii="Cambria Math" w:hAnsi="Cambria Math"/>
                  </w:rPr>
                  <m:t>CoM</m:t>
                </m:r>
                <m:sSup>
                  <m:sSupPr>
                    <m:ctrlPr>
                      <w:rPr>
                        <w:rFonts w:ascii="Cambria Math" w:hAnsi="Cambria Math"/>
                      </w:rPr>
                    </m:ctrlPr>
                  </m:sSupPr>
                  <m:e>
                    <m:r>
                      <w:rPr>
                        <w:rFonts w:ascii="Cambria Math" w:hAnsi="Cambria Math"/>
                      </w:rPr>
                      <m:t>L</m:t>
                    </m:r>
                  </m:e>
                  <m:sup>
                    <m:r>
                      <w:rPr>
                        <w:rFonts w:ascii="Cambria Math" w:hAnsi="Cambria Math"/>
                      </w:rPr>
                      <m:t>1</m:t>
                    </m:r>
                  </m:sup>
                </m:sSup>
              </m:oMath>
            </m:oMathPara>
          </w:p>
        </w:tc>
        <w:tc>
          <w:tcPr>
            <w:tcW w:w="0" w:type="auto"/>
          </w:tcPr>
          <w:p w:rsidR="0080583B" w:rsidRDefault="002910EF">
            <w:pPr>
              <w:pStyle w:val="Compact"/>
            </w:pPr>
            <w:r>
              <w:t>855</w:t>
            </w:r>
          </w:p>
        </w:tc>
        <w:tc>
          <w:tcPr>
            <w:tcW w:w="0" w:type="auto"/>
          </w:tcPr>
          <w:p w:rsidR="0080583B" w:rsidRDefault="002910EF">
            <w:pPr>
              <w:pStyle w:val="Compact"/>
            </w:pPr>
            <m:oMathPara>
              <m:oMath>
                <m:r>
                  <w:rPr>
                    <w:rFonts w:ascii="Cambria Math" w:hAnsi="Cambria Math"/>
                  </w:rPr>
                  <m:t>mg</m:t>
                </m:r>
                <m:r>
                  <m:rPr>
                    <m:sty m:val="p"/>
                  </m:rPr>
                  <w:rPr>
                    <w:rFonts w:ascii="Cambria Math" w:hAnsi="Cambria Math"/>
                  </w:rPr>
                  <m:t>×</m:t>
                </m:r>
                <m:sSup>
                  <m:sSupPr>
                    <m:ctrlPr>
                      <w:rPr>
                        <w:rFonts w:ascii="Cambria Math" w:hAnsi="Cambria Math"/>
                      </w:rPr>
                    </m:ctrlPr>
                  </m:sSupPr>
                  <m:e>
                    <m:r>
                      <w:rPr>
                        <w:rFonts w:ascii="Cambria Math" w:hAnsi="Cambria Math"/>
                      </w:rPr>
                      <m:t>m</m:t>
                    </m:r>
                  </m:e>
                  <m:sup>
                    <m:r>
                      <m:rPr>
                        <m:sty m:val="p"/>
                      </m:rPr>
                      <w:rPr>
                        <w:rFonts w:ascii="Cambria Math" w:hAnsi="Cambria Math"/>
                      </w:rPr>
                      <m:t>-</m:t>
                    </m:r>
                    <m:r>
                      <w:rPr>
                        <w:rFonts w:ascii="Cambria Math" w:hAnsi="Cambria Math"/>
                      </w:rPr>
                      <m:t>3</m:t>
                    </m:r>
                  </m:sup>
                </m:sSup>
              </m:oMath>
            </m:oMathPara>
          </w:p>
        </w:tc>
      </w:tr>
      <w:tr w:rsidR="0080583B">
        <w:tc>
          <w:tcPr>
            <w:tcW w:w="0" w:type="auto"/>
          </w:tcPr>
          <w:p w:rsidR="0080583B" w:rsidRDefault="002910EF">
            <w:pPr>
              <w:pStyle w:val="Compact"/>
            </w:pPr>
            <w:r>
              <w:t>Benthic Current Stress with Wind and Tidal Influences</w:t>
            </w:r>
          </w:p>
        </w:tc>
        <w:tc>
          <w:tcPr>
            <w:tcW w:w="0" w:type="auto"/>
          </w:tcPr>
          <w:p w:rsidR="0080583B" w:rsidRDefault="002910EF">
            <w:pPr>
              <w:pStyle w:val="Compact"/>
            </w:pPr>
            <w:r>
              <w:t>botstr.wt</w:t>
            </w:r>
          </w:p>
        </w:tc>
        <w:tc>
          <w:tcPr>
            <w:tcW w:w="0" w:type="auto"/>
          </w:tcPr>
          <w:p w:rsidR="0080583B" w:rsidRDefault="002910EF">
            <w:pPr>
              <w:pStyle w:val="Compact"/>
            </w:pPr>
            <m:oMathPara>
              <m:oMath>
                <m:r>
                  <w:rPr>
                    <w:rFonts w:ascii="Cambria Math" w:hAnsi="Cambria Math"/>
                  </w:rPr>
                  <m:t>CoM</m:t>
                </m:r>
                <m:sSup>
                  <m:sSupPr>
                    <m:ctrlPr>
                      <w:rPr>
                        <w:rFonts w:ascii="Cambria Math" w:hAnsi="Cambria Math"/>
                      </w:rPr>
                    </m:ctrlPr>
                  </m:sSupPr>
                  <m:e>
                    <m:r>
                      <w:rPr>
                        <w:rFonts w:ascii="Cambria Math" w:hAnsi="Cambria Math"/>
                      </w:rPr>
                      <m:t>L</m:t>
                    </m:r>
                  </m:e>
                  <m:sup>
                    <m:r>
                      <w:rPr>
                        <w:rFonts w:ascii="Cambria Math" w:hAnsi="Cambria Math"/>
                      </w:rPr>
                      <m:t>1</m:t>
                    </m:r>
                  </m:sup>
                </m:sSup>
              </m:oMath>
            </m:oMathPara>
          </w:p>
        </w:tc>
        <w:tc>
          <w:tcPr>
            <w:tcW w:w="0" w:type="auto"/>
          </w:tcPr>
          <w:p w:rsidR="0080583B" w:rsidRDefault="002910EF">
            <w:pPr>
              <w:pStyle w:val="Compact"/>
            </w:pPr>
            <w:r>
              <w:t>952</w:t>
            </w:r>
          </w:p>
        </w:tc>
        <w:tc>
          <w:tcPr>
            <w:tcW w:w="0" w:type="auto"/>
          </w:tcPr>
          <w:p w:rsidR="0080583B" w:rsidRDefault="002910EF">
            <w:pPr>
              <w:pStyle w:val="Compact"/>
            </w:pPr>
            <m:oMathPara>
              <m:oMath>
                <m:r>
                  <w:rPr>
                    <w:rFonts w:ascii="Cambria Math" w:hAnsi="Cambria Math"/>
                  </w:rPr>
                  <m:t>N</m:t>
                </m:r>
                <m:r>
                  <m:rPr>
                    <m:sty m:val="p"/>
                  </m:rPr>
                  <w:rPr>
                    <w:rFonts w:ascii="Cambria Math" w:hAnsi="Cambria Math"/>
                  </w:rPr>
                  <m:t>×</m:t>
                </m:r>
                <m:sSup>
                  <m:sSupPr>
                    <m:ctrlPr>
                      <w:rPr>
                        <w:rFonts w:ascii="Cambria Math" w:hAnsi="Cambria Math"/>
                      </w:rPr>
                    </m:ctrlPr>
                  </m:sSupPr>
                  <m:e>
                    <m:r>
                      <w:rPr>
                        <w:rFonts w:ascii="Cambria Math" w:hAnsi="Cambria Math"/>
                      </w:rPr>
                      <m:t>m</m:t>
                    </m:r>
                  </m:e>
                  <m:sup>
                    <m:r>
                      <m:rPr>
                        <m:sty m:val="p"/>
                      </m:rPr>
                      <w:rPr>
                        <w:rFonts w:ascii="Cambria Math" w:hAnsi="Cambria Math"/>
                      </w:rPr>
                      <m:t>-</m:t>
                    </m:r>
                    <m:r>
                      <w:rPr>
                        <w:rFonts w:ascii="Cambria Math" w:hAnsi="Cambria Math"/>
                      </w:rPr>
                      <m:t>2</m:t>
                    </m:r>
                  </m:sup>
                </m:sSup>
              </m:oMath>
            </m:oMathPara>
          </w:p>
        </w:tc>
      </w:tr>
      <w:tr w:rsidR="0080583B">
        <w:tc>
          <w:tcPr>
            <w:tcW w:w="0" w:type="auto"/>
          </w:tcPr>
          <w:p w:rsidR="0080583B" w:rsidRDefault="002910EF">
            <w:pPr>
              <w:pStyle w:val="Compact"/>
            </w:pPr>
            <w:r>
              <w:t>Benthic Current Stress with only tidal influence</w:t>
            </w:r>
          </w:p>
        </w:tc>
        <w:tc>
          <w:tcPr>
            <w:tcW w:w="0" w:type="auto"/>
          </w:tcPr>
          <w:p w:rsidR="0080583B" w:rsidRDefault="002910EF">
            <w:pPr>
              <w:pStyle w:val="Compact"/>
            </w:pPr>
            <w:r>
              <w:t>botstr.t</w:t>
            </w:r>
          </w:p>
        </w:tc>
        <w:tc>
          <w:tcPr>
            <w:tcW w:w="0" w:type="auto"/>
          </w:tcPr>
          <w:p w:rsidR="0080583B" w:rsidRDefault="002910EF">
            <w:pPr>
              <w:pStyle w:val="Compact"/>
            </w:pPr>
            <m:oMathPara>
              <m:oMath>
                <m:r>
                  <w:rPr>
                    <w:rFonts w:ascii="Cambria Math" w:hAnsi="Cambria Math"/>
                  </w:rPr>
                  <m:t>CoM</m:t>
                </m:r>
                <m:sSup>
                  <m:sSupPr>
                    <m:ctrlPr>
                      <w:rPr>
                        <w:rFonts w:ascii="Cambria Math" w:hAnsi="Cambria Math"/>
                      </w:rPr>
                    </m:ctrlPr>
                  </m:sSupPr>
                  <m:e>
                    <m:r>
                      <w:rPr>
                        <w:rFonts w:ascii="Cambria Math" w:hAnsi="Cambria Math"/>
                      </w:rPr>
                      <m:t>L</m:t>
                    </m:r>
                  </m:e>
                  <m:sup>
                    <m:r>
                      <w:rPr>
                        <w:rFonts w:ascii="Cambria Math" w:hAnsi="Cambria Math"/>
                      </w:rPr>
                      <m:t>1</m:t>
                    </m:r>
                  </m:sup>
                </m:sSup>
              </m:oMath>
            </m:oMathPara>
          </w:p>
        </w:tc>
        <w:tc>
          <w:tcPr>
            <w:tcW w:w="0" w:type="auto"/>
          </w:tcPr>
          <w:p w:rsidR="0080583B" w:rsidRDefault="002910EF">
            <w:pPr>
              <w:pStyle w:val="Compact"/>
            </w:pPr>
            <w:r>
              <w:t>3800</w:t>
            </w:r>
          </w:p>
        </w:tc>
        <w:tc>
          <w:tcPr>
            <w:tcW w:w="0" w:type="auto"/>
          </w:tcPr>
          <w:p w:rsidR="0080583B" w:rsidRDefault="002910EF">
            <w:pPr>
              <w:pStyle w:val="Compact"/>
            </w:pPr>
            <m:oMathPara>
              <m:oMath>
                <m:r>
                  <w:rPr>
                    <w:rFonts w:ascii="Cambria Math" w:hAnsi="Cambria Math"/>
                  </w:rPr>
                  <m:t>N</m:t>
                </m:r>
                <m:r>
                  <m:rPr>
                    <m:sty m:val="p"/>
                  </m:rPr>
                  <w:rPr>
                    <w:rFonts w:ascii="Cambria Math" w:hAnsi="Cambria Math"/>
                  </w:rPr>
                  <m:t>×</m:t>
                </m:r>
                <m:sSup>
                  <m:sSupPr>
                    <m:ctrlPr>
                      <w:rPr>
                        <w:rFonts w:ascii="Cambria Math" w:hAnsi="Cambria Math"/>
                      </w:rPr>
                    </m:ctrlPr>
                  </m:sSupPr>
                  <m:e>
                    <m:r>
                      <w:rPr>
                        <w:rFonts w:ascii="Cambria Math" w:hAnsi="Cambria Math"/>
                      </w:rPr>
                      <m:t>m</m:t>
                    </m:r>
                  </m:e>
                  <m:sup>
                    <m:r>
                      <m:rPr>
                        <m:sty m:val="p"/>
                      </m:rPr>
                      <w:rPr>
                        <w:rFonts w:ascii="Cambria Math" w:hAnsi="Cambria Math"/>
                      </w:rPr>
                      <m:t>-</m:t>
                    </m:r>
                    <m:r>
                      <w:rPr>
                        <w:rFonts w:ascii="Cambria Math" w:hAnsi="Cambria Math"/>
                      </w:rPr>
                      <m:t>2</m:t>
                    </m:r>
                  </m:sup>
                </m:sSup>
              </m:oMath>
            </m:oMathPara>
          </w:p>
        </w:tc>
      </w:tr>
    </w:tbl>
    <w:p w:rsidR="0080583B" w:rsidRDefault="002910EF">
      <w:pPr>
        <w:pStyle w:val="Heading1"/>
      </w:pPr>
      <w:bookmarkStart w:id="79" w:name="ref-figs"/>
      <w:bookmarkEnd w:id="78"/>
      <w:r>
        <w:lastRenderedPageBreak/>
        <w:t>FIGURES</w:t>
      </w:r>
    </w:p>
    <w:p w:rsidR="0080583B" w:rsidRDefault="0080583B">
      <w:pPr>
        <w:pStyle w:val="FirstParagraph"/>
      </w:pPr>
    </w:p>
    <w:p w:rsidR="0080583B" w:rsidRDefault="002910EF">
      <w:pPr>
        <w:pStyle w:val="CaptionedFigure"/>
      </w:pPr>
      <w:r>
        <w:rPr>
          <w:noProof/>
        </w:rPr>
        <w:lastRenderedPageBreak/>
        <w:drawing>
          <wp:inline distT="0" distB="0" distL="0" distR="0">
            <wp:extent cx="5334000" cy="7112000"/>
            <wp:effectExtent l="0" t="0" r="0" b="0"/>
            <wp:docPr id="1" name="Picture" descr="Figure 1: Georges Bank (GB) study area. Points represent the sample locations for each of the three surveys and the orange outline represets the core region of GB included in these analyses (42,000 km²). The red line delineates the Canadian exclusive economic zone (EEZ)."/>
            <wp:cNvGraphicFramePr/>
            <a:graphic xmlns:a="http://schemas.openxmlformats.org/drawingml/2006/main">
              <a:graphicData uri="http://schemas.openxmlformats.org/drawingml/2006/picture">
                <pic:pic xmlns:pic="http://schemas.openxmlformats.org/drawingml/2006/picture">
                  <pic:nvPicPr>
                    <pic:cNvPr id="0" name="Picture" descr="D:/Github/Paper_2_SDMs/Results/Figures/GB_overview.png"/>
                    <pic:cNvPicPr>
                      <a:picLocks noChangeAspect="1" noChangeArrowheads="1"/>
                    </pic:cNvPicPr>
                  </pic:nvPicPr>
                  <pic:blipFill>
                    <a:blip r:embed="rId55"/>
                    <a:stretch>
                      <a:fillRect/>
                    </a:stretch>
                  </pic:blipFill>
                  <pic:spPr bwMode="auto">
                    <a:xfrm>
                      <a:off x="0" y="0"/>
                      <a:ext cx="5334000" cy="7112000"/>
                    </a:xfrm>
                    <a:prstGeom prst="rect">
                      <a:avLst/>
                    </a:prstGeom>
                    <a:noFill/>
                    <a:ln w="9525">
                      <a:noFill/>
                      <a:headEnd/>
                      <a:tailEnd/>
                    </a:ln>
                  </pic:spPr>
                </pic:pic>
              </a:graphicData>
            </a:graphic>
          </wp:inline>
        </w:drawing>
      </w:r>
    </w:p>
    <w:p w:rsidR="0080583B" w:rsidRDefault="002910EF">
      <w:pPr>
        <w:pStyle w:val="ImageCaption"/>
      </w:pPr>
      <w:r>
        <w:t xml:space="preserve">Figure 1: Georges Bank (GB) study area. Points represent the sample locations for each of the three surveys and the orange outline represets the core region of GB </w:t>
      </w:r>
      <w:r>
        <w:t>included in these analyses (42,000 km²). The red line delineates the Canadian exclusive economic zone (EEZ).</w:t>
      </w:r>
    </w:p>
    <w:p w:rsidR="0080583B" w:rsidRDefault="002910EF">
      <w:pPr>
        <w:pStyle w:val="CaptionedFigure"/>
      </w:pPr>
      <w:r>
        <w:rPr>
          <w:noProof/>
        </w:rPr>
        <w:lastRenderedPageBreak/>
        <w:drawing>
          <wp:inline distT="0" distB="0" distL="0" distR="0">
            <wp:extent cx="5334000" cy="5334000"/>
            <wp:effectExtent l="0" t="0" r="0" b="0"/>
            <wp:docPr id="2" name="Picture" descr="Figure 2: Delaunay triangular mesh used for the analyses. The mesh contains 6610 vertices. The red line delineates the Canadian exclusive economic zone (EEZ)."/>
            <wp:cNvGraphicFramePr/>
            <a:graphic xmlns:a="http://schemas.openxmlformats.org/drawingml/2006/main">
              <a:graphicData uri="http://schemas.openxmlformats.org/drawingml/2006/picture">
                <pic:pic xmlns:pic="http://schemas.openxmlformats.org/drawingml/2006/picture">
                  <pic:nvPicPr>
                    <pic:cNvPr id="0" name="Picture" descr="D:/Github/Paper_2_SDMs/Results/Figures/mesh.png"/>
                    <pic:cNvPicPr>
                      <a:picLocks noChangeAspect="1" noChangeArrowheads="1"/>
                    </pic:cNvPicPr>
                  </pic:nvPicPr>
                  <pic:blipFill>
                    <a:blip r:embed="rId56"/>
                    <a:stretch>
                      <a:fillRect/>
                    </a:stretch>
                  </pic:blipFill>
                  <pic:spPr bwMode="auto">
                    <a:xfrm>
                      <a:off x="0" y="0"/>
                      <a:ext cx="5334000" cy="5334000"/>
                    </a:xfrm>
                    <a:prstGeom prst="rect">
                      <a:avLst/>
                    </a:prstGeom>
                    <a:noFill/>
                    <a:ln w="9525">
                      <a:noFill/>
                      <a:headEnd/>
                      <a:tailEnd/>
                    </a:ln>
                  </pic:spPr>
                </pic:pic>
              </a:graphicData>
            </a:graphic>
          </wp:inline>
        </w:drawing>
      </w:r>
    </w:p>
    <w:p w:rsidR="0080583B" w:rsidRDefault="002910EF">
      <w:pPr>
        <w:pStyle w:val="ImageCaption"/>
      </w:pPr>
      <w:r>
        <w:t>Figure 2: Delaunay triangular mesh used for the analyses. The mesh contains 6610 vertices. The red line delineates the Canadian exclusive economic zone (EEZ).</w:t>
      </w:r>
    </w:p>
    <w:p w:rsidR="0080583B" w:rsidRDefault="002910EF">
      <w:pPr>
        <w:pStyle w:val="CaptionedFigure"/>
      </w:pPr>
      <w:r>
        <w:rPr>
          <w:noProof/>
        </w:rPr>
        <w:lastRenderedPageBreak/>
        <w:drawing>
          <wp:inline distT="0" distB="0" distL="0" distR="0">
            <wp:extent cx="5334000" cy="5334000"/>
            <wp:effectExtent l="0" t="0" r="0" b="0"/>
            <wp:docPr id="3" name="Picture" descr="Figure 3: Center of Gravity (COG) for the core area (OP = 0.75) of Atlantic Cod (top panel) and Yellowtail Flounder (bottom panels) in the Winter (left), Spring (center), and Fall (right) using the preferred models. Blue lines indicate ±3 standard deviation units from the mean COG. Labels indicate the years associated with each era and the red line is border between the U.S. and Canada."/>
            <wp:cNvGraphicFramePr/>
            <a:graphic xmlns:a="http://schemas.openxmlformats.org/drawingml/2006/main">
              <a:graphicData uri="http://schemas.openxmlformats.org/drawingml/2006/picture">
                <pic:pic xmlns:pic="http://schemas.openxmlformats.org/drawingml/2006/picture">
                  <pic:nvPicPr>
                    <pic:cNvPr id="0" name="Picture" descr="D:/Github/Paper_2_SDMs/Results/Figures/center_of_gravity.png"/>
                    <pic:cNvPicPr>
                      <a:picLocks noChangeAspect="1" noChangeArrowheads="1"/>
                    </pic:cNvPicPr>
                  </pic:nvPicPr>
                  <pic:blipFill>
                    <a:blip r:embed="rId57"/>
                    <a:stretch>
                      <a:fillRect/>
                    </a:stretch>
                  </pic:blipFill>
                  <pic:spPr bwMode="auto">
                    <a:xfrm>
                      <a:off x="0" y="0"/>
                      <a:ext cx="5334000" cy="5334000"/>
                    </a:xfrm>
                    <a:prstGeom prst="rect">
                      <a:avLst/>
                    </a:prstGeom>
                    <a:noFill/>
                    <a:ln w="9525">
                      <a:noFill/>
                      <a:headEnd/>
                      <a:tailEnd/>
                    </a:ln>
                  </pic:spPr>
                </pic:pic>
              </a:graphicData>
            </a:graphic>
          </wp:inline>
        </w:drawing>
      </w:r>
    </w:p>
    <w:p w:rsidR="0080583B" w:rsidRDefault="002910EF">
      <w:pPr>
        <w:pStyle w:val="ImageCaption"/>
      </w:pPr>
      <w:r>
        <w:t>Figure 3: Center of Gravity (COG) for the core area (OP = 0.75) of Atlantic Cod (top panel) and</w:t>
      </w:r>
      <w:r>
        <w:t xml:space="preserve"> Yellowtail Flounder (bottom panels) in the Winter (left), Spring (center), and Fall (right) using the preferred models. Blue lines indicate ±3 standard deviation units from the mean COG. Labels indicate the years associated with each era and the red line </w:t>
      </w:r>
      <w:r>
        <w:t>is border between the U.S. and Canada.</w:t>
      </w:r>
    </w:p>
    <w:p w:rsidR="0080583B" w:rsidRDefault="002910EF">
      <w:r>
        <w:br w:type="page"/>
      </w:r>
    </w:p>
    <w:p w:rsidR="0080583B" w:rsidRDefault="002910EF">
      <w:pPr>
        <w:pStyle w:val="CaptionedFigure"/>
      </w:pPr>
      <w:r>
        <w:rPr>
          <w:noProof/>
        </w:rPr>
        <w:lastRenderedPageBreak/>
        <w:drawing>
          <wp:inline distT="0" distB="0" distL="0" distR="0">
            <wp:extent cx="5334000" cy="3556000"/>
            <wp:effectExtent l="0" t="0" r="0" b="0"/>
            <wp:docPr id="4" name="Picture" descr="Figure 4: Time series of the size of the core area (OP = 0.75) on GB for each of the three surveys using the preferred models. The Atlantic Cod time series is on the left and the Yellowtail Flounder on the right. The black line represents the Winter trend, the Blue line is the Spring trend, and the green line is the Fall trend."/>
            <wp:cNvGraphicFramePr/>
            <a:graphic xmlns:a="http://schemas.openxmlformats.org/drawingml/2006/main">
              <a:graphicData uri="http://schemas.openxmlformats.org/drawingml/2006/picture">
                <pic:pic xmlns:pic="http://schemas.openxmlformats.org/drawingml/2006/picture">
                  <pic:nvPicPr>
                    <pic:cNvPr id="0" name="Picture" descr="D:/Github/Paper_2_SDMs/Results/Figures/Area_ts_high.png"/>
                    <pic:cNvPicPr>
                      <a:picLocks noChangeAspect="1" noChangeArrowheads="1"/>
                    </pic:cNvPicPr>
                  </pic:nvPicPr>
                  <pic:blipFill>
                    <a:blip r:embed="rId58"/>
                    <a:stretch>
                      <a:fillRect/>
                    </a:stretch>
                  </pic:blipFill>
                  <pic:spPr bwMode="auto">
                    <a:xfrm>
                      <a:off x="0" y="0"/>
                      <a:ext cx="5334000" cy="3556000"/>
                    </a:xfrm>
                    <a:prstGeom prst="rect">
                      <a:avLst/>
                    </a:prstGeom>
                    <a:noFill/>
                    <a:ln w="9525">
                      <a:noFill/>
                      <a:headEnd/>
                      <a:tailEnd/>
                    </a:ln>
                  </pic:spPr>
                </pic:pic>
              </a:graphicData>
            </a:graphic>
          </wp:inline>
        </w:drawing>
      </w:r>
    </w:p>
    <w:p w:rsidR="0080583B" w:rsidRDefault="002910EF">
      <w:pPr>
        <w:pStyle w:val="ImageCaption"/>
      </w:pPr>
      <w:r>
        <w:t xml:space="preserve">Figure 4: Time series of the size of the core area (OP = 0.75) on GB for each of the three surveys using the preferred models. The Atlantic Cod time series is on the left and the Yellowtail Flounder on the right. </w:t>
      </w:r>
      <w:r>
        <w:t>The black line represents the Winter trend, the Blue line is the Spring trend, and the green line is the Fall trend.</w:t>
      </w:r>
    </w:p>
    <w:p w:rsidR="0080583B" w:rsidRDefault="002910EF">
      <w:r>
        <w:br w:type="page"/>
      </w:r>
    </w:p>
    <w:p w:rsidR="0080583B" w:rsidRDefault="002910EF">
      <w:pPr>
        <w:pStyle w:val="CaptionedFigure"/>
      </w:pPr>
      <w:r>
        <w:rPr>
          <w:noProof/>
        </w:rPr>
        <w:lastRenderedPageBreak/>
        <w:drawing>
          <wp:inline distT="0" distB="0" distL="0" distR="0">
            <wp:extent cx="5334000" cy="3394363"/>
            <wp:effectExtent l="0" t="0" r="0" b="0"/>
            <wp:docPr id="5" name="Picture" descr="Figure 5: Time series of the size of the core area (OP = 0.75) on for each of the three seasons in Canada and the U.S.. The Atlantic Cod time series is in the top row and Yellowtail Flounder in the bottom row, Canada is on the left and U.S. is on the right. The black line represents the Winter trend, the Blue line is the Spring trend, and the green line is the Fall trend."/>
            <wp:cNvGraphicFramePr/>
            <a:graphic xmlns:a="http://schemas.openxmlformats.org/drawingml/2006/main">
              <a:graphicData uri="http://schemas.openxmlformats.org/drawingml/2006/picture">
                <pic:pic xmlns:pic="http://schemas.openxmlformats.org/drawingml/2006/picture">
                  <pic:nvPicPr>
                    <pic:cNvPr id="0" name="Picture" descr="D:/Github/Paper_2_SDMs/Results/Figures/Area_can_vs_us_ts_high.png"/>
                    <pic:cNvPicPr>
                      <a:picLocks noChangeAspect="1" noChangeArrowheads="1"/>
                    </pic:cNvPicPr>
                  </pic:nvPicPr>
                  <pic:blipFill>
                    <a:blip r:embed="rId59"/>
                    <a:stretch>
                      <a:fillRect/>
                    </a:stretch>
                  </pic:blipFill>
                  <pic:spPr bwMode="auto">
                    <a:xfrm>
                      <a:off x="0" y="0"/>
                      <a:ext cx="5334000" cy="3394363"/>
                    </a:xfrm>
                    <a:prstGeom prst="rect">
                      <a:avLst/>
                    </a:prstGeom>
                    <a:noFill/>
                    <a:ln w="9525">
                      <a:noFill/>
                      <a:headEnd/>
                      <a:tailEnd/>
                    </a:ln>
                  </pic:spPr>
                </pic:pic>
              </a:graphicData>
            </a:graphic>
          </wp:inline>
        </w:drawing>
      </w:r>
    </w:p>
    <w:p w:rsidR="0080583B" w:rsidRDefault="002910EF">
      <w:pPr>
        <w:pStyle w:val="ImageCaption"/>
      </w:pPr>
      <w:r>
        <w:t>Figure 5: Time series of the size of the core area (OP = 0.75) on for each of the three seasons in Canada and the U.S.. The Atlantic Co</w:t>
      </w:r>
      <w:r>
        <w:t>d time series is in the top row and Yellowtail Flounder in the bottom row, Canada is on the left and U.S. is on the right. The black line represents the Winter trend, the Blue line is the Spring trend, and the green line is the Fall trend.</w:t>
      </w:r>
    </w:p>
    <w:p w:rsidR="0080583B" w:rsidRDefault="002910EF">
      <w:r>
        <w:br w:type="page"/>
      </w:r>
    </w:p>
    <w:p w:rsidR="0080583B" w:rsidRDefault="002910EF">
      <w:pPr>
        <w:pStyle w:val="CaptionedFigure"/>
      </w:pPr>
      <w:r>
        <w:rPr>
          <w:noProof/>
        </w:rPr>
        <w:lastRenderedPageBreak/>
        <w:drawing>
          <wp:inline distT="0" distB="0" distL="0" distR="0">
            <wp:extent cx="5334000" cy="3556000"/>
            <wp:effectExtent l="0" t="0" r="0" b="0"/>
            <wp:docPr id="6" name="Picture" descr="Figure 6: Fixed effects for Atlantic Cod from each survey, top row is the depth (Dep) covariate effect, bottom row is the SST effect. Results transformed to the probability scale and the blue shaded region represents the 95% credible interval."/>
            <wp:cNvGraphicFramePr/>
            <a:graphic xmlns:a="http://schemas.openxmlformats.org/drawingml/2006/main">
              <a:graphicData uri="http://schemas.openxmlformats.org/drawingml/2006/picture">
                <pic:pic xmlns:pic="http://schemas.openxmlformats.org/drawingml/2006/picture">
                  <pic:nvPicPr>
                    <pic:cNvPr id="0" name="Picture" descr="D:/Github/Paper_2_SDMs/Results/Figures/Cod_fixed_effects.png"/>
                    <pic:cNvPicPr>
                      <a:picLocks noChangeAspect="1" noChangeArrowheads="1"/>
                    </pic:cNvPicPr>
                  </pic:nvPicPr>
                  <pic:blipFill>
                    <a:blip r:embed="rId60"/>
                    <a:stretch>
                      <a:fillRect/>
                    </a:stretch>
                  </pic:blipFill>
                  <pic:spPr bwMode="auto">
                    <a:xfrm>
                      <a:off x="0" y="0"/>
                      <a:ext cx="5334000" cy="3556000"/>
                    </a:xfrm>
                    <a:prstGeom prst="rect">
                      <a:avLst/>
                    </a:prstGeom>
                    <a:noFill/>
                    <a:ln w="9525">
                      <a:noFill/>
                      <a:headEnd/>
                      <a:tailEnd/>
                    </a:ln>
                  </pic:spPr>
                </pic:pic>
              </a:graphicData>
            </a:graphic>
          </wp:inline>
        </w:drawing>
      </w:r>
    </w:p>
    <w:p w:rsidR="0080583B" w:rsidRDefault="002910EF">
      <w:pPr>
        <w:pStyle w:val="ImageCaption"/>
      </w:pPr>
      <w:r>
        <w:t>Figure 6: Fi</w:t>
      </w:r>
      <w:r>
        <w:t>xed effects for Atlantic Cod from each survey, top row is the depth (Dep) covariate effect, bottom row is the SST effect. Results transformed to the probability scale and the blue shaded region represents the 95% credible interval.</w:t>
      </w:r>
    </w:p>
    <w:p w:rsidR="0080583B" w:rsidRDefault="002910EF">
      <w:r>
        <w:br w:type="page"/>
      </w:r>
    </w:p>
    <w:p w:rsidR="0080583B" w:rsidRDefault="002910EF">
      <w:pPr>
        <w:pStyle w:val="CaptionedFigure"/>
      </w:pPr>
      <w:r>
        <w:rPr>
          <w:noProof/>
        </w:rPr>
        <w:lastRenderedPageBreak/>
        <w:drawing>
          <wp:inline distT="0" distB="0" distL="0" distR="0">
            <wp:extent cx="5334000" cy="3556000"/>
            <wp:effectExtent l="0" t="0" r="0" b="0"/>
            <wp:docPr id="7" name="Picture" descr="Figure 7: Fixed effects for Yellowtail Flounder from each survey, the top row is the depth covariate effect, middle row is the SST effect and the bottom row is the sediment type effect. Results transformed to the probability scale, and the blue shaded region and the error bars represent the 95% credible intervals. The Winter and Spring results use a 3 year random field while the Fall results are for the 5 year random field model."/>
            <wp:cNvGraphicFramePr/>
            <a:graphic xmlns:a="http://schemas.openxmlformats.org/drawingml/2006/main">
              <a:graphicData uri="http://schemas.openxmlformats.org/drawingml/2006/picture">
                <pic:pic xmlns:pic="http://schemas.openxmlformats.org/drawingml/2006/picture">
                  <pic:nvPicPr>
                    <pic:cNvPr id="0" name="Picture" descr="D:/Github/Paper_2_SDMs/Results/Figures/yt_fixed_effects.png"/>
                    <pic:cNvPicPr>
                      <a:picLocks noChangeAspect="1" noChangeArrowheads="1"/>
                    </pic:cNvPicPr>
                  </pic:nvPicPr>
                  <pic:blipFill>
                    <a:blip r:embed="rId61"/>
                    <a:stretch>
                      <a:fillRect/>
                    </a:stretch>
                  </pic:blipFill>
                  <pic:spPr bwMode="auto">
                    <a:xfrm>
                      <a:off x="0" y="0"/>
                      <a:ext cx="5334000" cy="3556000"/>
                    </a:xfrm>
                    <a:prstGeom prst="rect">
                      <a:avLst/>
                    </a:prstGeom>
                    <a:noFill/>
                    <a:ln w="9525">
                      <a:noFill/>
                      <a:headEnd/>
                      <a:tailEnd/>
                    </a:ln>
                  </pic:spPr>
                </pic:pic>
              </a:graphicData>
            </a:graphic>
          </wp:inline>
        </w:drawing>
      </w:r>
    </w:p>
    <w:p w:rsidR="0080583B" w:rsidRDefault="002910EF">
      <w:pPr>
        <w:pStyle w:val="ImageCaption"/>
      </w:pPr>
      <w:r>
        <w:t>Figure 7: Fixed effe</w:t>
      </w:r>
      <w:r>
        <w:t>cts for Yellowtail Flounder from each survey, the top row is the depth covariate effect, middle row is the SST effect and the bottom row is the sediment type effect. Results transformed to the probability scale, and the blue shaded region and the error bar</w:t>
      </w:r>
      <w:r>
        <w:t>s represent the 95% credible intervals. The Winter and Spring results use a 3 year random field while the Fall results are for the 5 year random field model.</w:t>
      </w:r>
    </w:p>
    <w:p w:rsidR="0080583B" w:rsidRDefault="002910EF">
      <w:pPr>
        <w:pStyle w:val="CaptionedFigure"/>
      </w:pPr>
      <w:r>
        <w:rPr>
          <w:noProof/>
        </w:rPr>
        <w:lastRenderedPageBreak/>
        <w:drawing>
          <wp:inline distT="0" distB="0" distL="0" distR="0">
            <wp:extent cx="5334000" cy="3556000"/>
            <wp:effectExtent l="0" t="0" r="0" b="0"/>
            <wp:docPr id="8" name="Picture" descr="Figure 8: Decorrelation range estimate with 95% credible intervals for each season."/>
            <wp:cNvGraphicFramePr/>
            <a:graphic xmlns:a="http://schemas.openxmlformats.org/drawingml/2006/main">
              <a:graphicData uri="http://schemas.openxmlformats.org/drawingml/2006/picture">
                <pic:pic xmlns:pic="http://schemas.openxmlformats.org/drawingml/2006/picture">
                  <pic:nvPicPr>
                    <pic:cNvPr id="0" name="Picture" descr="D:/Github/Paper_2_SDMs/Results/Figures/hyper_range_field_est.png"/>
                    <pic:cNvPicPr>
                      <a:picLocks noChangeAspect="1" noChangeArrowheads="1"/>
                    </pic:cNvPicPr>
                  </pic:nvPicPr>
                  <pic:blipFill>
                    <a:blip r:embed="rId62"/>
                    <a:stretch>
                      <a:fillRect/>
                    </a:stretch>
                  </pic:blipFill>
                  <pic:spPr bwMode="auto">
                    <a:xfrm>
                      <a:off x="0" y="0"/>
                      <a:ext cx="5334000" cy="3556000"/>
                    </a:xfrm>
                    <a:prstGeom prst="rect">
                      <a:avLst/>
                    </a:prstGeom>
                    <a:noFill/>
                    <a:ln w="9525">
                      <a:noFill/>
                      <a:headEnd/>
                      <a:tailEnd/>
                    </a:ln>
                  </pic:spPr>
                </pic:pic>
              </a:graphicData>
            </a:graphic>
          </wp:inline>
        </w:drawing>
      </w:r>
    </w:p>
    <w:p w:rsidR="0080583B" w:rsidRDefault="002910EF">
      <w:pPr>
        <w:pStyle w:val="ImageCaption"/>
      </w:pPr>
      <w:r>
        <w:t>Figure 8: Decorrelation range estimate with 95% credible intervals for each season.</w:t>
      </w:r>
    </w:p>
    <w:p w:rsidR="0080583B" w:rsidRDefault="002910EF">
      <w:pPr>
        <w:pStyle w:val="CaptionedFigure"/>
      </w:pPr>
      <w:r>
        <w:rPr>
          <w:noProof/>
        </w:rPr>
        <w:drawing>
          <wp:inline distT="0" distB="0" distL="0" distR="0">
            <wp:extent cx="5334000" cy="3556000"/>
            <wp:effectExtent l="0" t="0" r="0" b="0"/>
            <wp:docPr id="9" name="Picture" descr="Figure 9: Standard Deviation of the field with 95% credible intervals for each season."/>
            <wp:cNvGraphicFramePr/>
            <a:graphic xmlns:a="http://schemas.openxmlformats.org/drawingml/2006/main">
              <a:graphicData uri="http://schemas.openxmlformats.org/drawingml/2006/picture">
                <pic:pic xmlns:pic="http://schemas.openxmlformats.org/drawingml/2006/picture">
                  <pic:nvPicPr>
                    <pic:cNvPr id="0" name="Picture" descr="D:/Github/Paper_2_SDMs/Results/Figures/hyper_sd_field_est.png"/>
                    <pic:cNvPicPr>
                      <a:picLocks noChangeAspect="1" noChangeArrowheads="1"/>
                    </pic:cNvPicPr>
                  </pic:nvPicPr>
                  <pic:blipFill>
                    <a:blip r:embed="rId63"/>
                    <a:stretch>
                      <a:fillRect/>
                    </a:stretch>
                  </pic:blipFill>
                  <pic:spPr bwMode="auto">
                    <a:xfrm>
                      <a:off x="0" y="0"/>
                      <a:ext cx="5334000" cy="3556000"/>
                    </a:xfrm>
                    <a:prstGeom prst="rect">
                      <a:avLst/>
                    </a:prstGeom>
                    <a:noFill/>
                    <a:ln w="9525">
                      <a:noFill/>
                      <a:headEnd/>
                      <a:tailEnd/>
                    </a:ln>
                  </pic:spPr>
                </pic:pic>
              </a:graphicData>
            </a:graphic>
          </wp:inline>
        </w:drawing>
      </w:r>
    </w:p>
    <w:p w:rsidR="0080583B" w:rsidRDefault="002910EF">
      <w:pPr>
        <w:pStyle w:val="ImageCaption"/>
      </w:pPr>
      <w:r>
        <w:t xml:space="preserve">Figure 9: </w:t>
      </w:r>
      <w:r>
        <w:t>Standard Deviation of the field with 95% credible intervals for each season.</w:t>
      </w:r>
    </w:p>
    <w:p w:rsidR="0080583B" w:rsidRDefault="002910EF">
      <w:r>
        <w:br w:type="page"/>
      </w:r>
    </w:p>
    <w:p w:rsidR="0080583B" w:rsidRDefault="002910EF">
      <w:pPr>
        <w:pStyle w:val="CaptionedFigure"/>
      </w:pPr>
      <w:r>
        <w:rPr>
          <w:noProof/>
        </w:rPr>
        <w:lastRenderedPageBreak/>
        <w:drawing>
          <wp:inline distT="0" distB="0" distL="0" distR="0">
            <wp:extent cx="5334000" cy="3556000"/>
            <wp:effectExtent l="0" t="0" r="0" b="0"/>
            <wp:docPr id="10" name="Picture" descr="Figure 10: Results of 5 fold cross validation analyses. Top panels represents the mean error for each of the three covariate models tested for Atlantic Cod (using Winter data) and Yellowtail Flounder (using Spring data). Blue points represent the prediction error from the testing dataset, while the black points are the residuals from the training dataset. The bottom panels are the Root Mean Squared Error (RMSE) for these models. The dashed line represents the RMSE for randomly generated data and represents the RMSE for a model with no predictive ability. All models use the 5 year random field due to computational constraints."/>
            <wp:cNvGraphicFramePr/>
            <a:graphic xmlns:a="http://schemas.openxmlformats.org/drawingml/2006/main">
              <a:graphicData uri="http://schemas.openxmlformats.org/drawingml/2006/picture">
                <pic:pic xmlns:pic="http://schemas.openxmlformats.org/drawingml/2006/picture">
                  <pic:nvPicPr>
                    <pic:cNvPr id="0" name="Picture" descr="D:/Github/Paper_2_SDMs/Results/Figures/cross_fold_validation.png"/>
                    <pic:cNvPicPr>
                      <a:picLocks noChangeAspect="1" noChangeArrowheads="1"/>
                    </pic:cNvPicPr>
                  </pic:nvPicPr>
                  <pic:blipFill>
                    <a:blip r:embed="rId64"/>
                    <a:stretch>
                      <a:fillRect/>
                    </a:stretch>
                  </pic:blipFill>
                  <pic:spPr bwMode="auto">
                    <a:xfrm>
                      <a:off x="0" y="0"/>
                      <a:ext cx="5334000" cy="3556000"/>
                    </a:xfrm>
                    <a:prstGeom prst="rect">
                      <a:avLst/>
                    </a:prstGeom>
                    <a:noFill/>
                    <a:ln w="9525">
                      <a:noFill/>
                      <a:headEnd/>
                      <a:tailEnd/>
                    </a:ln>
                  </pic:spPr>
                </pic:pic>
              </a:graphicData>
            </a:graphic>
          </wp:inline>
        </w:drawing>
      </w:r>
    </w:p>
    <w:p w:rsidR="0080583B" w:rsidRDefault="002910EF">
      <w:pPr>
        <w:pStyle w:val="ImageCaption"/>
      </w:pPr>
      <w:r>
        <w:t>Figure 10: Results of 5 fold cross validation analyses. Top panels represents the mean error for each of the three covariate models tested for Atlantic Cod (using Winter data) and Yellowtail Flounder (using Spring data). Blue points represent the predictio</w:t>
      </w:r>
      <w:r>
        <w:t xml:space="preserve">n error from the testing dataset, while the black points are the residuals from the training dataset. The bottom panels are the Root Mean Squared Error (RMSE) for these models. The dashed line represents the RMSE for randomly generated data and represents </w:t>
      </w:r>
      <w:r>
        <w:t>the RMSE for a model with no predictive ability. All models use the 5 year random field due to computational constraints.</w:t>
      </w:r>
    </w:p>
    <w:p w:rsidR="0080583B" w:rsidRDefault="002910EF">
      <w:r>
        <w:br w:type="page"/>
      </w:r>
    </w:p>
    <w:p w:rsidR="0080583B" w:rsidRDefault="002910EF">
      <w:pPr>
        <w:pStyle w:val="CaptionedFigure"/>
      </w:pPr>
      <w:r>
        <w:rPr>
          <w:noProof/>
        </w:rPr>
        <w:lastRenderedPageBreak/>
        <w:drawing>
          <wp:inline distT="0" distB="0" distL="0" distR="0">
            <wp:extent cx="5334000" cy="3556000"/>
            <wp:effectExtent l="0" t="0" r="0" b="0"/>
            <wp:docPr id="11" name="Picture" descr="Figure 11: The residual Root Mean Squared Error (RMSE) for the model is shown in black, while the blue lines represent the prediction RMSE for data in years 2017, 2018, and 2019. The models compared were a model with no covariates (intercept + random field) represented with a dashed line and a model which includes the additive SST and Depth covariates along with the random field represented by the solid line. Atlantic Cod results are in the top row and use a 5 year random field. Yellowtail Flounder results are in the bottom row and use a 3 year random field for the Winter and Spring and the 5 year random field for the Fall. The red dot-dash line represents the RMSE for randomly generated data and represents the RMSE for a model with no predictive ability."/>
            <wp:cNvGraphicFramePr/>
            <a:graphic xmlns:a="http://schemas.openxmlformats.org/drawingml/2006/main">
              <a:graphicData uri="http://schemas.openxmlformats.org/drawingml/2006/picture">
                <pic:pic xmlns:pic="http://schemas.openxmlformats.org/drawingml/2006/picture">
                  <pic:nvPicPr>
                    <pic:cNvPr id="0" name="Picture" descr="D:/Github/Paper_2_SDMs/Results/Figures/prediction_2017_2019.png"/>
                    <pic:cNvPicPr>
                      <a:picLocks noChangeAspect="1" noChangeArrowheads="1"/>
                    </pic:cNvPicPr>
                  </pic:nvPicPr>
                  <pic:blipFill>
                    <a:blip r:embed="rId65"/>
                    <a:stretch>
                      <a:fillRect/>
                    </a:stretch>
                  </pic:blipFill>
                  <pic:spPr bwMode="auto">
                    <a:xfrm>
                      <a:off x="0" y="0"/>
                      <a:ext cx="5334000" cy="3556000"/>
                    </a:xfrm>
                    <a:prstGeom prst="rect">
                      <a:avLst/>
                    </a:prstGeom>
                    <a:noFill/>
                    <a:ln w="9525">
                      <a:noFill/>
                      <a:headEnd/>
                      <a:tailEnd/>
                    </a:ln>
                  </pic:spPr>
                </pic:pic>
              </a:graphicData>
            </a:graphic>
          </wp:inline>
        </w:drawing>
      </w:r>
    </w:p>
    <w:p w:rsidR="0080583B" w:rsidRDefault="002910EF">
      <w:pPr>
        <w:pStyle w:val="ImageCaption"/>
      </w:pPr>
      <w:r>
        <w:t>Figure 11: The residual Root Mean Squared Error (RMSE) for the model is shown in black, while the blue lines represent the predict</w:t>
      </w:r>
      <w:r>
        <w:t>ion RMSE for data in years 2017, 2018, and 2019. The models compared were a model with no covariates (intercept + random field) represented with a dashed line and a model which includes the additive SST and Depth covariates along with the random field repr</w:t>
      </w:r>
      <w:r>
        <w:t>esented by the solid line. Atlantic Cod results are in the top row and use a 5 year random field. Yellowtail Flounder results are in the bottom row and use a 3 year random field for the Winter and Spring and the 5 year random field for the Fall. The red do</w:t>
      </w:r>
      <w:r>
        <w:t>t-dash line represents the RMSE for randomly generated data and represents the RMSE for a model with no predictive ability.</w:t>
      </w:r>
    </w:p>
    <w:p w:rsidR="0080583B" w:rsidRDefault="002910EF">
      <w:r>
        <w:br w:type="page"/>
      </w:r>
      <w:bookmarkStart w:id="80" w:name="_GoBack"/>
      <w:bookmarkEnd w:id="79"/>
      <w:bookmarkEnd w:id="80"/>
    </w:p>
    <w:sectPr w:rsidR="0080583B">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910EF" w:rsidRDefault="002910EF">
      <w:pPr>
        <w:spacing w:after="0"/>
      </w:pPr>
      <w:r>
        <w:separator/>
      </w:r>
    </w:p>
  </w:endnote>
  <w:endnote w:type="continuationSeparator" w:id="0">
    <w:p w:rsidR="002910EF" w:rsidRDefault="002910E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910EF" w:rsidRDefault="002910EF">
      <w:r>
        <w:separator/>
      </w:r>
    </w:p>
  </w:footnote>
  <w:footnote w:type="continuationSeparator" w:id="0">
    <w:p w:rsidR="002910EF" w:rsidRDefault="002910E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C1AE401"/>
    <w:multiLevelType w:val="multilevel"/>
    <w:tmpl w:val="07B29272"/>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1"/>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
  <w:rsids>
    <w:rsidRoot w:val="00590D07"/>
    <w:rsid w:val="00011C8B"/>
    <w:rsid w:val="00012F7B"/>
    <w:rsid w:val="002910EF"/>
    <w:rsid w:val="004E29B3"/>
    <w:rsid w:val="00590D07"/>
    <w:rsid w:val="00784D58"/>
    <w:rsid w:val="0080583B"/>
    <w:rsid w:val="008D6863"/>
    <w:rsid w:val="00B86B75"/>
    <w:rsid w:val="00BC48D5"/>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99CA2DC-8DDC-4E2F-AA04-7E6C4DFF75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rxiv.org/abs/1802.06350v2" TargetMode="External"/><Relationship Id="rId18" Type="http://schemas.openxmlformats.org/officeDocument/2006/relationships/hyperlink" Target="https://doi.org/10.1016/j.fishres.2019.105397" TargetMode="External"/><Relationship Id="rId26" Type="http://schemas.openxmlformats.org/officeDocument/2006/relationships/hyperlink" Target="http://waves-vagues.dfo-mpo.gc.ca/Library/342505.pdf" TargetMode="External"/><Relationship Id="rId39" Type="http://schemas.openxmlformats.org/officeDocument/2006/relationships/hyperlink" Target="https://www.ingentaconnect.com/content/umrsmas/bullmar/2000/00000066/00000003/art00020" TargetMode="External"/><Relationship Id="rId21" Type="http://schemas.openxmlformats.org/officeDocument/2006/relationships/hyperlink" Target="https://doi.org/10.1139/cjfas-2014-0159" TargetMode="External"/><Relationship Id="rId34" Type="http://schemas.openxmlformats.org/officeDocument/2006/relationships/hyperlink" Target="https://doi.org/10.18637/jss.v063.i19" TargetMode="External"/><Relationship Id="rId42" Type="http://schemas.openxmlformats.org/officeDocument/2006/relationships/hyperlink" Target="https://doi.org/10.1093/icesjms/fst063" TargetMode="External"/><Relationship Id="rId47" Type="http://schemas.openxmlformats.org/officeDocument/2006/relationships/hyperlink" Target="https://doi.org/10.1111/j.1466-8238.2010.00636.x" TargetMode="External"/><Relationship Id="rId50" Type="http://schemas.openxmlformats.org/officeDocument/2006/relationships/hyperlink" Target="https://doi.org/10.1016/j.fishres.2018.10.013" TargetMode="External"/><Relationship Id="rId55" Type="http://schemas.openxmlformats.org/officeDocument/2006/relationships/image" Target="media/image1.png"/><Relationship Id="rId63" Type="http://schemas.openxmlformats.org/officeDocument/2006/relationships/image" Target="media/image9.png"/><Relationship Id="rId7" Type="http://schemas.openxmlformats.org/officeDocument/2006/relationships/hyperlink" Target="https://github.com/Dave-Keith/Paper_2_SDMs/tree/master/Dashboard" TargetMode="External"/><Relationship Id="rId2" Type="http://schemas.openxmlformats.org/officeDocument/2006/relationships/styles" Target="styles.xml"/><Relationship Id="rId16" Type="http://schemas.openxmlformats.org/officeDocument/2006/relationships/hyperlink" Target="http://www.jstor.org/stable/20037033" TargetMode="External"/><Relationship Id="rId29" Type="http://schemas.openxmlformats.org/officeDocument/2006/relationships/hyperlink" Target="https://doi.org/10.1073/pnas.1217689110"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Dave-Keith/Paper_2_SDMs/tree/master/Dashboard" TargetMode="External"/><Relationship Id="rId24" Type="http://schemas.openxmlformats.org/officeDocument/2006/relationships/hyperlink" Target="https://doi.org/10.1080/01621459.2017.1415907" TargetMode="External"/><Relationship Id="rId32" Type="http://schemas.openxmlformats.org/officeDocument/2006/relationships/hyperlink" Target="https://doi.org/10.18637/jss.v070.i05" TargetMode="External"/><Relationship Id="rId37" Type="http://schemas.openxmlformats.org/officeDocument/2006/relationships/hyperlink" Target="http://pubs.usgs.gov/of/2005/1001/" TargetMode="External"/><Relationship Id="rId40" Type="http://schemas.openxmlformats.org/officeDocument/2006/relationships/hyperlink" Target="https://repository.library.noaa.gov/view/noaa/4184" TargetMode="External"/><Relationship Id="rId45" Type="http://schemas.openxmlformats.org/officeDocument/2006/relationships/hyperlink" Target="https://doi.org/10.1371/journal.pone.0120500" TargetMode="External"/><Relationship Id="rId53" Type="http://schemas.openxmlformats.org/officeDocument/2006/relationships/hyperlink" Target="https://doi.org/10.1093/plankt/19.2.221" TargetMode="External"/><Relationship Id="rId58" Type="http://schemas.openxmlformats.org/officeDocument/2006/relationships/image" Target="media/image4.png"/><Relationship Id="rId66"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doi.org/10.1002/ece3.3495" TargetMode="External"/><Relationship Id="rId23" Type="http://schemas.openxmlformats.org/officeDocument/2006/relationships/hyperlink" Target="https://doi.org/10.1146/annurev.ecolsys.110308.120159" TargetMode="External"/><Relationship Id="rId28" Type="http://schemas.openxmlformats.org/officeDocument/2006/relationships/hyperlink" Target="http://search.proquest.com/docview/2377266062/abstract/B0E1653EF6254974PQ/1" TargetMode="External"/><Relationship Id="rId36" Type="http://schemas.openxmlformats.org/officeDocument/2006/relationships/hyperlink" Target="https://doi.org/10.1111/gcb.14828" TargetMode="External"/><Relationship Id="rId49" Type="http://schemas.openxmlformats.org/officeDocument/2006/relationships/hyperlink" Target="https://doi.org/10.1111/j.1365-2664.2010.01892.x" TargetMode="External"/><Relationship Id="rId57" Type="http://schemas.openxmlformats.org/officeDocument/2006/relationships/image" Target="media/image3.png"/><Relationship Id="rId61" Type="http://schemas.openxmlformats.org/officeDocument/2006/relationships/image" Target="media/image7.png"/><Relationship Id="rId10" Type="http://schemas.openxmlformats.org/officeDocument/2006/relationships/hyperlink" Target="https://github.com/Dave-Keith/Paper_2_SDMs/tree/master/Dashboard" TargetMode="External"/><Relationship Id="rId19" Type="http://schemas.openxmlformats.org/officeDocument/2006/relationships/hyperlink" Target="https://www.cbd.int/sp/targets/" TargetMode="External"/><Relationship Id="rId31" Type="http://schemas.openxmlformats.org/officeDocument/2006/relationships/hyperlink" Target="https://doi.org/10.1371/journal.pone.0240322" TargetMode="External"/><Relationship Id="rId44" Type="http://schemas.openxmlformats.org/officeDocument/2006/relationships/hyperlink" Target="https://www.R-project.org/" TargetMode="External"/><Relationship Id="rId52" Type="http://schemas.openxmlformats.org/officeDocument/2006/relationships/hyperlink" Target="http://www.bio.gc.ca/info/intercol/tmgc-cogst/documents/FMR_2002_01.pdf" TargetMode="External"/><Relationship Id="rId60" Type="http://schemas.openxmlformats.org/officeDocument/2006/relationships/image" Target="media/image6.png"/><Relationship Id="rId65"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s://github.com/Dave-Keith/Paper_2_SDMs/tree/master/Dashboard" TargetMode="External"/><Relationship Id="rId14" Type="http://schemas.openxmlformats.org/officeDocument/2006/relationships/hyperlink" Target="https://doi.org/10.1111/ddi.12144" TargetMode="External"/><Relationship Id="rId22" Type="http://schemas.openxmlformats.org/officeDocument/2006/relationships/hyperlink" Target="https://doi.org/10.1111/ddi.12891" TargetMode="External"/><Relationship Id="rId27" Type="http://schemas.openxmlformats.org/officeDocument/2006/relationships/hyperlink" Target="https://doi.org/10.2307/4070199" TargetMode="External"/><Relationship Id="rId30" Type="http://schemas.openxmlformats.org/officeDocument/2006/relationships/hyperlink" Target="https://doi.org/10.1002/2017JC012953" TargetMode="External"/><Relationship Id="rId35" Type="http://schemas.openxmlformats.org/officeDocument/2006/relationships/hyperlink" Target="https://doi.org/10.1007/s00477-018-1548-7" TargetMode="External"/><Relationship Id="rId43" Type="http://schemas.openxmlformats.org/officeDocument/2006/relationships/hyperlink" Target="https://doi.org/10.1126/science.aac9819" TargetMode="External"/><Relationship Id="rId48" Type="http://schemas.openxmlformats.org/officeDocument/2006/relationships/hyperlink" Target="https://arxiv.org/abs/1604.00860v2" TargetMode="External"/><Relationship Id="rId56" Type="http://schemas.openxmlformats.org/officeDocument/2006/relationships/image" Target="media/image2.png"/><Relationship Id="rId64" Type="http://schemas.openxmlformats.org/officeDocument/2006/relationships/image" Target="media/image10.png"/><Relationship Id="rId8" Type="http://schemas.openxmlformats.org/officeDocument/2006/relationships/hyperlink" Target="https://github.com/Dave-Keith/Paper_2_SDMs/tree/master/Dashboard" TargetMode="External"/><Relationship Id="rId51" Type="http://schemas.openxmlformats.org/officeDocument/2006/relationships/hyperlink" Target="https://doi.org/10.1111/geb.12464" TargetMode="External"/><Relationship Id="rId3" Type="http://schemas.openxmlformats.org/officeDocument/2006/relationships/settings" Target="settings.xml"/><Relationship Id="rId12" Type="http://schemas.openxmlformats.org/officeDocument/2006/relationships/hyperlink" Target="https://doi.org/10.1371/journal.pone.0231595" TargetMode="External"/><Relationship Id="rId17" Type="http://schemas.openxmlformats.org/officeDocument/2006/relationships/hyperlink" Target="https://doi.org/10.1016/j.pocean.2009.04.010" TargetMode="External"/><Relationship Id="rId25" Type="http://schemas.openxmlformats.org/officeDocument/2006/relationships/hyperlink" Target="https://doi.org/10.3389/fmars.2019.00579" TargetMode="External"/><Relationship Id="rId33" Type="http://schemas.openxmlformats.org/officeDocument/2006/relationships/hyperlink" Target="https://doi.org/10.1016/j.ecolmodel.2016.06.008" TargetMode="External"/><Relationship Id="rId38" Type="http://schemas.openxmlformats.org/officeDocument/2006/relationships/hyperlink" Target="https://doi.org/10.1086/660295" TargetMode="External"/><Relationship Id="rId46" Type="http://schemas.openxmlformats.org/officeDocument/2006/relationships/hyperlink" Target="https://doi.org/10.2307/1438245" TargetMode="External"/><Relationship Id="rId59" Type="http://schemas.openxmlformats.org/officeDocument/2006/relationships/image" Target="media/image5.png"/><Relationship Id="rId67" Type="http://schemas.openxmlformats.org/officeDocument/2006/relationships/theme" Target="theme/theme1.xml"/><Relationship Id="rId20" Type="http://schemas.openxmlformats.org/officeDocument/2006/relationships/hyperlink" Target="https://doi.org/10.3354/meps07414" TargetMode="External"/><Relationship Id="rId41" Type="http://schemas.openxmlformats.org/officeDocument/2006/relationships/hyperlink" Target="https://www.fisheries.noaa.gov/species/yellowtail-flounder" TargetMode="External"/><Relationship Id="rId54" Type="http://schemas.openxmlformats.org/officeDocument/2006/relationships/hyperlink" Target="https://doi.org/10.1111/j.2041-210X.2009.00001.x" TargetMode="External"/><Relationship Id="rId62"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31</Pages>
  <Words>10127</Words>
  <Characters>57729</Characters>
  <Application>Microsoft Office Word</Application>
  <DocSecurity>0</DocSecurity>
  <Lines>481</Lines>
  <Paragraphs>135</Paragraphs>
  <ScaleCrop>false</ScaleCrop>
  <Company>DFO-MPO</Company>
  <LinksUpToDate>false</LinksUpToDate>
  <CharactersWithSpaces>67721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Quantifying shifts in the distributions of Atlantic Cod and Yellowtail Flounder on Georges Bank</dc:title>
  <dc:creator/>
  <cp:keywords/>
  <cp:lastModifiedBy>Keith, David</cp:lastModifiedBy>
  <cp:revision>2</cp:revision>
  <dcterms:created xsi:type="dcterms:W3CDTF">2021-05-19T14:57:00Z</dcterms:created>
  <dcterms:modified xsi:type="dcterms:W3CDTF">2021-05-19T15:00:00Z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A major challenge for fisheries stock assessment and management has been understanding how spatial and temporal heterogeneity impacts the population dynamics of a stock. Although fisheries data are often inherently spatial and temporal in nature; the full</vt:lpwstr>
  </property>
  <property fmtid="{D5CDD505-2E9C-101B-9397-08002B2CF9AE}" pid="3" name="address">
    <vt:lpwstr>1Bedford Institute of Oceanography Fisheries and Oceans Canada, 1 Challenger Dr. Dartmouth Nova Scotia, B2Y 4A2, Canada 2St. Andrews Biological Station Fisheries and Oceans Canada, 125 Marine Science Dr. St. Andrews New Brunswick, E5B 0E4, Canada </vt:lpwstr>
  </property>
  <property fmtid="{D5CDD505-2E9C-101B-9397-08002B2CF9AE}" pid="4" name="author_list">
    <vt:lpwstr>Keith, D.M., Sameoto, J.A., Keyser, F.M., Andrushchenko, I.</vt:lpwstr>
  </property>
  <property fmtid="{D5CDD505-2E9C-101B-9397-08002B2CF9AE}" pid="5" name="bibliography">
    <vt:lpwstr>Y:/Zotero/MAR_SABHU.bib</vt:lpwstr>
  </property>
  <property fmtid="{D5CDD505-2E9C-101B-9397-08002B2CF9AE}" pid="6" name="bookdown">
    <vt:lpwstr/>
  </property>
  <property fmtid="{D5CDD505-2E9C-101B-9397-08002B2CF9AE}" pid="7" name="csl">
    <vt:lpwstr>Y:/Zotero/styles/canadian-journal-of-fisheries-and-aquatic-sciences.csl</vt:lpwstr>
  </property>
  <property fmtid="{D5CDD505-2E9C-101B-9397-08002B2CF9AE}" pid="8" name="header">
    <vt:lpwstr>Draft working paper — Do not cite or circulate</vt:lpwstr>
  </property>
  <property fmtid="{D5CDD505-2E9C-101B-9397-08002B2CF9AE}" pid="9" name="header-includes">
    <vt:lpwstr/>
  </property>
  <property fmtid="{D5CDD505-2E9C-101B-9397-08002B2CF9AE}" pid="10" name="knit">
    <vt:lpwstr>bookdown::render_book</vt:lpwstr>
  </property>
  <property fmtid="{D5CDD505-2E9C-101B-9397-08002B2CF9AE}" pid="11" name="link-citations">
    <vt:lpwstr>True</vt:lpwstr>
  </property>
  <property fmtid="{D5CDD505-2E9C-101B-9397-08002B2CF9AE}" pid="12" name="month">
    <vt:lpwstr>November</vt:lpwstr>
  </property>
  <property fmtid="{D5CDD505-2E9C-101B-9397-08002B2CF9AE}" pid="13" name="output">
    <vt:lpwstr/>
  </property>
  <property fmtid="{D5CDD505-2E9C-101B-9397-08002B2CF9AE}" pid="14" name="region">
    <vt:lpwstr>Maritimes Region</vt:lpwstr>
  </property>
  <property fmtid="{D5CDD505-2E9C-101B-9397-08002B2CF9AE}" pid="15" name="report_number">
    <vt:lpwstr>nnn</vt:lpwstr>
  </property>
  <property fmtid="{D5CDD505-2E9C-101B-9397-08002B2CF9AE}" pid="16" name="year">
    <vt:lpwstr>2020</vt:lpwstr>
  </property>
  <property fmtid="{D5CDD505-2E9C-101B-9397-08002B2CF9AE}" pid="17" name="MSIP_Label_1bfb733f-faef-464c-9b6d-731b56f94973_Enabled">
    <vt:lpwstr>true</vt:lpwstr>
  </property>
  <property fmtid="{D5CDD505-2E9C-101B-9397-08002B2CF9AE}" pid="18" name="MSIP_Label_1bfb733f-faef-464c-9b6d-731b56f94973_SetDate">
    <vt:lpwstr>2021-05-19T15:00:57Z</vt:lpwstr>
  </property>
  <property fmtid="{D5CDD505-2E9C-101B-9397-08002B2CF9AE}" pid="19" name="MSIP_Label_1bfb733f-faef-464c-9b6d-731b56f94973_Method">
    <vt:lpwstr>Standard</vt:lpwstr>
  </property>
  <property fmtid="{D5CDD505-2E9C-101B-9397-08002B2CF9AE}" pid="20" name="MSIP_Label_1bfb733f-faef-464c-9b6d-731b56f94973_Name">
    <vt:lpwstr>Unclass - Non-Classifié</vt:lpwstr>
  </property>
  <property fmtid="{D5CDD505-2E9C-101B-9397-08002B2CF9AE}" pid="21" name="MSIP_Label_1bfb733f-faef-464c-9b6d-731b56f94973_SiteId">
    <vt:lpwstr>1594fdae-a1d9-4405-915d-011467234338</vt:lpwstr>
  </property>
  <property fmtid="{D5CDD505-2E9C-101B-9397-08002B2CF9AE}" pid="22" name="MSIP_Label_1bfb733f-faef-464c-9b6d-731b56f94973_ActionId">
    <vt:lpwstr>0ccb99d5-7e5b-4f19-9e9d-00000e436f94</vt:lpwstr>
  </property>
</Properties>
</file>