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Calibri" w:cs="Calibri" w:eastAsia="Calibri" w:hAnsi="Calibri"/>
          <w:b/>
          <w:bCs/>
          <w:color w:val="1F3864"/>
          <w:sz w:val="34"/>
          <w:szCs w:val="34"/>
        </w:rPr>
        <w:t xml:space="preserve">Plant Maintenance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2808"/>
        <w:gridCol w:w="2808"/>
      </w:tblGrid>
      <w:tr>
        <w:trPr>
          <w:tblHeader/>
        </w:trPr>
        <w:tc>
          <w:tcPr>
            <w:tcW w:type="dxa" w:w="2340"/>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Document ID</w:t>
            </w:r>
          </w:p>
        </w:tc>
        <w:tc>
          <w:tcPr>
            <w:tcW w:type="dxa" w:w="1404"/>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Revision</w:t>
            </w:r>
          </w:p>
        </w:tc>
        <w:tc>
          <w:tcPr>
            <w:tcW w:type="dxa" w:w="2808"/>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Owner</w:t>
            </w:r>
          </w:p>
        </w:tc>
        <w:tc>
          <w:tcPr>
            <w:tcW w:type="dxa" w:w="2808"/>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Issue Date</w:t>
            </w:r>
          </w:p>
        </w:tc>
      </w:tr>
      <w:tr>
        <w:tc>
          <w:tcPr>
            <w:tcW w:type="dxa" w:w="2340"/>
            <w:tcMar>
              <w:top w:type="dxa" w:w="70"/>
              <w:left w:type="dxa" w:w="110"/>
              <w:bottom w:type="dxa" w:w="70"/>
              <w:right w:type="dxa" w:w="110"/>
            </w:tcMar>
          </w:tcPr>
          <w:p>
            <w:r>
              <w:rPr>
                <w:rFonts w:ascii="Calibri" w:cs="Calibri" w:eastAsia="Calibri" w:hAnsi="Calibri"/>
                <w:b w:val="false"/>
                <w:bCs w:val="false"/>
                <w:color w:val="000000"/>
                <w:sz w:val="19"/>
                <w:szCs w:val="19"/>
              </w:rPr>
              <w:t xml:space="preserve">NVM-ENG-PR-014</w:t>
            </w:r>
          </w:p>
        </w:tc>
        <w:tc>
          <w:tcPr>
            <w:tcW w:type="dxa" w:w="1404"/>
            <w:tcMar>
              <w:top w:type="dxa" w:w="70"/>
              <w:left w:type="dxa" w:w="110"/>
              <w:bottom w:type="dxa" w:w="70"/>
              <w:right w:type="dxa" w:w="110"/>
            </w:tcMar>
          </w:tcPr>
          <w:p>
            <w:r>
              <w:rPr>
                <w:rFonts w:ascii="Calibri" w:cs="Calibri" w:eastAsia="Calibri" w:hAnsi="Calibri"/>
                <w:b w:val="false"/>
                <w:bCs w:val="false"/>
                <w:color w:val="000000"/>
                <w:sz w:val="19"/>
                <w:szCs w:val="19"/>
              </w:rPr>
              <w:t xml:space="preserve">3.1</w:t>
            </w:r>
          </w:p>
        </w:tc>
        <w:tc>
          <w:tcPr>
            <w:tcW w:type="dxa" w:w="2808"/>
            <w:tcMar>
              <w:top w:type="dxa" w:w="70"/>
              <w:left w:type="dxa" w:w="110"/>
              <w:bottom w:type="dxa" w:w="70"/>
              <w:right w:type="dxa" w:w="110"/>
            </w:tcMar>
          </w:tcPr>
          <w:p>
            <w:r>
              <w:rPr>
                <w:rFonts w:ascii="Calibri" w:cs="Calibri" w:eastAsia="Calibri" w:hAnsi="Calibri"/>
                <w:b w:val="false"/>
                <w:bCs w:val="false"/>
                <w:color w:val="000000"/>
                <w:sz w:val="19"/>
                <w:szCs w:val="19"/>
              </w:rPr>
              <w:t xml:space="preserve">Ruth Calvert, Maintenance Coordinator</w:t>
            </w:r>
          </w:p>
        </w:tc>
        <w:tc>
          <w:tcPr>
            <w:tcW w:type="dxa" w:w="2808"/>
            <w:tcMar>
              <w:top w:type="dxa" w:w="70"/>
              <w:left w:type="dxa" w:w="110"/>
              <w:bottom w:type="dxa" w:w="70"/>
              <w:right w:type="dxa" w:w="110"/>
            </w:tcMar>
          </w:tcPr>
          <w:p>
            <w:r>
              <w:rPr>
                <w:rFonts w:ascii="Calibri" w:cs="Calibri" w:eastAsia="Calibri" w:hAnsi="Calibri"/>
                <w:b w:val="false"/>
                <w:bCs w:val="false"/>
                <w:color w:val="000000"/>
                <w:sz w:val="19"/>
                <w:szCs w:val="19"/>
              </w:rPr>
              <w:t xml:space="preserve">12 March 2026</w:t>
            </w:r>
          </w:p>
        </w:tc>
      </w:tr>
    </w:tbl>
    <w:p>
      <w:pPr>
        <w:pStyle w:val="Heading2"/>
        <w:spacing w:after="100" w:before="220"/>
      </w:pPr>
      <w:r>
        <w:rPr>
          <w:rFonts w:ascii="Calibri" w:cs="Calibri" w:eastAsia="Calibri" w:hAnsi="Calibri"/>
          <w:b/>
          <w:bCs/>
          <w:color w:val="1F3864"/>
          <w:sz w:val="26"/>
          <w:szCs w:val="26"/>
        </w:rPr>
        <w:t xml:space="preserve">1. Purpose</w:t>
      </w:r>
    </w:p>
    <w:p>
      <w:pPr>
        <w:spacing w:after="120"/>
      </w:pPr>
      <w:r>
        <w:rPr>
          <w:rFonts w:ascii="Calibri" w:cs="Calibri" w:eastAsia="Calibri" w:hAnsi="Calibri"/>
          <w:sz w:val="21"/>
          <w:szCs w:val="21"/>
        </w:rPr>
        <w:t xml:space="preserve">This procedure defines how maintenance requests are raised, triaged, assigned and closed for plant equipment across all Nottsvale Materials sites. It applies to planned preventive maintenance and to reactive requests arising from breakdown or inspection.</w:t>
      </w:r>
    </w:p>
    <w:p>
      <w:pPr>
        <w:pStyle w:val="Heading2"/>
        <w:spacing w:after="100" w:before="220"/>
      </w:pPr>
      <w:r>
        <w:rPr>
          <w:rFonts w:ascii="Calibri" w:cs="Calibri" w:eastAsia="Calibri" w:hAnsi="Calibri"/>
          <w:b/>
          <w:bCs/>
          <w:color w:val="1F3864"/>
          <w:sz w:val="26"/>
          <w:szCs w:val="26"/>
        </w:rPr>
        <w:t xml:space="preserve">2. Scope</w:t>
      </w:r>
    </w:p>
    <w:p>
      <w:pPr>
        <w:spacing w:after="120"/>
      </w:pPr>
      <w:r>
        <w:rPr>
          <w:rFonts w:ascii="Calibri" w:cs="Calibri" w:eastAsia="Calibri" w:hAnsi="Calibri"/>
          <w:sz w:val="21"/>
          <w:szCs w:val="21"/>
        </w:rPr>
        <w:t xml:space="preserve">Applies to all production and ancillary equipment at Warrington Works, Wakefield Plant and Wigan Site. Contractor-performed work is included; contractors must hold a valid site induction before attending.</w:t>
      </w:r>
    </w:p>
    <w:p>
      <w:pPr>
        <w:pStyle w:val="Heading2"/>
        <w:spacing w:after="100" w:before="220"/>
      </w:pPr>
      <w:r>
        <w:rPr>
          <w:rFonts w:ascii="Calibri" w:cs="Calibri" w:eastAsia="Calibri" w:hAnsi="Calibri"/>
          <w:b/>
          <w:bCs/>
          <w:color w:val="1F3864"/>
          <w:sz w:val="26"/>
          <w:szCs w:val="26"/>
        </w:rPr>
        <w:t xml:space="preserve">3.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Role</w:t>
            </w:r>
          </w:p>
        </w:tc>
        <w:tc>
          <w:tcPr>
            <w:tcW w:type="dxa" w:w="6365"/>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Responsibility</w:t>
            </w:r>
          </w:p>
        </w:tc>
      </w:tr>
      <w:tr>
        <w:tc>
          <w:tcPr>
            <w:tcW w:type="dxa" w:w="2995"/>
            <w:tcMar>
              <w:top w:type="dxa" w:w="70"/>
              <w:left w:type="dxa" w:w="110"/>
              <w:bottom w:type="dxa" w:w="70"/>
              <w:right w:type="dxa" w:w="110"/>
            </w:tcMar>
          </w:tcPr>
          <w:p>
            <w:r>
              <w:rPr>
                <w:rFonts w:ascii="Calibri" w:cs="Calibri" w:eastAsia="Calibri" w:hAnsi="Calibri"/>
                <w:b w:val="false"/>
                <w:bCs w:val="false"/>
                <w:color w:val="000000"/>
                <w:sz w:val="19"/>
                <w:szCs w:val="19"/>
              </w:rPr>
              <w:t xml:space="preserve">Shift Supervisor</w:t>
            </w:r>
          </w:p>
        </w:tc>
        <w:tc>
          <w:tcPr>
            <w:tcW w:type="dxa" w:w="6365"/>
            <w:tcMar>
              <w:top w:type="dxa" w:w="70"/>
              <w:left w:type="dxa" w:w="110"/>
              <w:bottom w:type="dxa" w:w="70"/>
              <w:right w:type="dxa" w:w="110"/>
            </w:tcMar>
          </w:tcPr>
          <w:p>
            <w:r>
              <w:rPr>
                <w:rFonts w:ascii="Calibri" w:cs="Calibri" w:eastAsia="Calibri" w:hAnsi="Calibri"/>
                <w:b w:val="false"/>
                <w:bCs w:val="false"/>
                <w:color w:val="000000"/>
                <w:sz w:val="19"/>
                <w:szCs w:val="19"/>
              </w:rPr>
              <w:t xml:space="preserve">Raises maintenance requests and confirms equipment isolation before work begins.</w:t>
            </w:r>
          </w:p>
        </w:tc>
      </w:tr>
      <w:tr>
        <w:tc>
          <w:tcPr>
            <w:tcW w:type="dxa" w:w="2995"/>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Maintenance Coordinator</w:t>
            </w:r>
          </w:p>
        </w:tc>
        <w:tc>
          <w:tcPr>
            <w:tcW w:type="dxa" w:w="6365"/>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Triages incoming requests, assigns priority and allocates an engineer.</w:t>
            </w:r>
          </w:p>
        </w:tc>
      </w:tr>
      <w:tr>
        <w:tc>
          <w:tcPr>
            <w:tcW w:type="dxa" w:w="2995"/>
            <w:tcMar>
              <w:top w:type="dxa" w:w="70"/>
              <w:left w:type="dxa" w:w="110"/>
              <w:bottom w:type="dxa" w:w="70"/>
              <w:right w:type="dxa" w:w="110"/>
            </w:tcMar>
          </w:tcPr>
          <w:p>
            <w:r>
              <w:rPr>
                <w:rFonts w:ascii="Calibri" w:cs="Calibri" w:eastAsia="Calibri" w:hAnsi="Calibri"/>
                <w:b w:val="false"/>
                <w:bCs w:val="false"/>
                <w:color w:val="000000"/>
                <w:sz w:val="19"/>
                <w:szCs w:val="19"/>
              </w:rPr>
              <w:t xml:space="preserve">Plant Engineer</w:t>
            </w:r>
          </w:p>
        </w:tc>
        <w:tc>
          <w:tcPr>
            <w:tcW w:type="dxa" w:w="6365"/>
            <w:tcMar>
              <w:top w:type="dxa" w:w="70"/>
              <w:left w:type="dxa" w:w="110"/>
              <w:bottom w:type="dxa" w:w="70"/>
              <w:right w:type="dxa" w:w="110"/>
            </w:tcMar>
          </w:tcPr>
          <w:p>
            <w:r>
              <w:rPr>
                <w:rFonts w:ascii="Calibri" w:cs="Calibri" w:eastAsia="Calibri" w:hAnsi="Calibri"/>
                <w:b w:val="false"/>
                <w:bCs w:val="false"/>
                <w:color w:val="000000"/>
                <w:sz w:val="19"/>
                <w:szCs w:val="19"/>
              </w:rPr>
              <w:t xml:space="preserve">Carries out the work, records parts used and downtime hours, closes the request.</w:t>
            </w:r>
          </w:p>
        </w:tc>
      </w:tr>
      <w:tr>
        <w:tc>
          <w:tcPr>
            <w:tcW w:type="dxa" w:w="2995"/>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Operations Manager</w:t>
            </w:r>
          </w:p>
        </w:tc>
        <w:tc>
          <w:tcPr>
            <w:tcW w:type="dxa" w:w="6365"/>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Reviews downtime reporting monthly and approves capital replacement.</w:t>
            </w:r>
          </w:p>
        </w:tc>
      </w:tr>
      <w:tr>
        <w:tc>
          <w:tcPr>
            <w:tcW w:type="dxa" w:w="2995"/>
            <w:tcMar>
              <w:top w:type="dxa" w:w="70"/>
              <w:left w:type="dxa" w:w="110"/>
              <w:bottom w:type="dxa" w:w="70"/>
              <w:right w:type="dxa" w:w="110"/>
            </w:tcMar>
          </w:tcPr>
          <w:p>
            <w:r>
              <w:rPr>
                <w:rFonts w:ascii="Calibri" w:cs="Calibri" w:eastAsia="Calibri" w:hAnsi="Calibri"/>
                <w:b w:val="false"/>
                <w:bCs w:val="false"/>
                <w:color w:val="000000"/>
                <w:sz w:val="19"/>
                <w:szCs w:val="19"/>
              </w:rPr>
              <w:t xml:space="preserve">Compliance Officer</w:t>
            </w:r>
          </w:p>
        </w:tc>
        <w:tc>
          <w:tcPr>
            <w:tcW w:type="dxa" w:w="6365"/>
            <w:tcMar>
              <w:top w:type="dxa" w:w="70"/>
              <w:left w:type="dxa" w:w="110"/>
              <w:bottom w:type="dxa" w:w="70"/>
              <w:right w:type="dxa" w:w="110"/>
            </w:tcMar>
          </w:tcPr>
          <w:p>
            <w:r>
              <w:rPr>
                <w:rFonts w:ascii="Calibri" w:cs="Calibri" w:eastAsia="Calibri" w:hAnsi="Calibri"/>
                <w:b w:val="false"/>
                <w:bCs w:val="false"/>
                <w:color w:val="000000"/>
                <w:sz w:val="19"/>
                <w:szCs w:val="19"/>
              </w:rPr>
              <w:t xml:space="preserve">Maintains records in line with the retention schedule in Section 7.</w:t>
            </w:r>
          </w:p>
        </w:tc>
      </w:tr>
    </w:tbl>
    <w:p>
      <w:pPr>
        <w:pStyle w:val="Heading2"/>
        <w:spacing w:after="100" w:before="220"/>
      </w:pPr>
      <w:r>
        <w:rPr>
          <w:rFonts w:ascii="Calibri" w:cs="Calibri" w:eastAsia="Calibri" w:hAnsi="Calibri"/>
          <w:b/>
          <w:bCs/>
          <w:color w:val="1F3864"/>
          <w:sz w:val="26"/>
          <w:szCs w:val="26"/>
        </w:rPr>
        <w:t xml:space="preserve">4. Priority Classification</w:t>
      </w:r>
    </w:p>
    <w:p>
      <w:pPr>
        <w:spacing w:after="120"/>
      </w:pPr>
      <w:r>
        <w:rPr>
          <w:rFonts w:ascii="Calibri" w:cs="Calibri" w:eastAsia="Calibri" w:hAnsi="Calibri"/>
          <w:sz w:val="21"/>
          <w:szCs w:val="21"/>
        </w:rPr>
        <w:t xml:space="preserve">Requests are classified on submission. The classification drives target response times and cannot be downgraded without Maintenance Coordinator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867"/>
        <w:gridCol w:w="2808"/>
      </w:tblGrid>
      <w:tr>
        <w:trPr>
          <w:tblHeader/>
        </w:trPr>
        <w:tc>
          <w:tcPr>
            <w:tcW w:type="dxa" w:w="1685"/>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Priority</w:t>
            </w:r>
          </w:p>
        </w:tc>
        <w:tc>
          <w:tcPr>
            <w:tcW w:type="dxa" w:w="4867"/>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Definition</w:t>
            </w:r>
          </w:p>
        </w:tc>
        <w:tc>
          <w:tcPr>
            <w:tcW w:type="dxa" w:w="2808"/>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Response</w:t>
            </w:r>
          </w:p>
        </w:tc>
      </w:tr>
      <w:tr>
        <w:tc>
          <w:tcPr>
            <w:tcW w:type="dxa" w:w="1685"/>
            <w:tcMar>
              <w:top w:type="dxa" w:w="70"/>
              <w:left w:type="dxa" w:w="110"/>
              <w:bottom w:type="dxa" w:w="70"/>
              <w:right w:type="dxa" w:w="110"/>
            </w:tcMar>
          </w:tcPr>
          <w:p>
            <w:r>
              <w:rPr>
                <w:rFonts w:ascii="Calibri" w:cs="Calibri" w:eastAsia="Calibri" w:hAnsi="Calibri"/>
                <w:b w:val="false"/>
                <w:bCs w:val="false"/>
                <w:color w:val="000000"/>
                <w:sz w:val="19"/>
                <w:szCs w:val="19"/>
              </w:rPr>
              <w:t xml:space="preserve">Critical</w:t>
            </w:r>
          </w:p>
        </w:tc>
        <w:tc>
          <w:tcPr>
            <w:tcW w:type="dxa" w:w="4867"/>
            <w:tcMar>
              <w:top w:type="dxa" w:w="70"/>
              <w:left w:type="dxa" w:w="110"/>
              <w:bottom w:type="dxa" w:w="70"/>
              <w:right w:type="dxa" w:w="110"/>
            </w:tcMar>
          </w:tcPr>
          <w:p>
            <w:r>
              <w:rPr>
                <w:rFonts w:ascii="Calibri" w:cs="Calibri" w:eastAsia="Calibri" w:hAnsi="Calibri"/>
                <w:b w:val="false"/>
                <w:bCs w:val="false"/>
                <w:color w:val="000000"/>
                <w:sz w:val="19"/>
                <w:szCs w:val="19"/>
              </w:rPr>
              <w:t xml:space="preserve">Line stopped or immediate safety risk present.</w:t>
            </w:r>
          </w:p>
        </w:tc>
        <w:tc>
          <w:tcPr>
            <w:tcW w:type="dxa" w:w="2808"/>
            <w:tcMar>
              <w:top w:type="dxa" w:w="70"/>
              <w:left w:type="dxa" w:w="110"/>
              <w:bottom w:type="dxa" w:w="70"/>
              <w:right w:type="dxa" w:w="110"/>
            </w:tcMar>
          </w:tcPr>
          <w:p>
            <w:r>
              <w:rPr>
                <w:rFonts w:ascii="Calibri" w:cs="Calibri" w:eastAsia="Calibri" w:hAnsi="Calibri"/>
                <w:b w:val="false"/>
                <w:bCs w:val="false"/>
                <w:color w:val="000000"/>
                <w:sz w:val="19"/>
                <w:szCs w:val="19"/>
              </w:rPr>
              <w:t xml:space="preserve">Within 1 hour</w:t>
            </w:r>
          </w:p>
        </w:tc>
      </w:tr>
      <w:tr>
        <w:tc>
          <w:tcPr>
            <w:tcW w:type="dxa" w:w="1685"/>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High</w:t>
            </w:r>
          </w:p>
        </w:tc>
        <w:tc>
          <w:tcPr>
            <w:tcW w:type="dxa" w:w="4867"/>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Production affected; workaround in place.</w:t>
            </w:r>
          </w:p>
        </w:tc>
        <w:tc>
          <w:tcPr>
            <w:tcW w:type="dxa" w:w="2808"/>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Within 4 hours</w:t>
            </w:r>
          </w:p>
        </w:tc>
      </w:tr>
      <w:tr>
        <w:tc>
          <w:tcPr>
            <w:tcW w:type="dxa" w:w="1685"/>
            <w:tcMar>
              <w:top w:type="dxa" w:w="70"/>
              <w:left w:type="dxa" w:w="110"/>
              <w:bottom w:type="dxa" w:w="70"/>
              <w:right w:type="dxa" w:w="110"/>
            </w:tcMar>
          </w:tcPr>
          <w:p>
            <w:r>
              <w:rPr>
                <w:rFonts w:ascii="Calibri" w:cs="Calibri" w:eastAsia="Calibri" w:hAnsi="Calibri"/>
                <w:b w:val="false"/>
                <w:bCs w:val="false"/>
                <w:color w:val="000000"/>
                <w:sz w:val="19"/>
                <w:szCs w:val="19"/>
              </w:rPr>
              <w:t xml:space="preserve">Medium</w:t>
            </w:r>
          </w:p>
        </w:tc>
        <w:tc>
          <w:tcPr>
            <w:tcW w:type="dxa" w:w="4867"/>
            <w:tcMar>
              <w:top w:type="dxa" w:w="70"/>
              <w:left w:type="dxa" w:w="110"/>
              <w:bottom w:type="dxa" w:w="70"/>
              <w:right w:type="dxa" w:w="110"/>
            </w:tcMar>
          </w:tcPr>
          <w:p>
            <w:r>
              <w:rPr>
                <w:rFonts w:ascii="Calibri" w:cs="Calibri" w:eastAsia="Calibri" w:hAnsi="Calibri"/>
                <w:b w:val="false"/>
                <w:bCs w:val="false"/>
                <w:color w:val="000000"/>
                <w:sz w:val="19"/>
                <w:szCs w:val="19"/>
              </w:rPr>
              <w:t xml:space="preserve">Degraded performance, production continuing.</w:t>
            </w:r>
          </w:p>
        </w:tc>
        <w:tc>
          <w:tcPr>
            <w:tcW w:type="dxa" w:w="2808"/>
            <w:tcMar>
              <w:top w:type="dxa" w:w="70"/>
              <w:left w:type="dxa" w:w="110"/>
              <w:bottom w:type="dxa" w:w="70"/>
              <w:right w:type="dxa" w:w="110"/>
            </w:tcMar>
          </w:tcPr>
          <w:p>
            <w:r>
              <w:rPr>
                <w:rFonts w:ascii="Calibri" w:cs="Calibri" w:eastAsia="Calibri" w:hAnsi="Calibri"/>
                <w:b w:val="false"/>
                <w:bCs w:val="false"/>
                <w:color w:val="000000"/>
                <w:sz w:val="19"/>
                <w:szCs w:val="19"/>
              </w:rPr>
              <w:t xml:space="preserve">Within 2 working days</w:t>
            </w:r>
          </w:p>
        </w:tc>
      </w:tr>
      <w:tr>
        <w:tc>
          <w:tcPr>
            <w:tcW w:type="dxa" w:w="1685"/>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Low</w:t>
            </w:r>
          </w:p>
        </w:tc>
        <w:tc>
          <w:tcPr>
            <w:tcW w:type="dxa" w:w="4867"/>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Cosmetic or non-urgent; schedule at next opportunity.</w:t>
            </w:r>
          </w:p>
        </w:tc>
        <w:tc>
          <w:tcPr>
            <w:tcW w:type="dxa" w:w="2808"/>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Next planned shutdown</w:t>
            </w:r>
          </w:p>
        </w:tc>
      </w:tr>
    </w:tbl>
    <w:p>
      <w:pPr>
        <w:pStyle w:val="Heading2"/>
        <w:spacing w:after="100" w:before="220"/>
      </w:pPr>
      <w:r>
        <w:rPr>
          <w:rFonts w:ascii="Calibri" w:cs="Calibri" w:eastAsia="Calibri" w:hAnsi="Calibri"/>
          <w:b/>
          <w:bCs/>
          <w:color w:val="1F3864"/>
          <w:sz w:val="26"/>
          <w:szCs w:val="26"/>
        </w:rPr>
        <w:t xml:space="preserve">5. Procedure</w:t>
      </w:r>
    </w:p>
    <w:p>
      <w:pPr>
        <w:pStyle w:val="ListParagraph"/>
        <w:numPr>
          <w:ilvl w:val="0"/>
          <w:numId w:val="2"/>
        </w:numPr>
        <w:spacing w:after="80"/>
      </w:pPr>
      <w:r>
        <w:t xml:space="preserve">The Shift Supervisor raises a request recording asset tag, site, description and observed symptoms.</w:t>
      </w:r>
    </w:p>
    <w:p>
      <w:pPr>
        <w:pStyle w:val="ListParagraph"/>
        <w:numPr>
          <w:ilvl w:val="0"/>
          <w:numId w:val="2"/>
        </w:numPr>
        <w:spacing w:after="80"/>
      </w:pPr>
      <w:r>
        <w:t xml:space="preserve">The Maintenance Coordinator triages within the response window and assigns priority and an engineer.</w:t>
      </w:r>
    </w:p>
    <w:p>
      <w:pPr>
        <w:pStyle w:val="ListParagraph"/>
        <w:numPr>
          <w:ilvl w:val="0"/>
          <w:numId w:val="2"/>
        </w:numPr>
        <w:spacing w:after="80"/>
      </w:pPr>
      <w:r>
        <w:t xml:space="preserve">The assigned engineer confirms isolation with the Shift Supervisor before commencing work.</w:t>
      </w:r>
    </w:p>
    <w:p>
      <w:pPr>
        <w:pStyle w:val="ListParagraph"/>
        <w:numPr>
          <w:ilvl w:val="0"/>
          <w:numId w:val="2"/>
        </w:numPr>
        <w:spacing w:after="80"/>
      </w:pPr>
      <w:r>
        <w:t xml:space="preserve">On completion the engineer records downtime hours, parts consumed and the corrective action taken.</w:t>
      </w:r>
    </w:p>
    <w:p>
      <w:pPr>
        <w:pStyle w:val="ListParagraph"/>
        <w:numPr>
          <w:ilvl w:val="0"/>
          <w:numId w:val="2"/>
        </w:numPr>
        <w:spacing w:after="80"/>
      </w:pPr>
      <w:r>
        <w:t xml:space="preserve">Requests classified Critical require a short root cause note before closure.</w:t>
      </w:r>
    </w:p>
    <w:p>
      <w:pPr>
        <w:pStyle w:val="Heading2"/>
        <w:spacing w:after="100" w:before="220"/>
      </w:pPr>
      <w:r>
        <w:rPr>
          <w:rFonts w:ascii="Calibri" w:cs="Calibri" w:eastAsia="Calibri" w:hAnsi="Calibri"/>
          <w:b/>
          <w:bCs/>
          <w:color w:val="1F3864"/>
          <w:sz w:val="26"/>
          <w:szCs w:val="26"/>
        </w:rPr>
        <w:t xml:space="preserve">6. Records</w:t>
      </w:r>
    </w:p>
    <w:p>
      <w:pPr>
        <w:spacing w:after="120"/>
      </w:pPr>
      <w:r>
        <w:rPr>
          <w:rFonts w:ascii="Calibri" w:cs="Calibri" w:eastAsia="Calibri" w:hAnsi="Calibri"/>
          <w:sz w:val="21"/>
          <w:szCs w:val="21"/>
        </w:rPr>
        <w:t xml:space="preserve">All maintenance requests, inspection records and completion notes are retained as controlled records. Downtime hours are reported monthly by site and by asset.</w:t>
      </w:r>
    </w:p>
    <w:p>
      <w:pPr>
        <w:pStyle w:val="Heading2"/>
        <w:spacing w:after="100" w:before="220"/>
      </w:pPr>
      <w:r>
        <w:rPr>
          <w:rFonts w:ascii="Calibri" w:cs="Calibri" w:eastAsia="Calibri" w:hAnsi="Calibri"/>
          <w:b/>
          <w:bCs/>
          <w:color w:val="1F3864"/>
          <w:sz w:val="26"/>
          <w:szCs w:val="26"/>
        </w:rPr>
        <w:t xml:space="preserve">7. Retention</w:t>
      </w:r>
    </w:p>
    <w:p>
      <w:pPr>
        <w:spacing w:after="120"/>
      </w:pPr>
      <w:r>
        <w:rPr>
          <w:rFonts w:ascii="Calibri" w:cs="Calibri" w:eastAsia="Calibri" w:hAnsi="Calibri"/>
          <w:sz w:val="21"/>
          <w:szCs w:val="21"/>
        </w:rPr>
        <w:t xml:space="preserve">Maintenance records are retained for seven years from creation, after which they are disposed of automatically under the Maintenance Record retention label. Records under legal hold are exempt until the hold is released.</w:t>
      </w:r>
    </w:p>
    <w:p>
      <w:pPr>
        <w:pStyle w:val="Heading2"/>
        <w:spacing w:after="100" w:before="220"/>
      </w:pPr>
      <w:r>
        <w:rPr>
          <w:rFonts w:ascii="Calibri" w:cs="Calibri" w:eastAsia="Calibri" w:hAnsi="Calibri"/>
          <w:b/>
          <w:bCs/>
          <w:color w:val="1F3864"/>
          <w:sz w:val="26"/>
          <w:szCs w:val="26"/>
        </w:rPr>
        <w:t xml:space="preserve">8.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059"/>
        <w:gridCol w:w="2621"/>
        <w:gridCol w:w="3276"/>
      </w:tblGrid>
      <w:tr>
        <w:trPr>
          <w:tblHeader/>
        </w:trPr>
        <w:tc>
          <w:tcPr>
            <w:tcW w:type="dxa" w:w="1404"/>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Revision</w:t>
            </w:r>
          </w:p>
        </w:tc>
        <w:tc>
          <w:tcPr>
            <w:tcW w:type="dxa" w:w="2059"/>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Date</w:t>
            </w:r>
          </w:p>
        </w:tc>
        <w:tc>
          <w:tcPr>
            <w:tcW w:type="dxa" w:w="2621"/>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Author</w:t>
            </w:r>
          </w:p>
        </w:tc>
        <w:tc>
          <w:tcPr>
            <w:tcW w:type="dxa" w:w="3276"/>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Summary</w:t>
            </w:r>
          </w:p>
        </w:tc>
      </w:tr>
      <w:tr>
        <w:tc>
          <w:tcPr>
            <w:tcW w:type="dxa" w:w="1404"/>
            <w:tcMar>
              <w:top w:type="dxa" w:w="70"/>
              <w:left w:type="dxa" w:w="110"/>
              <w:bottom w:type="dxa" w:w="70"/>
              <w:right w:type="dxa" w:w="110"/>
            </w:tcMar>
          </w:tcPr>
          <w:p>
            <w:r>
              <w:rPr>
                <w:rFonts w:ascii="Calibri" w:cs="Calibri" w:eastAsia="Calibri" w:hAnsi="Calibri"/>
                <w:b w:val="false"/>
                <w:bCs w:val="false"/>
                <w:color w:val="000000"/>
                <w:sz w:val="19"/>
                <w:szCs w:val="19"/>
              </w:rPr>
              <w:t xml:space="preserve">1.0</w:t>
            </w:r>
          </w:p>
        </w:tc>
        <w:tc>
          <w:tcPr>
            <w:tcW w:type="dxa" w:w="2059"/>
            <w:tcMar>
              <w:top w:type="dxa" w:w="70"/>
              <w:left w:type="dxa" w:w="110"/>
              <w:bottom w:type="dxa" w:w="70"/>
              <w:right w:type="dxa" w:w="110"/>
            </w:tcMar>
          </w:tcPr>
          <w:p>
            <w:r>
              <w:rPr>
                <w:rFonts w:ascii="Calibri" w:cs="Calibri" w:eastAsia="Calibri" w:hAnsi="Calibri"/>
                <w:b w:val="false"/>
                <w:bCs w:val="false"/>
                <w:color w:val="000000"/>
                <w:sz w:val="19"/>
                <w:szCs w:val="19"/>
              </w:rPr>
              <w:t xml:space="preserve">04 May 2024</w:t>
            </w:r>
          </w:p>
        </w:tc>
        <w:tc>
          <w:tcPr>
            <w:tcW w:type="dxa" w:w="2621"/>
            <w:tcMar>
              <w:top w:type="dxa" w:w="70"/>
              <w:left w:type="dxa" w:w="110"/>
              <w:bottom w:type="dxa" w:w="70"/>
              <w:right w:type="dxa" w:w="110"/>
            </w:tcMar>
          </w:tcPr>
          <w:p>
            <w:r>
              <w:rPr>
                <w:rFonts w:ascii="Calibri" w:cs="Calibri" w:eastAsia="Calibri" w:hAnsi="Calibri"/>
                <w:b w:val="false"/>
                <w:bCs w:val="false"/>
                <w:color w:val="000000"/>
                <w:sz w:val="19"/>
                <w:szCs w:val="19"/>
              </w:rPr>
              <w:t xml:space="preserve">R. Calvert</w:t>
            </w:r>
          </w:p>
        </w:tc>
        <w:tc>
          <w:tcPr>
            <w:tcW w:type="dxa" w:w="3276"/>
            <w:tcMar>
              <w:top w:type="dxa" w:w="70"/>
              <w:left w:type="dxa" w:w="110"/>
              <w:bottom w:type="dxa" w:w="70"/>
              <w:right w:type="dxa" w:w="110"/>
            </w:tcMar>
          </w:tcPr>
          <w:p>
            <w:r>
              <w:rPr>
                <w:rFonts w:ascii="Calibri" w:cs="Calibri" w:eastAsia="Calibri" w:hAnsi="Calibri"/>
                <w:b w:val="false"/>
                <w:bCs w:val="false"/>
                <w:color w:val="000000"/>
                <w:sz w:val="19"/>
                <w:szCs w:val="19"/>
              </w:rPr>
              <w:t xml:space="preserve">Initial issue.</w:t>
            </w:r>
          </w:p>
        </w:tc>
      </w:tr>
      <w:tr>
        <w:tc>
          <w:tcPr>
            <w:tcW w:type="dxa" w:w="1404"/>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2.0</w:t>
            </w:r>
          </w:p>
        </w:tc>
        <w:tc>
          <w:tcPr>
            <w:tcW w:type="dxa" w:w="2059"/>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19 Jan 2025</w:t>
            </w:r>
          </w:p>
        </w:tc>
        <w:tc>
          <w:tcPr>
            <w:tcW w:type="dxa" w:w="2621"/>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R. Calvert</w:t>
            </w:r>
          </w:p>
        </w:tc>
        <w:tc>
          <w:tcPr>
            <w:tcW w:type="dxa" w:w="3276"/>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Priority table revised; response times added.</w:t>
            </w:r>
          </w:p>
        </w:tc>
      </w:tr>
      <w:tr>
        <w:tc>
          <w:tcPr>
            <w:tcW w:type="dxa" w:w="1404"/>
            <w:tcMar>
              <w:top w:type="dxa" w:w="70"/>
              <w:left w:type="dxa" w:w="110"/>
              <w:bottom w:type="dxa" w:w="70"/>
              <w:right w:type="dxa" w:w="110"/>
            </w:tcMar>
          </w:tcPr>
          <w:p>
            <w:r>
              <w:rPr>
                <w:rFonts w:ascii="Calibri" w:cs="Calibri" w:eastAsia="Calibri" w:hAnsi="Calibri"/>
                <w:b w:val="false"/>
                <w:bCs w:val="false"/>
                <w:color w:val="000000"/>
                <w:sz w:val="19"/>
                <w:szCs w:val="19"/>
              </w:rPr>
              <w:t xml:space="preserve">3.0</w:t>
            </w:r>
          </w:p>
        </w:tc>
        <w:tc>
          <w:tcPr>
            <w:tcW w:type="dxa" w:w="2059"/>
            <w:tcMar>
              <w:top w:type="dxa" w:w="70"/>
              <w:left w:type="dxa" w:w="110"/>
              <w:bottom w:type="dxa" w:w="70"/>
              <w:right w:type="dxa" w:w="110"/>
            </w:tcMar>
          </w:tcPr>
          <w:p>
            <w:r>
              <w:rPr>
                <w:rFonts w:ascii="Calibri" w:cs="Calibri" w:eastAsia="Calibri" w:hAnsi="Calibri"/>
                <w:b w:val="false"/>
                <w:bCs w:val="false"/>
                <w:color w:val="000000"/>
                <w:sz w:val="19"/>
                <w:szCs w:val="19"/>
              </w:rPr>
              <w:t xml:space="preserve">08 Nov 2025</w:t>
            </w:r>
          </w:p>
        </w:tc>
        <w:tc>
          <w:tcPr>
            <w:tcW w:type="dxa" w:w="2621"/>
            <w:tcMar>
              <w:top w:type="dxa" w:w="70"/>
              <w:left w:type="dxa" w:w="110"/>
              <w:bottom w:type="dxa" w:w="70"/>
              <w:right w:type="dxa" w:w="110"/>
            </w:tcMar>
          </w:tcPr>
          <w:p>
            <w:r>
              <w:rPr>
                <w:rFonts w:ascii="Calibri" w:cs="Calibri" w:eastAsia="Calibri" w:hAnsi="Calibri"/>
                <w:b w:val="false"/>
                <w:bCs w:val="false"/>
                <w:color w:val="000000"/>
                <w:sz w:val="19"/>
                <w:szCs w:val="19"/>
              </w:rPr>
              <w:t xml:space="preserve">M. Farrow</w:t>
            </w:r>
          </w:p>
        </w:tc>
        <w:tc>
          <w:tcPr>
            <w:tcW w:type="dxa" w:w="3276"/>
            <w:tcMar>
              <w:top w:type="dxa" w:w="70"/>
              <w:left w:type="dxa" w:w="110"/>
              <w:bottom w:type="dxa" w:w="70"/>
              <w:right w:type="dxa" w:w="110"/>
            </w:tcMar>
          </w:tcPr>
          <w:p>
            <w:r>
              <w:rPr>
                <w:rFonts w:ascii="Calibri" w:cs="Calibri" w:eastAsia="Calibri" w:hAnsi="Calibri"/>
                <w:b w:val="false"/>
                <w:bCs w:val="false"/>
                <w:color w:val="000000"/>
                <w:sz w:val="19"/>
                <w:szCs w:val="19"/>
              </w:rPr>
              <w:t xml:space="preserve">Contractor scope included.</w:t>
            </w:r>
          </w:p>
        </w:tc>
      </w:tr>
      <w:tr>
        <w:tc>
          <w:tcPr>
            <w:tcW w:type="dxa" w:w="1404"/>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3.1</w:t>
            </w:r>
          </w:p>
        </w:tc>
        <w:tc>
          <w:tcPr>
            <w:tcW w:type="dxa" w:w="2059"/>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12 Mar 2026</w:t>
            </w:r>
          </w:p>
        </w:tc>
        <w:tc>
          <w:tcPr>
            <w:tcW w:type="dxa" w:w="2621"/>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R. Calvert</w:t>
            </w:r>
          </w:p>
        </w:tc>
        <w:tc>
          <w:tcPr>
            <w:tcW w:type="dxa" w:w="3276"/>
            <w:shd w:fill="F2F2F2" w:color="auto"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Retention section updated to seven years.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Nottsvale Materials Ltd  |  Uncontrolled when printed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6"/>
      </w:pBdr>
    </w:pPr>
    <w:r>
      <w:rPr>
        <w:rFonts w:ascii="Calibri" w:cs="Calibri" w:eastAsia="Calibri" w:hAnsi="Calibri"/>
        <w:b/>
        <w:bCs/>
        <w:color w:val="1F3864"/>
        <w:sz w:val="20"/>
        <w:szCs w:val="20"/>
      </w:rPr>
      <w:t xml:space="preserve">NOTTSVALE MATERIALS LTD</w:t>
    </w:r>
    <w:r>
      <w:rPr>
        <w:rFonts w:ascii="Calibri" w:cs="Calibri" w:eastAsia="Calibri" w:hAnsi="Calibri"/>
        <w:color w:val="595959"/>
        <w:sz w:val="18"/>
        <w:szCs w:val="18"/>
      </w:rPr>
      <w:t xml:space="preserve">		Engineering &amp; Maintenance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1856AB1C2414ABF15B8C40A98F750" ma:contentTypeVersion="8" ma:contentTypeDescription="Create a new document." ma:contentTypeScope="" ma:versionID="7372d4ce6f276d9936e468e218e89c19">
  <xsd:schema xmlns:xsd="http://www.w3.org/2001/XMLSchema" xmlns:xs="http://www.w3.org/2001/XMLSchema" xmlns:p="http://schemas.microsoft.com/office/2006/metadata/properties" xmlns:ns2="8b4fe6ff-038c-433a-97a1-dc03ba8e232a" targetNamespace="http://schemas.microsoft.com/office/2006/metadata/properties" ma:root="true" ma:fieldsID="1e09a83f1526663fbd95e86720f015a8" ns2:_="">
    <xsd:import namespace="8b4fe6ff-038c-433a-97a1-dc03ba8e232a"/>
    <xsd:element name="properties">
      <xsd:complexType>
        <xsd:sequence>
          <xsd:element name="documentManagement">
            <xsd:complexType>
              <xsd:all>
                <xsd:element ref="ns2:DocID" minOccurs="0"/>
                <xsd:element ref="ns2:Revision" minOccurs="0"/>
                <xsd:element ref="ns2:Owner" minOccurs="0"/>
                <xsd:element ref="ns2:DocType" minOccurs="0"/>
                <xsd:element ref="ns2:Issue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fe6ff-038c-433a-97a1-dc03ba8e232a" elementFormDefault="qualified">
    <xsd:import namespace="http://schemas.microsoft.com/office/2006/documentManagement/types"/>
    <xsd:import namespace="http://schemas.microsoft.com/office/infopath/2007/PartnerControls"/>
    <xsd:element name="DocID" ma:index="8" nillable="true" ma:displayName="Doc ID" ma:format="Dropdown" ma:internalName="DocID">
      <xsd:simpleType>
        <xsd:restriction base="dms:Text">
          <xsd:maxLength value="255"/>
        </xsd:restriction>
      </xsd:simpleType>
    </xsd:element>
    <xsd:element name="Revision" ma:index="9" nillable="true" ma:displayName="Revision" ma:format="Dropdown" ma:internalName="Revision">
      <xsd:simpleType>
        <xsd:restriction base="dms:Text">
          <xsd:maxLength value="255"/>
        </xsd:restriction>
      </xsd:simpleType>
    </xsd:element>
    <xsd:element name="Owner" ma:index="10"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Type" ma:index="11" nillable="true" ma:displayName="Doc Type" ma:format="Dropdown" ma:internalName="DocType">
      <xsd:simpleType>
        <xsd:restriction base="dms:Choice">
          <xsd:enumeration value="Procedure"/>
          <xsd:enumeration value="Record"/>
          <xsd:enumeration value="Schedule"/>
        </xsd:restriction>
      </xsd:simpleType>
    </xsd:element>
    <xsd:element name="IssueDate" ma:index="12" nillable="true" ma:displayName="Issue Date" ma:format="DateOnly" ma:internalName="Issue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wner xmlns="8b4fe6ff-038c-433a-97a1-dc03ba8e232a">
      <UserInfo>
        <DisplayName>deanw01</DisplayName>
        <AccountId>12</AccountId>
        <AccountType/>
      </UserInfo>
    </Owner>
    <IssueDate xmlns="8b4fe6ff-038c-433a-97a1-dc03ba8e232a">2026-08-05T23:00:00+00:00</IssueDate>
    <DocID xmlns="8b4fe6ff-038c-433a-97a1-dc03ba8e232a">NV002</DocID>
    <DocType xmlns="8b4fe6ff-038c-433a-97a1-dc03ba8e232a">Procedure</DocType>
    <Revision xmlns="8b4fe6ff-038c-433a-97a1-dc03ba8e232a">5</Revision>
  </documentManagement>
</p:properties>
</file>

<file path=customXml/itemProps1.xml><?xml version="1.0" encoding="utf-8"?>
<ds:datastoreItem xmlns:ds="http://schemas.openxmlformats.org/officeDocument/2006/customXml" ds:itemID="{6898944A-6DCD-4C13-8435-3F40D8AD0AA4}"/>
</file>

<file path=customXml/itemProps2.xml><?xml version="1.0" encoding="utf-8"?>
<ds:datastoreItem xmlns:ds="http://schemas.openxmlformats.org/officeDocument/2006/customXml" ds:itemID="{AD65D79A-5C7F-4CC4-9BDC-67C38B02EFBD}"/>
</file>

<file path=customXml/itemProps3.xml><?xml version="1.0" encoding="utf-8"?>
<ds:datastoreItem xmlns:ds="http://schemas.openxmlformats.org/officeDocument/2006/customXml" ds:itemID="{1C5F3000-CB82-4E35-90EC-A86A97B6C6E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2026-08-27T01:00:47Z</dcterms:created>
  <dcterms:modified xsi:type="dcterms:W3CDTF">2026-08-27T01:00:47Z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0x010100BC21856AB1C2414ABF15B8C40A98F750</vt:lpwstr>
  </property>
</Properties>
</file>