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1C9B" w14:textId="77777777" w:rsidR="004841B3" w:rsidRPr="004841B3" w:rsidRDefault="004841B3" w:rsidP="004841B3">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4841B3">
        <w:rPr>
          <w:rFonts w:ascii="Arial" w:eastAsia="Times New Roman" w:hAnsi="Arial" w:cs="Arial"/>
          <w:b/>
          <w:bCs/>
          <w:color w:val="202124"/>
          <w:kern w:val="36"/>
          <w:sz w:val="54"/>
          <w:szCs w:val="54"/>
        </w:rPr>
        <w:t>Temperature change</w:t>
      </w:r>
    </w:p>
    <w:p w14:paraId="0C33719B" w14:textId="77777777"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inherit" w:eastAsia="Times New Roman" w:hAnsi="inherit" w:cs="Arial"/>
          <w:color w:val="5F6368"/>
          <w:sz w:val="24"/>
          <w:szCs w:val="24"/>
          <w:bdr w:val="none" w:sz="0" w:space="0" w:color="auto" w:frame="1"/>
        </w:rPr>
        <w:t>Global Warming, Temperature Change, Climate Change</w:t>
      </w:r>
    </w:p>
    <w:p w14:paraId="2C99EE33" w14:textId="6B0F2A67" w:rsidR="004841B3" w:rsidRPr="004841B3" w:rsidRDefault="004841B3" w:rsidP="004841B3">
      <w:pPr>
        <w:shd w:val="clear" w:color="auto" w:fill="FFFFFF"/>
        <w:spacing w:after="100" w:line="240" w:lineRule="auto"/>
        <w:textAlignment w:val="baseline"/>
        <w:rPr>
          <w:rFonts w:ascii="inherit" w:eastAsia="Times New Roman" w:hAnsi="inherit" w:cs="Arial"/>
          <w:color w:val="000000"/>
          <w:sz w:val="24"/>
          <w:szCs w:val="24"/>
        </w:rPr>
      </w:pPr>
      <w:r w:rsidRPr="004841B3">
        <w:rPr>
          <w:rFonts w:ascii="inherit" w:eastAsia="Times New Roman" w:hAnsi="inherit" w:cs="Arial"/>
          <w:noProof/>
          <w:color w:val="000000"/>
          <w:sz w:val="24"/>
          <w:szCs w:val="24"/>
        </w:rPr>
        <w:drawing>
          <wp:inline distT="0" distB="0" distL="0" distR="0" wp14:anchorId="12FDAECE" wp14:editId="35ED48D0">
            <wp:extent cx="5943600" cy="1249045"/>
            <wp:effectExtent l="0" t="0" r="0" b="8255"/>
            <wp:docPr id="2" name="Picture 2"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2853D86B" w14:textId="77777777" w:rsidR="004841B3" w:rsidRPr="004841B3" w:rsidRDefault="004841B3" w:rsidP="004841B3">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Temperature change</w:t>
      </w:r>
    </w:p>
    <w:p w14:paraId="33A25C0F" w14:textId="77777777"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inherit" w:eastAsia="Times New Roman" w:hAnsi="inherit" w:cs="Arial"/>
          <w:color w:val="202124"/>
          <w:sz w:val="24"/>
          <w:szCs w:val="24"/>
          <w:bdr w:val="none" w:sz="0" w:space="0" w:color="auto" w:frame="1"/>
        </w:rPr>
        <w:t>Data Card</w:t>
      </w:r>
    </w:p>
    <w:p w14:paraId="76B28775" w14:textId="77777777"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inherit" w:eastAsia="Times New Roman" w:hAnsi="inherit" w:cs="Arial"/>
          <w:color w:val="5F6368"/>
          <w:sz w:val="24"/>
          <w:szCs w:val="24"/>
          <w:bdr w:val="none" w:sz="0" w:space="0" w:color="auto" w:frame="1"/>
        </w:rPr>
        <w:t>Code (24)</w:t>
      </w:r>
    </w:p>
    <w:p w14:paraId="3A0395CE" w14:textId="77777777"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inherit" w:eastAsia="Times New Roman" w:hAnsi="inherit" w:cs="Arial"/>
          <w:color w:val="5F6368"/>
          <w:sz w:val="24"/>
          <w:szCs w:val="24"/>
          <w:bdr w:val="none" w:sz="0" w:space="0" w:color="auto" w:frame="1"/>
        </w:rPr>
        <w:t>Discussion (1)</w:t>
      </w:r>
    </w:p>
    <w:p w14:paraId="3696D4E1" w14:textId="77777777"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Google Material Icons" w:eastAsia="Times New Roman" w:hAnsi="Google Material Icons" w:cs="Arial"/>
          <w:color w:val="202124"/>
          <w:sz w:val="36"/>
          <w:szCs w:val="36"/>
          <w:bdr w:val="none" w:sz="0" w:space="0" w:color="auto" w:frame="1"/>
        </w:rPr>
        <w:t>arrow_drop_up</w:t>
      </w:r>
      <w:r w:rsidRPr="004841B3">
        <w:rPr>
          <w:rFonts w:ascii="inherit" w:eastAsia="Times New Roman" w:hAnsi="inherit" w:cs="Arial"/>
          <w:color w:val="000000"/>
          <w:sz w:val="24"/>
          <w:szCs w:val="24"/>
        </w:rPr>
        <w:t>213</w:t>
      </w:r>
    </w:p>
    <w:p w14:paraId="53719BCC" w14:textId="308A79BA" w:rsidR="004841B3" w:rsidRPr="004841B3" w:rsidRDefault="004841B3" w:rsidP="004841B3">
      <w:pPr>
        <w:shd w:val="clear" w:color="auto" w:fill="FFFFFF"/>
        <w:spacing w:after="0" w:line="240" w:lineRule="auto"/>
        <w:textAlignment w:val="baseline"/>
        <w:rPr>
          <w:rFonts w:ascii="inherit" w:eastAsia="Times New Roman" w:hAnsi="inherit" w:cs="Arial"/>
          <w:color w:val="000000"/>
          <w:sz w:val="24"/>
          <w:szCs w:val="24"/>
        </w:rPr>
      </w:pPr>
      <w:r w:rsidRPr="004841B3">
        <w:rPr>
          <w:rFonts w:ascii="inherit" w:eastAsia="Times New Roman" w:hAnsi="inherit" w:cs="Arial"/>
          <w:b/>
          <w:bCs/>
          <w:color w:val="202124"/>
          <w:sz w:val="21"/>
          <w:szCs w:val="21"/>
          <w:bdr w:val="none" w:sz="0" w:space="0" w:color="auto" w:frame="1"/>
        </w:rPr>
        <w:t xml:space="preserve">New </w:t>
      </w:r>
      <w:proofErr w:type="spellStart"/>
      <w:r w:rsidRPr="004841B3">
        <w:rPr>
          <w:rFonts w:ascii="inherit" w:eastAsia="Times New Roman" w:hAnsi="inherit" w:cs="Arial"/>
          <w:b/>
          <w:bCs/>
          <w:color w:val="202124"/>
          <w:sz w:val="21"/>
          <w:szCs w:val="21"/>
          <w:bdr w:val="none" w:sz="0" w:space="0" w:color="auto" w:frame="1"/>
        </w:rPr>
        <w:t>Notebook</w:t>
      </w:r>
      <w:hyperlink r:id="rId6" w:history="1">
        <w:r w:rsidRPr="004841B3">
          <w:rPr>
            <w:rFonts w:ascii="Google Material Icons" w:eastAsia="Times New Roman" w:hAnsi="Google Material Icons" w:cs="Arial"/>
            <w:color w:val="FFFFFF"/>
            <w:sz w:val="27"/>
            <w:szCs w:val="27"/>
            <w:u w:val="single"/>
            <w:bdr w:val="none" w:sz="0" w:space="0" w:color="auto" w:frame="1"/>
          </w:rPr>
          <w:t>file_download</w:t>
        </w:r>
        <w:r w:rsidRPr="004841B3">
          <w:rPr>
            <w:rFonts w:ascii="inherit" w:eastAsia="Times New Roman" w:hAnsi="inherit" w:cs="Arial"/>
            <w:b/>
            <w:bCs/>
            <w:color w:val="FFFFFF"/>
            <w:sz w:val="21"/>
            <w:szCs w:val="21"/>
            <w:bdr w:val="none" w:sz="0" w:space="0" w:color="auto" w:frame="1"/>
          </w:rPr>
          <w:t>Download</w:t>
        </w:r>
        <w:proofErr w:type="spellEnd"/>
        <w:r w:rsidRPr="004841B3">
          <w:rPr>
            <w:rFonts w:ascii="inherit" w:eastAsia="Times New Roman" w:hAnsi="inherit" w:cs="Arial"/>
            <w:b/>
            <w:bCs/>
            <w:color w:val="FFFFFF"/>
            <w:sz w:val="21"/>
            <w:szCs w:val="21"/>
            <w:bdr w:val="none" w:sz="0" w:space="0" w:color="auto" w:frame="1"/>
          </w:rPr>
          <w:t xml:space="preserve"> (2 MB)</w:t>
        </w:r>
      </w:hyperlink>
      <w:r w:rsidRPr="004841B3">
        <w:rPr>
          <w:rFonts w:ascii="inherit" w:eastAsia="Times New Roman" w:hAnsi="inherit" w:cs="Arial"/>
          <w:noProof/>
          <w:color w:val="000000"/>
          <w:sz w:val="24"/>
          <w:szCs w:val="24"/>
        </w:rPr>
        <w:drawing>
          <wp:inline distT="0" distB="0" distL="0" distR="0" wp14:anchorId="2927D773" wp14:editId="305463EE">
            <wp:extent cx="952500" cy="1007110"/>
            <wp:effectExtent l="0" t="0" r="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007110"/>
                    </a:xfrm>
                    <a:prstGeom prst="rect">
                      <a:avLst/>
                    </a:prstGeom>
                    <a:noFill/>
                    <a:ln>
                      <a:noFill/>
                    </a:ln>
                  </pic:spPr>
                </pic:pic>
              </a:graphicData>
            </a:graphic>
          </wp:inline>
        </w:drawing>
      </w:r>
    </w:p>
    <w:p w14:paraId="4872B5B4" w14:textId="77777777" w:rsidR="004841B3" w:rsidRPr="004841B3" w:rsidRDefault="004841B3" w:rsidP="004841B3">
      <w:pPr>
        <w:shd w:val="clear" w:color="auto" w:fill="FFFFFF"/>
        <w:spacing w:after="100" w:line="240" w:lineRule="auto"/>
        <w:textAlignment w:val="baseline"/>
        <w:rPr>
          <w:rFonts w:ascii="inherit" w:eastAsia="Times New Roman" w:hAnsi="inherit" w:cs="Arial"/>
          <w:color w:val="000000"/>
          <w:sz w:val="24"/>
          <w:szCs w:val="24"/>
        </w:rPr>
      </w:pPr>
      <w:proofErr w:type="spellStart"/>
      <w:r w:rsidRPr="004841B3">
        <w:rPr>
          <w:rFonts w:ascii="inherit" w:eastAsia="Times New Roman" w:hAnsi="inherit" w:cs="Arial"/>
          <w:color w:val="000000"/>
          <w:sz w:val="24"/>
          <w:szCs w:val="24"/>
        </w:rPr>
        <w:t>more_vert</w:t>
      </w:r>
      <w:proofErr w:type="spellEnd"/>
    </w:p>
    <w:p w14:paraId="73B19700" w14:textId="77777777" w:rsidR="004841B3" w:rsidRPr="004841B3" w:rsidRDefault="004841B3" w:rsidP="004841B3">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About Dataset</w:t>
      </w:r>
    </w:p>
    <w:p w14:paraId="7EFAC851" w14:textId="77777777" w:rsidR="004841B3" w:rsidRPr="004841B3" w:rsidRDefault="004841B3" w:rsidP="004841B3">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Context</w:t>
      </w:r>
    </w:p>
    <w:p w14:paraId="75E3CC39"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Data description</w:t>
      </w:r>
    </w:p>
    <w:p w14:paraId="3F1EB033"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 xml:space="preserve">The FAOSTAT Temperature Change domain disseminates statistics of mean surface temperature change by country, with annual updates. The current dissemination covers the period 1961–2019. Statistics are available for monthly, </w:t>
      </w:r>
      <w:proofErr w:type="gramStart"/>
      <w:r w:rsidRPr="004841B3">
        <w:rPr>
          <w:rFonts w:ascii="inherit" w:eastAsia="Times New Roman" w:hAnsi="inherit" w:cs="Arial"/>
          <w:color w:val="3C4043"/>
          <w:sz w:val="21"/>
          <w:szCs w:val="21"/>
        </w:rPr>
        <w:t>seasonal</w:t>
      </w:r>
      <w:proofErr w:type="gramEnd"/>
      <w:r w:rsidRPr="004841B3">
        <w:rPr>
          <w:rFonts w:ascii="inherit" w:eastAsia="Times New Roman" w:hAnsi="inherit" w:cs="Arial"/>
          <w:color w:val="3C4043"/>
          <w:sz w:val="21"/>
          <w:szCs w:val="21"/>
        </w:rPr>
        <w:t xml:space="preserve"> and annual mean temperature anomalies, i.e., temperature change with respect to a baseline climatology, corresponding to the period 1951–1980. The standard deviation of the temperature change of the baseline methodology is also available. Data are based on the publicly available GISTEMP data, the Global Surface Temperature Change data distributed by the National Aeronautics and Space Administration Goddard Institute for Space Studies (NASA-GISS).</w:t>
      </w:r>
    </w:p>
    <w:p w14:paraId="175A7A5C" w14:textId="77777777" w:rsidR="004841B3" w:rsidRPr="004841B3" w:rsidRDefault="004841B3" w:rsidP="004841B3">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Content</w:t>
      </w:r>
    </w:p>
    <w:p w14:paraId="0514C922"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Statistical concepts and definitions</w:t>
      </w:r>
    </w:p>
    <w:p w14:paraId="0974C930"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lastRenderedPageBreak/>
        <w:t xml:space="preserve">Statistical standards: Data in the Temperature Change domain are not an explicit SEEA variable. Nonetheless, </w:t>
      </w:r>
      <w:proofErr w:type="gramStart"/>
      <w:r w:rsidRPr="004841B3">
        <w:rPr>
          <w:rFonts w:ascii="inherit" w:eastAsia="Times New Roman" w:hAnsi="inherit" w:cs="Arial"/>
          <w:color w:val="3C4043"/>
          <w:sz w:val="21"/>
          <w:szCs w:val="21"/>
        </w:rPr>
        <w:t>country</w:t>
      </w:r>
      <w:proofErr w:type="gramEnd"/>
      <w:r w:rsidRPr="004841B3">
        <w:rPr>
          <w:rFonts w:ascii="inherit" w:eastAsia="Times New Roman" w:hAnsi="inherit" w:cs="Arial"/>
          <w:color w:val="3C4043"/>
          <w:sz w:val="21"/>
          <w:szCs w:val="21"/>
        </w:rPr>
        <w:t xml:space="preserve"> and regional calculations employ a definition of “Land area” consistent with SEEA Land Use definitions, specifically SEEA CF Table 5.11 “Land Use Classification” and SEEA AFF Table 4.8, “Physical asset account for land use.” The Temperature Change domain of the FAOSTAT Agri-Environmental Indicators section is compliant with the Framework for the Development of Environmental Statistics (FDES 2013), contributing to FDES Component 1: Environmental Conditions and Quality, Sub-component 1.1: Physical Conditions, Topic 1.1.1: Atmosphere, climate and weather, Core set/ Tier 1 statistics a.1.</w:t>
      </w:r>
    </w:p>
    <w:p w14:paraId="6056F3E1"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Statistical unit: Countries and Territories.</w:t>
      </w:r>
    </w:p>
    <w:p w14:paraId="02D6D67C"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Statistical population: Countries and Territories.</w:t>
      </w:r>
    </w:p>
    <w:p w14:paraId="06EEFB10"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Reference area: Area of all the Countries and Territories of the world. In 2019: 190 countries and 37 other territorial entities.</w:t>
      </w:r>
    </w:p>
    <w:p w14:paraId="19224825" w14:textId="77777777" w:rsidR="004841B3" w:rsidRPr="004841B3" w:rsidRDefault="004841B3" w:rsidP="004841B3">
      <w:pPr>
        <w:shd w:val="clear" w:color="auto" w:fill="FFFFFF"/>
        <w:spacing w:after="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Code - reference area: FAOSTAT, M49, ISO2 and ISO3 (</w:t>
      </w:r>
      <w:hyperlink r:id="rId8" w:anchor="definitions)" w:tgtFrame="_blank" w:history="1">
        <w:r w:rsidRPr="004841B3">
          <w:rPr>
            <w:rFonts w:ascii="inherit" w:eastAsia="Times New Roman" w:hAnsi="inherit" w:cs="Arial"/>
            <w:color w:val="202124"/>
            <w:sz w:val="21"/>
            <w:szCs w:val="21"/>
            <w:u w:val="single"/>
            <w:bdr w:val="none" w:sz="0" w:space="0" w:color="auto" w:frame="1"/>
          </w:rPr>
          <w:t>http://www.fao.org/faostat/en/#definitions)</w:t>
        </w:r>
      </w:hyperlink>
      <w:r w:rsidRPr="004841B3">
        <w:rPr>
          <w:rFonts w:ascii="inherit" w:eastAsia="Times New Roman" w:hAnsi="inherit" w:cs="Arial"/>
          <w:color w:val="3C4043"/>
          <w:sz w:val="21"/>
          <w:szCs w:val="21"/>
        </w:rPr>
        <w:t xml:space="preserve">. FAO Global Administrative Unit Layer (GAUL National level – reference year 2014. FAO Geospatial data repository </w:t>
      </w:r>
      <w:proofErr w:type="spellStart"/>
      <w:r w:rsidRPr="004841B3">
        <w:rPr>
          <w:rFonts w:ascii="inherit" w:eastAsia="Times New Roman" w:hAnsi="inherit" w:cs="Arial"/>
          <w:color w:val="3C4043"/>
          <w:sz w:val="21"/>
          <w:szCs w:val="21"/>
        </w:rPr>
        <w:t>GeoNetwork</w:t>
      </w:r>
      <w:proofErr w:type="spellEnd"/>
      <w:r w:rsidRPr="004841B3">
        <w:rPr>
          <w:rFonts w:ascii="inherit" w:eastAsia="Times New Roman" w:hAnsi="inherit" w:cs="Arial"/>
          <w:color w:val="3C4043"/>
          <w:sz w:val="21"/>
          <w:szCs w:val="21"/>
        </w:rPr>
        <w:t>. Permanent address: </w:t>
      </w:r>
      <w:hyperlink r:id="rId9" w:tgtFrame="_blank" w:history="1">
        <w:r w:rsidRPr="004841B3">
          <w:rPr>
            <w:rFonts w:ascii="inherit" w:eastAsia="Times New Roman" w:hAnsi="inherit" w:cs="Arial"/>
            <w:color w:val="202124"/>
            <w:sz w:val="21"/>
            <w:szCs w:val="21"/>
            <w:u w:val="single"/>
            <w:bdr w:val="none" w:sz="0" w:space="0" w:color="auto" w:frame="1"/>
          </w:rPr>
          <w:t>http://www.fao.org:80/geonetwork?uuid=f7e7adb0-88fd-11da-a88f-000d939bc5d8</w:t>
        </w:r>
      </w:hyperlink>
      <w:r w:rsidRPr="004841B3">
        <w:rPr>
          <w:rFonts w:ascii="inherit" w:eastAsia="Times New Roman" w:hAnsi="inherit" w:cs="Arial"/>
          <w:color w:val="3C4043"/>
          <w:sz w:val="21"/>
          <w:szCs w:val="21"/>
        </w:rPr>
        <w:t>.</w:t>
      </w:r>
    </w:p>
    <w:p w14:paraId="533667CE"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Code - Number of countries/areas covered: In 2019: 190 countries and 37 other territorial entities.</w:t>
      </w:r>
    </w:p>
    <w:p w14:paraId="69393984"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Time coverage: 1961-2020</w:t>
      </w:r>
    </w:p>
    <w:p w14:paraId="53605FDC"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Periodicity: Monthly, Seasonal, Yearly</w:t>
      </w:r>
    </w:p>
    <w:p w14:paraId="334A4BC5"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Base period: 1951-1980</w:t>
      </w:r>
    </w:p>
    <w:p w14:paraId="44499E08"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Unit of Measure: Celsius degrees °C</w:t>
      </w:r>
    </w:p>
    <w:p w14:paraId="57406E19"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Reference period: Months, Seasons, Meteorological year</w:t>
      </w:r>
    </w:p>
    <w:p w14:paraId="5DCCA313" w14:textId="77777777" w:rsidR="004841B3" w:rsidRPr="004841B3" w:rsidRDefault="004841B3" w:rsidP="004841B3">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Acknowledgements</w:t>
      </w:r>
    </w:p>
    <w:p w14:paraId="0E99029F"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Documentation on methodology: Details on the methodology can be accessed at the Related Documents section of the Temperature Change (ET) domain in the Agri-Environmental Indicators section of FAOSTAT.</w:t>
      </w:r>
    </w:p>
    <w:p w14:paraId="1F0644C3" w14:textId="77777777" w:rsidR="004841B3" w:rsidRPr="004841B3" w:rsidRDefault="004841B3" w:rsidP="004841B3">
      <w:pPr>
        <w:shd w:val="clear" w:color="auto" w:fill="FFFFFF"/>
        <w:spacing w:after="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 xml:space="preserve">Quality documentation: For more information on the methods, coverage, </w:t>
      </w:r>
      <w:proofErr w:type="gramStart"/>
      <w:r w:rsidRPr="004841B3">
        <w:rPr>
          <w:rFonts w:ascii="inherit" w:eastAsia="Times New Roman" w:hAnsi="inherit" w:cs="Arial"/>
          <w:color w:val="3C4043"/>
          <w:sz w:val="21"/>
          <w:szCs w:val="21"/>
        </w:rPr>
        <w:t>accuracy</w:t>
      </w:r>
      <w:proofErr w:type="gramEnd"/>
      <w:r w:rsidRPr="004841B3">
        <w:rPr>
          <w:rFonts w:ascii="inherit" w:eastAsia="Times New Roman" w:hAnsi="inherit" w:cs="Arial"/>
          <w:color w:val="3C4043"/>
          <w:sz w:val="21"/>
          <w:szCs w:val="21"/>
        </w:rPr>
        <w:t xml:space="preserve"> and limitations of the Temperature Change dataset please refer to the NASA GISTEMP website: </w:t>
      </w:r>
      <w:hyperlink r:id="rId10" w:tgtFrame="_blank" w:history="1">
        <w:r w:rsidRPr="004841B3">
          <w:rPr>
            <w:rFonts w:ascii="inherit" w:eastAsia="Times New Roman" w:hAnsi="inherit" w:cs="Arial"/>
            <w:color w:val="202124"/>
            <w:sz w:val="21"/>
            <w:szCs w:val="21"/>
            <w:u w:val="single"/>
            <w:bdr w:val="none" w:sz="0" w:space="0" w:color="auto" w:frame="1"/>
          </w:rPr>
          <w:t>https://data.giss.nasa.gov/gistemp/</w:t>
        </w:r>
      </w:hyperlink>
    </w:p>
    <w:p w14:paraId="4E88ACC1" w14:textId="77777777" w:rsidR="004841B3" w:rsidRPr="004841B3" w:rsidRDefault="004841B3" w:rsidP="004841B3">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sz w:val="21"/>
          <w:szCs w:val="21"/>
          <w:bdr w:val="none" w:sz="0" w:space="0" w:color="auto" w:frame="1"/>
          <w:shd w:val="clear" w:color="auto" w:fill="F1F3F4"/>
        </w:rPr>
      </w:pPr>
      <w:r w:rsidRPr="004841B3">
        <w:rPr>
          <w:rFonts w:ascii="Roboto Mono" w:eastAsia="Times New Roman" w:hAnsi="Roboto Mono" w:cs="Courier New"/>
          <w:color w:val="3C4043"/>
          <w:sz w:val="21"/>
          <w:szCs w:val="21"/>
          <w:bdr w:val="none" w:sz="0" w:space="0" w:color="auto" w:frame="1"/>
          <w:shd w:val="clear" w:color="auto" w:fill="F1F3F4"/>
        </w:rPr>
        <w:lastRenderedPageBreak/>
        <w:t xml:space="preserve">                                                                                                                                                    Source: http://www.fao.org/faostat/en/#data/ET/metadata</w:t>
      </w:r>
    </w:p>
    <w:p w14:paraId="6C583FA1" w14:textId="77777777" w:rsidR="004841B3" w:rsidRPr="004841B3" w:rsidRDefault="004841B3" w:rsidP="004841B3">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4841B3">
        <w:rPr>
          <w:rFonts w:ascii="inherit" w:eastAsia="Times New Roman" w:hAnsi="inherit" w:cs="Arial"/>
          <w:b/>
          <w:bCs/>
          <w:color w:val="202124"/>
          <w:sz w:val="36"/>
          <w:szCs w:val="36"/>
        </w:rPr>
        <w:t>Inspiration</w:t>
      </w:r>
    </w:p>
    <w:p w14:paraId="108DE353" w14:textId="77777777" w:rsidR="004841B3" w:rsidRPr="004841B3" w:rsidRDefault="004841B3" w:rsidP="004841B3">
      <w:pPr>
        <w:shd w:val="clear" w:color="auto" w:fill="FFFFFF"/>
        <w:spacing w:before="240" w:after="24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Climate change is one of the important issues that face the world in this technological era. The best proof of this situation is the historical temperature change. You can investigate if any hope there is for stopping global warming :)</w:t>
      </w:r>
    </w:p>
    <w:p w14:paraId="2E56A6EB" w14:textId="77777777" w:rsidR="004841B3" w:rsidRPr="004841B3" w:rsidRDefault="004841B3" w:rsidP="004841B3">
      <w:pPr>
        <w:numPr>
          <w:ilvl w:val="0"/>
          <w:numId w:val="1"/>
        </w:numPr>
        <w:shd w:val="clear" w:color="auto" w:fill="FFFFFF"/>
        <w:spacing w:after="0"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Can you find any correlation between temperature change and any other variable?</w:t>
      </w:r>
      <w:r w:rsidRPr="004841B3">
        <w:rPr>
          <w:rFonts w:ascii="inherit" w:eastAsia="Times New Roman" w:hAnsi="inherit" w:cs="Arial"/>
          <w:color w:val="3C4043"/>
          <w:sz w:val="21"/>
          <w:szCs w:val="21"/>
        </w:rPr>
        <w:br/>
        <w:t>(Using ISO3 codes for merging any other countries' data sets possible.)</w:t>
      </w:r>
    </w:p>
    <w:p w14:paraId="4D4E4EF3" w14:textId="77777777" w:rsidR="004841B3" w:rsidRPr="004841B3" w:rsidRDefault="004841B3" w:rsidP="004841B3">
      <w:pPr>
        <w:numPr>
          <w:ilvl w:val="0"/>
          <w:numId w:val="1"/>
        </w:numPr>
        <w:shd w:val="clear" w:color="auto" w:fill="FFFFFF"/>
        <w:spacing w:line="330" w:lineRule="atLeast"/>
        <w:textAlignment w:val="baseline"/>
        <w:rPr>
          <w:rFonts w:ascii="inherit" w:eastAsia="Times New Roman" w:hAnsi="inherit" w:cs="Arial"/>
          <w:color w:val="3C4043"/>
          <w:sz w:val="21"/>
          <w:szCs w:val="21"/>
        </w:rPr>
      </w:pPr>
      <w:r w:rsidRPr="004841B3">
        <w:rPr>
          <w:rFonts w:ascii="inherit" w:eastAsia="Times New Roman" w:hAnsi="inherit" w:cs="Arial"/>
          <w:color w:val="3C4043"/>
          <w:sz w:val="21"/>
          <w:szCs w:val="21"/>
        </w:rPr>
        <w:t>Prediction of temperature change: there is also an overall world temperature change in the country list as 'World'.</w:t>
      </w:r>
    </w:p>
    <w:p w14:paraId="12324FA7" w14:textId="77777777" w:rsidR="00D9599E" w:rsidRDefault="00D9599E"/>
    <w:sectPr w:rsidR="00D9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D692B"/>
    <w:multiLevelType w:val="multilevel"/>
    <w:tmpl w:val="BB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78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B3"/>
    <w:rsid w:val="004841B3"/>
    <w:rsid w:val="00D9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A961"/>
  <w15:chartTrackingRefBased/>
  <w15:docId w15:val="{95A65C30-8C25-40C6-AAD5-FB4D5B92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1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1B3"/>
    <w:rPr>
      <w:rFonts w:ascii="Times New Roman" w:eastAsia="Times New Roman" w:hAnsi="Times New Roman" w:cs="Times New Roman"/>
      <w:b/>
      <w:bCs/>
      <w:sz w:val="27"/>
      <w:szCs w:val="27"/>
    </w:rPr>
  </w:style>
  <w:style w:type="character" w:customStyle="1" w:styleId="sc-bzkfao">
    <w:name w:val="sc-bzkfao"/>
    <w:basedOn w:val="DefaultParagraphFont"/>
    <w:rsid w:val="004841B3"/>
  </w:style>
  <w:style w:type="character" w:customStyle="1" w:styleId="sc-ccsojp">
    <w:name w:val="sc-ccsojp"/>
    <w:basedOn w:val="DefaultParagraphFont"/>
    <w:rsid w:val="004841B3"/>
  </w:style>
  <w:style w:type="character" w:styleId="Hyperlink">
    <w:name w:val="Hyperlink"/>
    <w:basedOn w:val="DefaultParagraphFont"/>
    <w:uiPriority w:val="99"/>
    <w:semiHidden/>
    <w:unhideWhenUsed/>
    <w:rsid w:val="004841B3"/>
    <w:rPr>
      <w:color w:val="0000FF"/>
      <w:u w:val="single"/>
    </w:rPr>
  </w:style>
  <w:style w:type="paragraph" w:styleId="NormalWeb">
    <w:name w:val="Normal (Web)"/>
    <w:basedOn w:val="Normal"/>
    <w:uiPriority w:val="99"/>
    <w:semiHidden/>
    <w:unhideWhenUsed/>
    <w:rsid w:val="00484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1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4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59375">
      <w:bodyDiv w:val="1"/>
      <w:marLeft w:val="0"/>
      <w:marRight w:val="0"/>
      <w:marTop w:val="0"/>
      <w:marBottom w:val="0"/>
      <w:divBdr>
        <w:top w:val="none" w:sz="0" w:space="0" w:color="auto"/>
        <w:left w:val="none" w:sz="0" w:space="0" w:color="auto"/>
        <w:bottom w:val="none" w:sz="0" w:space="0" w:color="auto"/>
        <w:right w:val="none" w:sz="0" w:space="0" w:color="auto"/>
      </w:divBdr>
      <w:divsChild>
        <w:div w:id="487938068">
          <w:marLeft w:val="0"/>
          <w:marRight w:val="0"/>
          <w:marTop w:val="100"/>
          <w:marBottom w:val="100"/>
          <w:divBdr>
            <w:top w:val="none" w:sz="0" w:space="0" w:color="auto"/>
            <w:left w:val="none" w:sz="0" w:space="0" w:color="auto"/>
            <w:bottom w:val="none" w:sz="0" w:space="0" w:color="auto"/>
            <w:right w:val="none" w:sz="0" w:space="0" w:color="auto"/>
          </w:divBdr>
          <w:divsChild>
            <w:div w:id="1075277592">
              <w:marLeft w:val="0"/>
              <w:marRight w:val="0"/>
              <w:marTop w:val="0"/>
              <w:marBottom w:val="0"/>
              <w:divBdr>
                <w:top w:val="none" w:sz="0" w:space="0" w:color="auto"/>
                <w:left w:val="none" w:sz="0" w:space="0" w:color="auto"/>
                <w:bottom w:val="none" w:sz="0" w:space="0" w:color="auto"/>
                <w:right w:val="none" w:sz="0" w:space="0" w:color="auto"/>
              </w:divBdr>
              <w:divsChild>
                <w:div w:id="1746873527">
                  <w:marLeft w:val="0"/>
                  <w:marRight w:val="720"/>
                  <w:marTop w:val="330"/>
                  <w:marBottom w:val="0"/>
                  <w:divBdr>
                    <w:top w:val="none" w:sz="0" w:space="0" w:color="auto"/>
                    <w:left w:val="none" w:sz="0" w:space="0" w:color="auto"/>
                    <w:bottom w:val="none" w:sz="0" w:space="0" w:color="auto"/>
                    <w:right w:val="none" w:sz="0" w:space="0" w:color="auto"/>
                  </w:divBdr>
                </w:div>
                <w:div w:id="2080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14">
          <w:marLeft w:val="0"/>
          <w:marRight w:val="0"/>
          <w:marTop w:val="0"/>
          <w:marBottom w:val="0"/>
          <w:divBdr>
            <w:top w:val="none" w:sz="0" w:space="0" w:color="auto"/>
            <w:left w:val="none" w:sz="0" w:space="0" w:color="auto"/>
            <w:bottom w:val="none" w:sz="0" w:space="0" w:color="auto"/>
            <w:right w:val="none" w:sz="0" w:space="0" w:color="auto"/>
          </w:divBdr>
          <w:divsChild>
            <w:div w:id="219247961">
              <w:marLeft w:val="0"/>
              <w:marRight w:val="0"/>
              <w:marTop w:val="100"/>
              <w:marBottom w:val="100"/>
              <w:divBdr>
                <w:top w:val="none" w:sz="0" w:space="0" w:color="auto"/>
                <w:left w:val="none" w:sz="0" w:space="0" w:color="auto"/>
                <w:bottom w:val="none" w:sz="0" w:space="0" w:color="auto"/>
                <w:right w:val="none" w:sz="0" w:space="0" w:color="auto"/>
              </w:divBdr>
              <w:divsChild>
                <w:div w:id="1630892651">
                  <w:marLeft w:val="0"/>
                  <w:marRight w:val="0"/>
                  <w:marTop w:val="120"/>
                  <w:marBottom w:val="0"/>
                  <w:divBdr>
                    <w:top w:val="none" w:sz="0" w:space="0" w:color="auto"/>
                    <w:left w:val="none" w:sz="0" w:space="0" w:color="auto"/>
                    <w:bottom w:val="none" w:sz="0" w:space="0" w:color="auto"/>
                    <w:right w:val="none" w:sz="0" w:space="0" w:color="auto"/>
                  </w:divBdr>
                  <w:divsChild>
                    <w:div w:id="2064020844">
                      <w:marLeft w:val="0"/>
                      <w:marRight w:val="0"/>
                      <w:marTop w:val="0"/>
                      <w:marBottom w:val="0"/>
                      <w:divBdr>
                        <w:top w:val="none" w:sz="0" w:space="0" w:color="auto"/>
                        <w:left w:val="none" w:sz="0" w:space="0" w:color="auto"/>
                        <w:bottom w:val="none" w:sz="0" w:space="0" w:color="auto"/>
                        <w:right w:val="none" w:sz="0" w:space="0" w:color="auto"/>
                      </w:divBdr>
                      <w:divsChild>
                        <w:div w:id="313994736">
                          <w:marLeft w:val="0"/>
                          <w:marRight w:val="0"/>
                          <w:marTop w:val="0"/>
                          <w:marBottom w:val="0"/>
                          <w:divBdr>
                            <w:top w:val="none" w:sz="0" w:space="0" w:color="auto"/>
                            <w:left w:val="none" w:sz="0" w:space="0" w:color="auto"/>
                            <w:bottom w:val="none" w:sz="0" w:space="0" w:color="auto"/>
                            <w:right w:val="none" w:sz="0" w:space="0" w:color="auto"/>
                          </w:divBdr>
                          <w:divsChild>
                            <w:div w:id="599987905">
                              <w:marLeft w:val="0"/>
                              <w:marRight w:val="0"/>
                              <w:marTop w:val="0"/>
                              <w:marBottom w:val="0"/>
                              <w:divBdr>
                                <w:top w:val="none" w:sz="0" w:space="0" w:color="auto"/>
                                <w:left w:val="none" w:sz="0" w:space="0" w:color="auto"/>
                                <w:bottom w:val="none" w:sz="0" w:space="0" w:color="auto"/>
                                <w:right w:val="none" w:sz="0" w:space="0" w:color="auto"/>
                              </w:divBdr>
                            </w:div>
                            <w:div w:id="28142463">
                              <w:marLeft w:val="0"/>
                              <w:marRight w:val="0"/>
                              <w:marTop w:val="0"/>
                              <w:marBottom w:val="0"/>
                              <w:divBdr>
                                <w:top w:val="none" w:sz="0" w:space="0" w:color="auto"/>
                                <w:left w:val="none" w:sz="0" w:space="0" w:color="auto"/>
                                <w:bottom w:val="none" w:sz="0" w:space="0" w:color="auto"/>
                                <w:right w:val="none" w:sz="0" w:space="0" w:color="auto"/>
                              </w:divBdr>
                            </w:div>
                            <w:div w:id="361591249">
                              <w:marLeft w:val="0"/>
                              <w:marRight w:val="0"/>
                              <w:marTop w:val="0"/>
                              <w:marBottom w:val="0"/>
                              <w:divBdr>
                                <w:top w:val="none" w:sz="0" w:space="0" w:color="auto"/>
                                <w:left w:val="none" w:sz="0" w:space="0" w:color="auto"/>
                                <w:bottom w:val="none" w:sz="0" w:space="0" w:color="auto"/>
                                <w:right w:val="none" w:sz="0" w:space="0" w:color="auto"/>
                              </w:divBdr>
                            </w:div>
                          </w:divsChild>
                        </w:div>
                        <w:div w:id="389037514">
                          <w:marLeft w:val="0"/>
                          <w:marRight w:val="0"/>
                          <w:marTop w:val="0"/>
                          <w:marBottom w:val="0"/>
                          <w:divBdr>
                            <w:top w:val="none" w:sz="0" w:space="0" w:color="auto"/>
                            <w:left w:val="none" w:sz="0" w:space="0" w:color="auto"/>
                            <w:bottom w:val="none" w:sz="0" w:space="0" w:color="auto"/>
                            <w:right w:val="none" w:sz="0" w:space="0" w:color="auto"/>
                          </w:divBdr>
                          <w:divsChild>
                            <w:div w:id="440683969">
                              <w:marLeft w:val="240"/>
                              <w:marRight w:val="0"/>
                              <w:marTop w:val="0"/>
                              <w:marBottom w:val="0"/>
                              <w:divBdr>
                                <w:top w:val="none" w:sz="0" w:space="0" w:color="auto"/>
                                <w:left w:val="none" w:sz="0" w:space="0" w:color="auto"/>
                                <w:bottom w:val="none" w:sz="0" w:space="0" w:color="auto"/>
                                <w:right w:val="none" w:sz="0" w:space="0" w:color="auto"/>
                              </w:divBdr>
                              <w:divsChild>
                                <w:div w:id="1465464171">
                                  <w:marLeft w:val="0"/>
                                  <w:marRight w:val="0"/>
                                  <w:marTop w:val="0"/>
                                  <w:marBottom w:val="0"/>
                                  <w:divBdr>
                                    <w:top w:val="none" w:sz="0" w:space="0" w:color="auto"/>
                                    <w:left w:val="none" w:sz="0" w:space="0" w:color="auto"/>
                                    <w:bottom w:val="none" w:sz="0" w:space="0" w:color="auto"/>
                                    <w:right w:val="none" w:sz="0" w:space="0" w:color="auto"/>
                                  </w:divBdr>
                                </w:div>
                                <w:div w:id="1795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08631">
          <w:marLeft w:val="0"/>
          <w:marRight w:val="0"/>
          <w:marTop w:val="100"/>
          <w:marBottom w:val="100"/>
          <w:divBdr>
            <w:top w:val="none" w:sz="0" w:space="0" w:color="auto"/>
            <w:left w:val="none" w:sz="0" w:space="0" w:color="auto"/>
            <w:bottom w:val="none" w:sz="0" w:space="0" w:color="auto"/>
            <w:right w:val="none" w:sz="0" w:space="0" w:color="auto"/>
          </w:divBdr>
          <w:divsChild>
            <w:div w:id="2112895456">
              <w:marLeft w:val="0"/>
              <w:marRight w:val="0"/>
              <w:marTop w:val="0"/>
              <w:marBottom w:val="600"/>
              <w:divBdr>
                <w:top w:val="none" w:sz="0" w:space="0" w:color="auto"/>
                <w:left w:val="none" w:sz="0" w:space="0" w:color="auto"/>
                <w:bottom w:val="none" w:sz="0" w:space="0" w:color="auto"/>
                <w:right w:val="none" w:sz="0" w:space="0" w:color="auto"/>
              </w:divBdr>
              <w:divsChild>
                <w:div w:id="873470491">
                  <w:marLeft w:val="0"/>
                  <w:marRight w:val="0"/>
                  <w:marTop w:val="0"/>
                  <w:marBottom w:val="0"/>
                  <w:divBdr>
                    <w:top w:val="none" w:sz="0" w:space="0" w:color="auto"/>
                    <w:left w:val="none" w:sz="0" w:space="0" w:color="auto"/>
                    <w:bottom w:val="none" w:sz="0" w:space="0" w:color="auto"/>
                    <w:right w:val="none" w:sz="0" w:space="0" w:color="auto"/>
                  </w:divBdr>
                  <w:divsChild>
                    <w:div w:id="2102874003">
                      <w:marLeft w:val="0"/>
                      <w:marRight w:val="0"/>
                      <w:marTop w:val="0"/>
                      <w:marBottom w:val="0"/>
                      <w:divBdr>
                        <w:top w:val="none" w:sz="0" w:space="0" w:color="auto"/>
                        <w:left w:val="none" w:sz="0" w:space="0" w:color="auto"/>
                        <w:bottom w:val="none" w:sz="0" w:space="0" w:color="auto"/>
                        <w:right w:val="none" w:sz="0" w:space="0" w:color="auto"/>
                      </w:divBdr>
                    </w:div>
                    <w:div w:id="1881550159">
                      <w:marLeft w:val="0"/>
                      <w:marRight w:val="0"/>
                      <w:marTop w:val="0"/>
                      <w:marBottom w:val="0"/>
                      <w:divBdr>
                        <w:top w:val="none" w:sz="0" w:space="0" w:color="auto"/>
                        <w:left w:val="none" w:sz="0" w:space="0" w:color="auto"/>
                        <w:bottom w:val="none" w:sz="0" w:space="0" w:color="auto"/>
                        <w:right w:val="none" w:sz="0" w:space="0" w:color="auto"/>
                      </w:divBdr>
                      <w:divsChild>
                        <w:div w:id="1036932859">
                          <w:marLeft w:val="0"/>
                          <w:marRight w:val="0"/>
                          <w:marTop w:val="0"/>
                          <w:marBottom w:val="0"/>
                          <w:divBdr>
                            <w:top w:val="none" w:sz="0" w:space="0" w:color="auto"/>
                            <w:left w:val="none" w:sz="0" w:space="0" w:color="auto"/>
                            <w:bottom w:val="none" w:sz="0" w:space="0" w:color="auto"/>
                            <w:right w:val="none" w:sz="0" w:space="0" w:color="auto"/>
                          </w:divBdr>
                          <w:divsChild>
                            <w:div w:id="872889466">
                              <w:marLeft w:val="0"/>
                              <w:marRight w:val="0"/>
                              <w:marTop w:val="0"/>
                              <w:marBottom w:val="0"/>
                              <w:divBdr>
                                <w:top w:val="none" w:sz="0" w:space="0" w:color="auto"/>
                                <w:left w:val="none" w:sz="0" w:space="0" w:color="auto"/>
                                <w:bottom w:val="none" w:sz="0" w:space="0" w:color="auto"/>
                                <w:right w:val="none" w:sz="0" w:space="0" w:color="auto"/>
                              </w:divBdr>
                              <w:divsChild>
                                <w:div w:id="18162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aostat/e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evgisarac/temperature-change/download?datasetVersionNumber=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ata.giss.nasa.gov/gistemp/" TargetMode="External"/><Relationship Id="rId4" Type="http://schemas.openxmlformats.org/officeDocument/2006/relationships/webSettings" Target="webSettings.xml"/><Relationship Id="rId9" Type="http://schemas.openxmlformats.org/officeDocument/2006/relationships/hyperlink" Target="http://www.fao.org/geonetwork?uuid=f7e7adb0-88fd-11da-a88f-000d939bc5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White</dc:creator>
  <cp:keywords/>
  <dc:description/>
  <cp:lastModifiedBy>Dave White</cp:lastModifiedBy>
  <cp:revision>1</cp:revision>
  <dcterms:created xsi:type="dcterms:W3CDTF">2023-01-15T21:19:00Z</dcterms:created>
  <dcterms:modified xsi:type="dcterms:W3CDTF">2023-01-15T21:20:00Z</dcterms:modified>
</cp:coreProperties>
</file>