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52"/>
          <w:szCs w:val="52"/>
        </w:rPr>
        <w:t xml:space="preserve">StitchMatch</w:t>
      </w:r>
    </w:p>
    <w:p>
      <w:pPr>
        <w:spacing w:after="40"/>
        <w:jc w:val="center"/>
      </w:pPr>
      <w:r>
        <w:rPr>
          <w:b/>
          <w:bCs/>
          <w:color w:val="0F6B5C"/>
          <w:sz w:val="28"/>
          <w:szCs w:val="28"/>
        </w:rPr>
        <w:t xml:space="preserve">Customer – Tailor Portal with AI-Powered Body Measurement</w:t>
      </w:r>
    </w:p>
    <w:p>
      <w:pPr>
        <w:spacing w:after="300"/>
        <w:jc w:val="center"/>
      </w:pPr>
      <w:r>
        <w:rPr>
          <w:i/>
          <w:iCs/>
          <w:color w:val="595959"/>
          <w:sz w:val="22"/>
          <w:szCs w:val="22"/>
        </w:rPr>
        <w:t xml:space="preserve">Requirements Analysis — v1.0</w:t>
      </w:r>
    </w:p>
    <w:p>
      <w:pPr>
        <w:pStyle w:val="Heading1"/>
        <w:spacing w:after="160" w:before="360"/>
      </w:pPr>
      <w:r>
        <w:t xml:space="preserve">1. System Overview</w:t>
      </w:r>
    </w:p>
    <w:p>
      <w:pPr>
        <w:pStyle w:val="Heading2"/>
        <w:spacing w:after="120" w:before="280"/>
      </w:pPr>
      <w:r>
        <w:t xml:space="preserve">1.1 Introduction</w:t>
      </w:r>
    </w:p>
    <w:p>
      <w:pPr>
        <w:spacing w:after="120"/>
      </w:pPr>
      <w:r>
        <w:t xml:space="preserve">StitchMatch is a web and mobile platform that connects customers who want custom-made garments with independent or shop-based tailors. A customer browses tailor profiles, requests a service, and negotiates terms directly with the tailor they choose. Once both sides agree, the platform's differentiator activates: instead of the tailor guessing measurements or scheduling an in-person visit, the Tailor unlocks a hand-off to an integrated third-party AI measurement service. The customer takes a short set of guided photos through that third-party's interface, the AI computes a full body measurement profile, and the result flows back into StitchMatch attached to that specific Tailor engagement — ready for the Tailor to start cutting.</w:t>
      </w:r>
    </w:p>
    <w:p>
      <w:pPr>
        <w:spacing w:after="120"/>
      </w:pPr>
      <w:r>
        <w:t xml:space="preserve">The core design constraint driving this specification is that the AI measurement step is gated by mutual agreement first: no photo is captured and no third party is contacted until the Customer and Tailor have both confirmed the engagement and the Tailor has explicitly granted permission to proceed.</w:t>
      </w:r>
    </w:p>
    <w:p>
      <w:pPr>
        <w:pStyle w:val="Heading2"/>
        <w:spacing w:after="120" w:before="280"/>
      </w:pPr>
      <w:r>
        <w:t xml:space="preserve">1.2 Actors</w:t>
      </w:r>
    </w:p>
    <w:p>
      <w:pPr>
        <w:pStyle w:val="ListParagraph"/>
        <w:numPr>
          <w:ilvl w:val="0"/>
          <w:numId w:val="2"/>
        </w:numPr>
        <w:spacing w:after="60"/>
      </w:pPr>
      <w:r>
        <w:rPr>
          <w:b/>
          <w:bCs/>
        </w:rPr>
        <w:t xml:space="preserve">Customer</w:t>
      </w:r>
      <w:r>
        <w:t xml:space="preserve"> — registers, browses tailors, requests garments, completes the AI photo capture, pays, and receives the finished garment.</w:t>
      </w:r>
    </w:p>
    <w:p>
      <w:pPr>
        <w:pStyle w:val="ListParagraph"/>
        <w:numPr>
          <w:ilvl w:val="0"/>
          <w:numId w:val="2"/>
        </w:numPr>
        <w:spacing w:after="60"/>
      </w:pPr>
      <w:r>
        <w:rPr>
          <w:b/>
          <w:bCs/>
        </w:rPr>
        <w:t xml:space="preserve">Tailor</w:t>
      </w:r>
      <w:r>
        <w:t xml:space="preserve"> — registers and gets verified, publishes services and portfolio, negotiates and accepts requests, gates and reviews AI measurement results, produces and delivers garments.</w:t>
      </w:r>
    </w:p>
    <w:p>
      <w:pPr>
        <w:pStyle w:val="ListParagraph"/>
        <w:numPr>
          <w:ilvl w:val="0"/>
          <w:numId w:val="2"/>
        </w:numPr>
        <w:spacing w:after="60"/>
      </w:pPr>
      <w:r>
        <w:rPr>
          <w:b/>
          <w:bCs/>
        </w:rPr>
        <w:t xml:space="preserve">Platform Admin</w:t>
      </w:r>
      <w:r>
        <w:t xml:space="preserve"> — verifies tailors, moderates content, configures the AI provider integration, resolves disputes.</w:t>
      </w:r>
    </w:p>
    <w:p>
      <w:pPr>
        <w:pStyle w:val="ListParagraph"/>
        <w:numPr>
          <w:ilvl w:val="0"/>
          <w:numId w:val="2"/>
        </w:numPr>
        <w:spacing w:after="60"/>
      </w:pPr>
      <w:r>
        <w:rPr>
          <w:b/>
          <w:bCs/>
        </w:rPr>
        <w:t xml:space="preserve">Integrated AI Measurement Provider</w:t>
      </w:r>
      <w:r>
        <w:t xml:space="preserve"> — an external, third-party service StitchMatch redirects to. It is not a login role inside StitchMatch; it is an integration partner reached via a secure, scoped, single-use session.</w:t>
      </w:r>
    </w:p>
    <w:p>
      <w:pPr>
        <w:pStyle w:val="Heading2"/>
        <w:spacing w:after="120" w:before="280"/>
      </w:pPr>
      <w:r>
        <w:t xml:space="preserve">1.3 Core Philosophy</w:t>
      </w:r>
    </w:p>
    <w:p>
      <w:pPr>
        <w:pStyle w:val="ListParagraph"/>
        <w:numPr>
          <w:ilvl w:val="0"/>
          <w:numId w:val="2"/>
        </w:numPr>
        <w:spacing w:after="60"/>
      </w:pPr>
      <w:r>
        <w:rPr>
          <w:b/>
          <w:bCs/>
        </w:rPr>
        <w:t xml:space="preserve">Consent and agreement before biometrics:</w:t>
      </w:r>
      <w:r>
        <w:t xml:space="preserve"> photos and derived body measurements are sensitive personal data — nothing is sent to the AI provider until an explicit agreement exists and the Tailor has actively unlocked that step.</w:t>
      </w:r>
    </w:p>
    <w:p>
      <w:pPr>
        <w:pStyle w:val="ListParagraph"/>
        <w:numPr>
          <w:ilvl w:val="0"/>
          <w:numId w:val="2"/>
        </w:numPr>
        <w:spacing w:after="60"/>
      </w:pPr>
      <w:r>
        <w:rPr>
          <w:b/>
          <w:bCs/>
        </w:rPr>
        <w:t xml:space="preserve">Tailor as gatekeeper:</w:t>
      </w:r>
      <w:r>
        <w:t xml:space="preserve"> the redirect to the AI provider is a permission the Tailor grants per engagement, not a global toggle — this mirrors the requirement that the tailor decides when a customer is ready to be measured.</w:t>
      </w:r>
    </w:p>
    <w:p>
      <w:pPr>
        <w:pStyle w:val="ListParagraph"/>
        <w:numPr>
          <w:ilvl w:val="0"/>
          <w:numId w:val="2"/>
        </w:numPr>
        <w:spacing w:after="60"/>
      </w:pPr>
      <w:r>
        <w:rPr>
          <w:b/>
          <w:bCs/>
        </w:rPr>
        <w:t xml:space="preserve">Provider independence:</w:t>
      </w:r>
      <w:r>
        <w:t xml:space="preserve"> the AI measurement vendor sits behind an internal interface so StitchMatch can switch or add providers without reshaping the rest of the platform.</w:t>
      </w:r>
    </w:p>
    <w:p>
      <w:pPr>
        <w:pStyle w:val="ListParagraph"/>
        <w:numPr>
          <w:ilvl w:val="0"/>
          <w:numId w:val="2"/>
        </w:numPr>
        <w:spacing w:after="60"/>
      </w:pPr>
      <w:r>
        <w:rPr>
          <w:b/>
          <w:bCs/>
        </w:rPr>
        <w:t xml:space="preserve">Data minimization:</w:t>
      </w:r>
      <w:r>
        <w:t xml:space="preserve"> StitchMatch stores the structured measurement output; raw photos stay with the AI provider unless the customer explicitly opts to save them for reuse on a future order.</w:t>
      </w:r>
    </w:p>
    <w:p>
      <w:pPr>
        <w:pStyle w:val="ListParagraph"/>
        <w:numPr>
          <w:ilvl w:val="0"/>
          <w:numId w:val="2"/>
        </w:numPr>
        <w:spacing w:after="60"/>
      </w:pPr>
      <w:r>
        <w:rPr>
          <w:b/>
          <w:bCs/>
        </w:rPr>
        <w:t xml:space="preserve">Trust and accountability:</w:t>
      </w:r>
      <w:r>
        <w:t xml:space="preserve"> verified tailors, mutual ratings, transparent agreement records, and a full audit trail of who accessed measurement data and when.</w:t>
      </w:r>
    </w:p>
    <w:p>
      <w:pPr>
        <w:pStyle w:val="Heading2"/>
        <w:spacing w:after="120" w:before="280"/>
      </w:pPr>
      <w:r>
        <w:t xml:space="preserve">1.4 End-to-End Workflow</w:t>
      </w:r>
    </w:p>
    <w:p>
      <w:pPr>
        <w:spacing w:after="120"/>
      </w:pPr>
      <w:r>
        <w:t xml:space="preserve">This is the primary flow the platform is built around:</w:t>
      </w:r>
    </w:p>
    <w:p>
      <w:pPr>
        <w:pStyle w:val="ListParagraph"/>
        <w:numPr>
          <w:ilvl w:val="0"/>
          <w:numId w:val="3"/>
        </w:numPr>
        <w:spacing w:after="80"/>
      </w:pPr>
      <w:r>
        <w:t xml:space="preserve">Customer creates an account and completes their profile.</w:t>
      </w:r>
    </w:p>
    <w:p>
      <w:pPr>
        <w:pStyle w:val="ListParagraph"/>
        <w:numPr>
          <w:ilvl w:val="0"/>
          <w:numId w:val="3"/>
        </w:numPr>
        <w:spacing w:after="80"/>
      </w:pPr>
      <w:r>
        <w:t xml:space="preserve">Customer searches and browses Tailor profiles — specialty, portfolio, ratings, pricing, location.</w:t>
      </w:r>
    </w:p>
    <w:p>
      <w:pPr>
        <w:pStyle w:val="ListParagraph"/>
        <w:numPr>
          <w:ilvl w:val="0"/>
          <w:numId w:val="3"/>
        </w:numPr>
        <w:spacing w:after="80"/>
      </w:pPr>
      <w:r>
        <w:t xml:space="preserve">Customer selects a Tailor and sends a Service Request: garment type, description, reference images, budget, timeline.</w:t>
      </w:r>
    </w:p>
    <w:p>
      <w:pPr>
        <w:pStyle w:val="ListParagraph"/>
        <w:numPr>
          <w:ilvl w:val="0"/>
          <w:numId w:val="3"/>
        </w:numPr>
        <w:spacing w:after="80"/>
      </w:pPr>
      <w:r>
        <w:t xml:space="preserve">Tailor reviews the request and responds — accept as-is, decline, or counter-propose price/timeline. Messages go back and forth until both sides reach an Agreement.</w:t>
      </w:r>
    </w:p>
    <w:p>
      <w:pPr>
        <w:pStyle w:val="ListParagraph"/>
        <w:numPr>
          <w:ilvl w:val="0"/>
          <w:numId w:val="3"/>
        </w:numPr>
        <w:spacing w:after="80"/>
      </w:pPr>
      <w:r>
        <w:t xml:space="preserve">Both Customer and Tailor confirm the Agreement (dual confirmation, timestamped, immutable record).</w:t>
      </w:r>
    </w:p>
    <w:p>
      <w:pPr>
        <w:pStyle w:val="ListParagraph"/>
        <w:numPr>
          <w:ilvl w:val="0"/>
          <w:numId w:val="3"/>
        </w:numPr>
        <w:spacing w:after="80"/>
      </w:pPr>
      <w:r>
        <w:rPr>
          <w:b/>
          <w:bCs/>
        </w:rPr>
        <w:t xml:space="preserve">Only after Agreement is confirmed</w:t>
      </w:r>
      <w:r>
        <w:t xml:space="preserve">, the Tailor grants Permission to unlock AI Measurement for that specific engagement. Nothing before this point touches the AI provider.</w:t>
      </w:r>
    </w:p>
    <w:p>
      <w:pPr>
        <w:pStyle w:val="ListParagraph"/>
        <w:numPr>
          <w:ilvl w:val="0"/>
          <w:numId w:val="3"/>
        </w:numPr>
        <w:spacing w:after="80"/>
      </w:pPr>
      <w:r>
        <w:t xml:space="preserve">StitchMatch creates a secure, single-use, time-limited redirect session scoped to this Customer + this Tailor engagement, and sends the Customer to the integrated third-party AI Measurement Service.</w:t>
      </w:r>
    </w:p>
    <w:p>
      <w:pPr>
        <w:pStyle w:val="ListParagraph"/>
        <w:numPr>
          <w:ilvl w:val="0"/>
          <w:numId w:val="3"/>
        </w:numPr>
        <w:spacing w:after="80"/>
      </w:pPr>
      <w:r>
        <w:t xml:space="preserve">Customer completes the third party's guided photo capture (typically front/side/back with a calibration reference such as height input or a reference card).</w:t>
      </w:r>
    </w:p>
    <w:p>
      <w:pPr>
        <w:pStyle w:val="ListParagraph"/>
        <w:numPr>
          <w:ilvl w:val="0"/>
          <w:numId w:val="3"/>
        </w:numPr>
        <w:spacing w:after="80"/>
      </w:pPr>
      <w:r>
        <w:t xml:space="preserve">The AI provider processes the photos and computes a full body measurement profile.</w:t>
      </w:r>
    </w:p>
    <w:p>
      <w:pPr>
        <w:pStyle w:val="ListParagraph"/>
        <w:numPr>
          <w:ilvl w:val="0"/>
          <w:numId w:val="3"/>
        </w:numPr>
        <w:spacing w:after="80"/>
      </w:pPr>
      <w:r>
        <w:t xml:space="preserve">The measurement result is pushed back to StitchMatch via a signed callback/webhook and stored as a Measurement Profile linked to the engagement — the Tailor is notified immediately.</w:t>
      </w:r>
    </w:p>
    <w:p>
      <w:pPr>
        <w:pStyle w:val="ListParagraph"/>
        <w:numPr>
          <w:ilvl w:val="0"/>
          <w:numId w:val="3"/>
        </w:numPr>
        <w:spacing w:after="80"/>
      </w:pPr>
      <w:r>
        <w:t xml:space="preserve">Tailor reviews the AI-generated measurements: accept as-is, request a retake, or manually override specific values before production starts.</w:t>
      </w:r>
    </w:p>
    <w:p>
      <w:pPr>
        <w:pStyle w:val="ListParagraph"/>
        <w:numPr>
          <w:ilvl w:val="0"/>
          <w:numId w:val="3"/>
        </w:numPr>
        <w:spacing w:after="80"/>
      </w:pPr>
      <w:r>
        <w:t xml:space="preserve">Tailor proceeds to production against the confirmed measurement profile; the Order status progresses through cutting → sewing → fitting → ready → delivered.</w:t>
      </w:r>
    </w:p>
    <w:p>
      <w:pPr>
        <w:pStyle w:val="ListParagraph"/>
        <w:numPr>
          <w:ilvl w:val="0"/>
          <w:numId w:val="3"/>
        </w:numPr>
        <w:spacing w:after="80"/>
      </w:pPr>
      <w:r>
        <w:t xml:space="preserve">Payment milestones are released as the order progresses; Customer leaves a review after delivery.</w:t>
      </w:r>
    </w:p>
    <w:p>
      <w:pPr>
        <w:pStyle w:val="Heading1"/>
        <w:spacing w:after="160" w:before="360"/>
      </w:pPr>
      <w:r>
        <w:t xml:space="preserve">2. Roles &amp; Permissions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Role</w:t>
            </w:r>
          </w:p>
        </w:tc>
        <w:tc>
          <w:tcPr>
            <w:tcW w:type="dxa" w:w="7000"/>
            <w:shd w:fill="1F3864" w:val="clear"/>
            <w:tcMar>
              <w:top w:type="dxa" w:w="80"/>
              <w:left w:type="dxa" w:w="100"/>
              <w:bottom w:type="dxa" w:w="80"/>
              <w:right w:type="dxa" w:w="100"/>
            </w:tcMar>
          </w:tcPr>
          <w:p>
            <w:r>
              <w:rPr>
                <w:b/>
                <w:bCs/>
                <w:color w:val="FFFFFF"/>
                <w:sz w:val="20"/>
                <w:szCs w:val="20"/>
              </w:rPr>
              <w:t xml:space="preserve">Description &amp; Authority</w:t>
            </w:r>
          </w:p>
        </w:tc>
      </w:tr>
      <w:tr>
        <w:tc>
          <w:tcPr>
            <w:tcW w:type="dxa" w:w="2400"/>
            <w:tcMar>
              <w:top w:type="dxa" w:w="80"/>
              <w:left w:type="dxa" w:w="100"/>
              <w:bottom w:type="dxa" w:w="80"/>
              <w:right w:type="dxa" w:w="100"/>
            </w:tcMar>
          </w:tcPr>
          <w:p>
            <w:r>
              <w:rPr>
                <w:b w:val="false"/>
                <w:bCs w:val="false"/>
                <w:color w:val="000000"/>
                <w:sz w:val="20"/>
                <w:szCs w:val="20"/>
              </w:rPr>
              <w:t xml:space="preserve">Customer</w:t>
            </w:r>
          </w:p>
        </w:tc>
        <w:tc>
          <w:tcPr>
            <w:tcW w:type="dxa" w:w="7000"/>
            <w:tcMar>
              <w:top w:type="dxa" w:w="80"/>
              <w:left w:type="dxa" w:w="100"/>
              <w:bottom w:type="dxa" w:w="80"/>
              <w:right w:type="dxa" w:w="100"/>
            </w:tcMar>
          </w:tcPr>
          <w:p>
            <w:r>
              <w:rPr>
                <w:b w:val="false"/>
                <w:bCs w:val="false"/>
                <w:color w:val="000000"/>
                <w:sz w:val="20"/>
                <w:szCs w:val="20"/>
              </w:rPr>
              <w:t xml:space="preserve">Manages own profile and measurement history, browses/searches Tailors, sends requests, negotiates and confirms Agreements, performs the AI photo capture when unlocked, tracks Orders, pays, messages the assigned Tailor, leaves reviews.</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Tailor</w:t>
            </w:r>
          </w:p>
        </w:tc>
        <w:tc>
          <w:tcPr>
            <w:tcW w:type="dxa" w:w="7000"/>
            <w:shd w:fill="F2F2F2" w:val="clear"/>
            <w:tcMar>
              <w:top w:type="dxa" w:w="80"/>
              <w:left w:type="dxa" w:w="100"/>
              <w:bottom w:type="dxa" w:w="80"/>
              <w:right w:type="dxa" w:w="100"/>
            </w:tcMar>
          </w:tcPr>
          <w:p>
            <w:r>
              <w:rPr>
                <w:b w:val="false"/>
                <w:bCs w:val="false"/>
                <w:color w:val="000000"/>
                <w:sz w:val="20"/>
                <w:szCs w:val="20"/>
              </w:rPr>
              <w:t xml:space="preserve">Manages shop/personal profile, portfolio, and service catalog; responds to and negotiates requests; confirms Agreements; is the sole party who can unlock the AI Measurement step for an engagement; reviews/overrides measurement results; manages production and delivery status; responds to reviews.</w:t>
            </w:r>
          </w:p>
        </w:tc>
      </w:tr>
      <w:tr>
        <w:tc>
          <w:tcPr>
            <w:tcW w:type="dxa" w:w="2400"/>
            <w:tcMar>
              <w:top w:type="dxa" w:w="80"/>
              <w:left w:type="dxa" w:w="100"/>
              <w:bottom w:type="dxa" w:w="80"/>
              <w:right w:type="dxa" w:w="100"/>
            </w:tcMar>
          </w:tcPr>
          <w:p>
            <w:r>
              <w:rPr>
                <w:b w:val="false"/>
                <w:bCs w:val="false"/>
                <w:color w:val="000000"/>
                <w:sz w:val="20"/>
                <w:szCs w:val="20"/>
              </w:rPr>
              <w:t xml:space="preserve">Platform Admin</w:t>
            </w:r>
          </w:p>
        </w:tc>
        <w:tc>
          <w:tcPr>
            <w:tcW w:type="dxa" w:w="7000"/>
            <w:tcMar>
              <w:top w:type="dxa" w:w="80"/>
              <w:left w:type="dxa" w:w="100"/>
              <w:bottom w:type="dxa" w:w="80"/>
              <w:right w:type="dxa" w:w="100"/>
            </w:tcMar>
          </w:tcPr>
          <w:p>
            <w:r>
              <w:rPr>
                <w:b w:val="false"/>
                <w:bCs w:val="false"/>
                <w:color w:val="000000"/>
                <w:sz w:val="20"/>
                <w:szCs w:val="20"/>
              </w:rPr>
              <w:t xml:space="preserve">Verifies Tailor identity/credentials (KYC), moderates portfolio content and reviews, configures and monitors the AI provider integration (API keys, health, fallback), mediates disputes, has read access to audit logs.</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AI Measurement Provider (external)</w:t>
            </w:r>
          </w:p>
        </w:tc>
        <w:tc>
          <w:tcPr>
            <w:tcW w:type="dxa" w:w="7000"/>
            <w:shd w:fill="F2F2F2" w:val="clear"/>
            <w:tcMar>
              <w:top w:type="dxa" w:w="80"/>
              <w:left w:type="dxa" w:w="100"/>
              <w:bottom w:type="dxa" w:w="80"/>
              <w:right w:type="dxa" w:w="100"/>
            </w:tcMar>
          </w:tcPr>
          <w:p>
            <w:r>
              <w:rPr>
                <w:b w:val="false"/>
                <w:bCs w:val="false"/>
                <w:color w:val="000000"/>
                <w:sz w:val="20"/>
                <w:szCs w:val="20"/>
              </w:rPr>
              <w:t xml:space="preserve">Receives a scoped, time-limited session; captures/processes photos on its own infrastructure; returns a structured measurement payload via signed webhook. Has no StitchMatch login and no visibility beyond the single session it was granted.</w:t>
            </w:r>
          </w:p>
        </w:tc>
      </w:tr>
    </w:tbl>
    <w:p>
      <w:pPr>
        <w:spacing w:after="160"/>
      </w:pPr>
      <w:r>
        <w:rPr>
          <w:i/>
          <w:iCs/>
          <w:color w:val="595959"/>
          <w:sz w:val="20"/>
          <w:szCs w:val="20"/>
        </w:rPr>
        <w:t xml:space="preserve">Every fixed-choice field below (Role, RequestStatus, AgreementStatus, MeasurementSessionStatus, OrderStatus, PaymentStatus, ConsentType, etc.) is implemented as a database-level enum, never free text.</w:t>
      </w:r>
    </w:p>
    <w:p>
      <w:pPr>
        <w:pStyle w:val="Heading1"/>
        <w:spacing w:after="160" w:before="360"/>
      </w:pPr>
      <w:r>
        <w:t xml:space="preserve">3. Functional Requirements</w:t>
      </w:r>
    </w:p>
    <w:p>
      <w:pPr>
        <w:pStyle w:val="Heading2"/>
        <w:spacing w:after="120" w:before="280"/>
      </w:pPr>
      <w:r>
        <w:t xml:space="preserve">3.1 Customer Management</w:t>
      </w:r>
    </w:p>
    <w:p>
      <w:pPr>
        <w:pStyle w:val="ListParagraph"/>
        <w:numPr>
          <w:ilvl w:val="0"/>
          <w:numId w:val="2"/>
        </w:numPr>
        <w:spacing w:after="60"/>
      </w:pPr>
      <w:r>
        <w:t xml:space="preserve">Registration via email/phone with verification; social login optional.</w:t>
      </w:r>
    </w:p>
    <w:p>
      <w:pPr>
        <w:pStyle w:val="ListParagraph"/>
        <w:numPr>
          <w:ilvl w:val="0"/>
          <w:numId w:val="2"/>
        </w:numPr>
        <w:spacing w:after="60"/>
      </w:pPr>
      <w:r>
        <w:t xml:space="preserve">Profile: name, contact details, shipping address, preferred sizing units (metric/imperial), style preferences.</w:t>
      </w:r>
    </w:p>
    <w:p>
      <w:pPr>
        <w:pStyle w:val="ListParagraph"/>
        <w:numPr>
          <w:ilvl w:val="0"/>
          <w:numId w:val="2"/>
        </w:numPr>
        <w:spacing w:after="60"/>
      </w:pPr>
      <w:r>
        <w:t xml:space="preserve">Measurement history: every completed Measurement Profile is saved to the Customer's account (with consent) and can be reused for a future order, subject to the Tailor's own agreement gate for that new engagement.</w:t>
      </w:r>
    </w:p>
    <w:p>
      <w:pPr>
        <w:pStyle w:val="ListParagraph"/>
        <w:numPr>
          <w:ilvl w:val="0"/>
          <w:numId w:val="2"/>
        </w:numPr>
        <w:spacing w:after="60"/>
      </w:pPr>
      <w:r>
        <w:t xml:space="preserve">Saved payment methods and order history.</w:t>
      </w:r>
    </w:p>
    <w:p>
      <w:pPr>
        <w:pStyle w:val="Heading2"/>
        <w:spacing w:after="120" w:before="280"/>
      </w:pPr>
      <w:r>
        <w:t xml:space="preserve">3.2 Tailor Management</w:t>
      </w:r>
    </w:p>
    <w:p>
      <w:pPr>
        <w:pStyle w:val="ListParagraph"/>
        <w:numPr>
          <w:ilvl w:val="0"/>
          <w:numId w:val="2"/>
        </w:numPr>
        <w:spacing w:after="60"/>
      </w:pPr>
      <w:r>
        <w:t xml:space="preserve">Registration with business/professional details; identity and credential verification (KYC) by Admin before the profile goes live.</w:t>
      </w:r>
    </w:p>
    <w:p>
      <w:pPr>
        <w:pStyle w:val="ListParagraph"/>
        <w:numPr>
          <w:ilvl w:val="0"/>
          <w:numId w:val="2"/>
        </w:numPr>
        <w:spacing w:after="60"/>
      </w:pPr>
      <w:r>
        <w:t xml:space="preserve">Public profile: bio, specialties (e.g., bridal, suits, traditional wear), years of experience, location/service radius, portfolio gallery.</w:t>
      </w:r>
    </w:p>
    <w:p>
      <w:pPr>
        <w:pStyle w:val="ListParagraph"/>
        <w:numPr>
          <w:ilvl w:val="0"/>
          <w:numId w:val="2"/>
        </w:numPr>
        <w:spacing w:after="60"/>
      </w:pPr>
      <w:r>
        <w:t xml:space="preserve">Service catalog: garment types offered, base pricing, estimated turnaround time, customization options.</w:t>
      </w:r>
    </w:p>
    <w:p>
      <w:pPr>
        <w:pStyle w:val="ListParagraph"/>
        <w:numPr>
          <w:ilvl w:val="0"/>
          <w:numId w:val="2"/>
        </w:numPr>
        <w:spacing w:after="60"/>
      </w:pPr>
      <w:r>
        <w:t xml:space="preserve">Availability calendar and current workload indicator.</w:t>
      </w:r>
    </w:p>
    <w:p>
      <w:pPr>
        <w:pStyle w:val="ListParagraph"/>
        <w:numPr>
          <w:ilvl w:val="0"/>
          <w:numId w:val="2"/>
        </w:numPr>
        <w:spacing w:after="60"/>
      </w:pPr>
      <w:r>
        <w:t xml:space="preserve">Rating and review aggregate visible on the public profile.</w:t>
      </w:r>
    </w:p>
    <w:p>
      <w:pPr>
        <w:pStyle w:val="Heading2"/>
        <w:spacing w:after="120" w:before="280"/>
      </w:pPr>
      <w:r>
        <w:t xml:space="preserve">3.3 Discovery &amp; Matching</w:t>
      </w:r>
    </w:p>
    <w:p>
      <w:pPr>
        <w:pStyle w:val="ListParagraph"/>
        <w:numPr>
          <w:ilvl w:val="0"/>
          <w:numId w:val="2"/>
        </w:numPr>
        <w:spacing w:after="60"/>
      </w:pPr>
      <w:r>
        <w:t xml:space="preserve">Search and filter Tailors by specialty, location, price range, rating, and turnaround time.</w:t>
      </w:r>
    </w:p>
    <w:p>
      <w:pPr>
        <w:pStyle w:val="ListParagraph"/>
        <w:numPr>
          <w:ilvl w:val="0"/>
          <w:numId w:val="2"/>
        </w:numPr>
        <w:spacing w:after="60"/>
      </w:pPr>
      <w:r>
        <w:t xml:space="preserve">Tailor detail page with portfolio, reviews, and a direct “Request Service” action.</w:t>
      </w:r>
    </w:p>
    <w:p>
      <w:pPr>
        <w:pStyle w:val="ListParagraph"/>
        <w:numPr>
          <w:ilvl w:val="0"/>
          <w:numId w:val="2"/>
        </w:numPr>
        <w:spacing w:after="60"/>
      </w:pPr>
      <w:r>
        <w:t xml:space="preserve">Optional open-bid mode: Customer posts a request visible to multiple Tailors who can submit competing proposals.</w:t>
      </w:r>
    </w:p>
    <w:p>
      <w:pPr>
        <w:pStyle w:val="Heading2"/>
        <w:spacing w:after="120" w:before="280"/>
      </w:pPr>
      <w:r>
        <w:t xml:space="preserve">3.4 Requests &amp; Agreement Workflow</w:t>
      </w:r>
    </w:p>
    <w:p>
      <w:pPr>
        <w:pStyle w:val="ListParagraph"/>
        <w:numPr>
          <w:ilvl w:val="0"/>
          <w:numId w:val="2"/>
        </w:numPr>
        <w:spacing w:after="60"/>
      </w:pPr>
      <w:r>
        <w:t xml:space="preserve">Customer submits a Service Request: garment type, description, reference photos, target budget, desired completion date.</w:t>
      </w:r>
    </w:p>
    <w:p>
      <w:pPr>
        <w:pStyle w:val="ListParagraph"/>
        <w:numPr>
          <w:ilvl w:val="0"/>
          <w:numId w:val="2"/>
        </w:numPr>
        <w:spacing w:after="60"/>
      </w:pPr>
      <w:r>
        <w:t xml:space="preserve">Tailor responds: Accept, Decline, or Counter-Propose (adjusted price/timeline/scope).</w:t>
      </w:r>
    </w:p>
    <w:p>
      <w:pPr>
        <w:pStyle w:val="ListParagraph"/>
        <w:numPr>
          <w:ilvl w:val="0"/>
          <w:numId w:val="2"/>
        </w:numPr>
        <w:spacing w:after="60"/>
      </w:pPr>
      <w:r>
        <w:t xml:space="preserve">Threaded negotiation messages attached to the Request until consensus.</w:t>
      </w:r>
    </w:p>
    <w:p>
      <w:pPr>
        <w:pStyle w:val="ListParagraph"/>
        <w:numPr>
          <w:ilvl w:val="0"/>
          <w:numId w:val="2"/>
        </w:numPr>
        <w:spacing w:after="60"/>
      </w:pPr>
      <w:r>
        <w:rPr>
          <w:b/>
          <w:bCs/>
        </w:rPr>
        <w:t xml:space="preserve">Dual confirmation required to finalize an Agreement</w:t>
      </w:r>
      <w:r>
        <w:t xml:space="preserve"> — both Customer and Tailor must explicitly confirm; the Agreement record is timestamped and immutable once confirmed (amendments create a new versioned Agreement, not a silent edit).</w:t>
      </w:r>
    </w:p>
    <w:p>
      <w:pPr>
        <w:pStyle w:val="ListParagraph"/>
        <w:numPr>
          <w:ilvl w:val="0"/>
          <w:numId w:val="2"/>
        </w:numPr>
        <w:spacing w:after="60"/>
      </w:pPr>
      <w:r>
        <w:t xml:space="preserve">Cancellation policy and terms captured as part of the Agreement (e.g., deposit forfeiture rules).</w:t>
      </w:r>
    </w:p>
    <w:p>
      <w:pPr>
        <w:spacing w:after="160"/>
      </w:pPr>
      <w:r>
        <w:rPr>
          <w:i/>
          <w:iCs/>
          <w:color w:val="595959"/>
          <w:sz w:val="20"/>
          <w:szCs w:val="20"/>
        </w:rPr>
        <w:t xml:space="preserve">Roles: Customer and Tailor both act on their own Requests/Agreements. Admin has view-only access for dispute handling.</w:t>
      </w:r>
    </w:p>
    <w:p>
      <w:pPr>
        <w:pStyle w:val="Heading2"/>
        <w:spacing w:after="120" w:before="280"/>
      </w:pPr>
      <w:r>
        <w:t xml:space="preserve">3.5 AI-Powered Measurement Integration</w:t>
      </w:r>
    </w:p>
    <w:p>
      <w:pPr>
        <w:spacing w:after="120"/>
      </w:pPr>
      <w:r>
        <w:t xml:space="preserve">This module implements the photo-capture and measurement hand-off described in §1.4, steps 6–11. It is the platform's core differentiator and is treated as a distinct, security-sensitive subsystem.</w:t>
      </w:r>
    </w:p>
    <w:p>
      <w:pPr>
        <w:pStyle w:val="Heading3"/>
        <w:spacing w:after="100" w:before="200"/>
      </w:pPr>
      <w:r>
        <w:t xml:space="preserve">3.5.1 Permission Gate</w:t>
      </w:r>
    </w:p>
    <w:p>
      <w:pPr>
        <w:pStyle w:val="ListParagraph"/>
        <w:numPr>
          <w:ilvl w:val="0"/>
          <w:numId w:val="2"/>
        </w:numPr>
        <w:spacing w:after="60"/>
      </w:pPr>
      <w:r>
        <w:t xml:space="preserve">The AI Measurement action is invisible/disabled on an engagement until its Agreement status is Confirmed.</w:t>
      </w:r>
    </w:p>
    <w:p>
      <w:pPr>
        <w:pStyle w:val="ListParagraph"/>
        <w:numPr>
          <w:ilvl w:val="0"/>
          <w:numId w:val="2"/>
        </w:numPr>
        <w:spacing w:after="60"/>
      </w:pPr>
      <w:r>
        <w:t xml:space="preserve">Once Confirmed, only the </w:t>
      </w:r>
      <w:r>
        <w:rPr>
          <w:b/>
          <w:bCs/>
        </w:rPr>
        <w:t xml:space="preserve">Tailor</w:t>
      </w:r>
      <w:r>
        <w:t xml:space="preserve"> sees and can trigger “Unlock AI Measurement” for that engagement — this is an explicit, logged action, not automatic.</w:t>
      </w:r>
    </w:p>
    <w:p>
      <w:pPr>
        <w:pStyle w:val="ListParagraph"/>
        <w:numPr>
          <w:ilvl w:val="0"/>
          <w:numId w:val="2"/>
        </w:numPr>
        <w:spacing w:after="60"/>
      </w:pPr>
      <w:r>
        <w:t xml:space="preserve">Unlocking creates an AIMeasurementSession record scoped to exactly one Customer + one Tailor + one Agreement; it cannot be reused for a different engagement.</w:t>
      </w:r>
    </w:p>
    <w:p>
      <w:pPr>
        <w:pStyle w:val="Heading3"/>
        <w:spacing w:after="100" w:before="200"/>
      </w:pPr>
      <w:r>
        <w:t xml:space="preserve">3.5.2 Consent &amp; Redirect</w:t>
      </w:r>
    </w:p>
    <w:p>
      <w:pPr>
        <w:pStyle w:val="ListParagraph"/>
        <w:numPr>
          <w:ilvl w:val="0"/>
          <w:numId w:val="2"/>
        </w:numPr>
        <w:spacing w:after="60"/>
      </w:pPr>
      <w:r>
        <w:t xml:space="preserve">Before redirecting, the Customer is shown a consent screen explaining what will be captured, which third party will process it, and how the result will be used and stored; consent is recorded with a timestamp.</w:t>
      </w:r>
    </w:p>
    <w:p>
      <w:pPr>
        <w:pStyle w:val="ListParagraph"/>
        <w:numPr>
          <w:ilvl w:val="0"/>
          <w:numId w:val="2"/>
        </w:numPr>
        <w:spacing w:after="60"/>
      </w:pPr>
      <w:r>
        <w:t xml:space="preserve">StitchMatch generates a short-lived, single-use, cryptographically signed session token and redirects the Customer to the integrated AI provider's capture flow (in-app browser, deep link, or embedded webview) — no StitchMatch password or account credential is ever shared with the third party.</w:t>
      </w:r>
    </w:p>
    <w:p>
      <w:pPr>
        <w:pStyle w:val="ListParagraph"/>
        <w:numPr>
          <w:ilvl w:val="0"/>
          <w:numId w:val="2"/>
        </w:numPr>
        <w:spacing w:after="60"/>
      </w:pPr>
      <w:r>
        <w:t xml:space="preserve">The session token expires after a configurable window (e.g., 30 minutes) or immediately after first use, whichever comes first.</w:t>
      </w:r>
    </w:p>
    <w:p>
      <w:pPr>
        <w:pStyle w:val="Heading3"/>
        <w:spacing w:after="100" w:before="200"/>
      </w:pPr>
      <w:r>
        <w:t xml:space="preserve">3.5.3 Photo Capture (third-party)</w:t>
      </w:r>
    </w:p>
    <w:p>
      <w:pPr>
        <w:pStyle w:val="ListParagraph"/>
        <w:numPr>
          <w:ilvl w:val="0"/>
          <w:numId w:val="2"/>
        </w:numPr>
        <w:spacing w:after="60"/>
      </w:pPr>
      <w:r>
        <w:t xml:space="preserve">Guided capture (front, side, and optionally back pose) with an on-screen calibration step (e.g., entering height, or holding a reference card) — this occurs entirely within the third-party provider's interface.</w:t>
      </w:r>
    </w:p>
    <w:p>
      <w:pPr>
        <w:pStyle w:val="ListParagraph"/>
        <w:numPr>
          <w:ilvl w:val="0"/>
          <w:numId w:val="2"/>
        </w:numPr>
        <w:spacing w:after="60"/>
      </w:pPr>
      <w:r>
        <w:t xml:space="preserve">StitchMatch does not store the raw photos by default; only the provider's structured output is received back, unless the Customer separately opts in to retain photos for reuse.</w:t>
      </w:r>
    </w:p>
    <w:p>
      <w:pPr>
        <w:pStyle w:val="Heading3"/>
        <w:spacing w:after="100" w:before="200"/>
      </w:pPr>
      <w:r>
        <w:t xml:space="preserve">3.5.4 Measurement Callback &amp; Storage</w:t>
      </w:r>
    </w:p>
    <w:p>
      <w:pPr>
        <w:pStyle w:val="ListParagraph"/>
        <w:numPr>
          <w:ilvl w:val="0"/>
          <w:numId w:val="2"/>
        </w:numPr>
        <w:spacing w:after="60"/>
      </w:pPr>
      <w:r>
        <w:t xml:space="preserve">The AI provider posts the result to a signed StitchMatch webhook endpoint; the signature and session token are verified before any data is accepted (prevents spoofed results).</w:t>
      </w:r>
    </w:p>
    <w:p>
      <w:pPr>
        <w:pStyle w:val="ListParagraph"/>
        <w:numPr>
          <w:ilvl w:val="0"/>
          <w:numId w:val="2"/>
        </w:numPr>
        <w:spacing w:after="60"/>
      </w:pPr>
      <w:r>
        <w:t xml:space="preserve">A successful callback creates a Measurement Profile: full body measurements, a per-field confidence score, the source (AI/Manual/Hybrid), and a link back to the AIMeasurementSession and Agreement.</w:t>
      </w:r>
    </w:p>
    <w:p>
      <w:pPr>
        <w:pStyle w:val="ListParagraph"/>
        <w:numPr>
          <w:ilvl w:val="0"/>
          <w:numId w:val="2"/>
        </w:numPr>
        <w:spacing w:after="60"/>
      </w:pPr>
      <w:r>
        <w:t xml:space="preserve">The Tailor is notified immediately that measurements are ready for review.</w:t>
      </w:r>
    </w:p>
    <w:p>
      <w:pPr>
        <w:pStyle w:val="Heading3"/>
        <w:spacing w:after="100" w:before="200"/>
      </w:pPr>
      <w:r>
        <w:t xml:space="preserve">3.5.5 Tailor Review &amp; Override</w:t>
      </w:r>
    </w:p>
    <w:p>
      <w:pPr>
        <w:pStyle w:val="ListParagraph"/>
        <w:numPr>
          <w:ilvl w:val="0"/>
          <w:numId w:val="2"/>
        </w:numPr>
        <w:spacing w:after="60"/>
      </w:pPr>
      <w:r>
        <w:t xml:space="preserve">Tailor reviews the AI-generated profile field by field; low-confidence fields are flagged.</w:t>
      </w:r>
    </w:p>
    <w:p>
      <w:pPr>
        <w:pStyle w:val="ListParagraph"/>
        <w:numPr>
          <w:ilvl w:val="0"/>
          <w:numId w:val="2"/>
        </w:numPr>
        <w:spacing w:after="60"/>
      </w:pPr>
      <w:r>
        <w:t xml:space="preserve">Tailor may accept as-is, manually override individual values (original AI value is retained for audit, not overwritten), or request a retake, which issues a new AIMeasurementSession.</w:t>
      </w:r>
    </w:p>
    <w:p>
      <w:pPr>
        <w:pStyle w:val="ListParagraph"/>
        <w:numPr>
          <w:ilvl w:val="0"/>
          <w:numId w:val="2"/>
        </w:numPr>
        <w:spacing w:after="60"/>
      </w:pPr>
      <w:r>
        <w:t xml:space="preserve">Only once the Tailor marks the Measurement Profile as Confirmed does production (§3.6) become available for that Order.</w:t>
      </w:r>
    </w:p>
    <w:p>
      <w:pPr>
        <w:pStyle w:val="Heading3"/>
        <w:spacing w:after="100" w:before="200"/>
      </w:pPr>
      <w:r>
        <w:t xml:space="preserve">3.5.6 Provider Abstraction &amp; Resilience</w:t>
      </w:r>
    </w:p>
    <w:p>
      <w:pPr>
        <w:pStyle w:val="ListParagraph"/>
        <w:numPr>
          <w:ilvl w:val="0"/>
          <w:numId w:val="2"/>
        </w:numPr>
        <w:spacing w:after="60"/>
      </w:pPr>
      <w:r>
        <w:t xml:space="preserve">The AI provider is accessed through an internal adapter interface so a different or additional vendor can be configured by Admin without changing the Customer/Tailor-facing flow.</w:t>
      </w:r>
    </w:p>
    <w:p>
      <w:pPr>
        <w:pStyle w:val="ListParagraph"/>
        <w:numPr>
          <w:ilvl w:val="0"/>
          <w:numId w:val="2"/>
        </w:numPr>
        <w:spacing w:after="60"/>
      </w:pPr>
      <w:r>
        <w:t xml:space="preserve">If the AI provider is unavailable or returns low-confidence results, the Tailor can fall back to manual measurement entry for that engagement, and the Order proceeds using that manually entered Measurement Profile.</w:t>
      </w:r>
    </w:p>
    <w:p>
      <w:pPr>
        <w:spacing w:after="160"/>
      </w:pPr>
      <w:r>
        <w:rPr>
          <w:i/>
          <w:iCs/>
          <w:color w:val="595959"/>
          <w:sz w:val="20"/>
          <w:szCs w:val="20"/>
        </w:rPr>
        <w:t xml:space="preserve">Roles: Tailor — unlocks, reviews, overrides, and confirms. Customer — grants consent and performs the capture. Admin — configures the provider integration and can view the audit trail, not the raw photos.</w:t>
      </w:r>
    </w:p>
    <w:p>
      <w:pPr>
        <w:pStyle w:val="Heading2"/>
        <w:spacing w:after="120" w:before="280"/>
      </w:pPr>
      <w:r>
        <w:t xml:space="preserve">3.6 Order &amp; Production Management</w:t>
      </w:r>
    </w:p>
    <w:p>
      <w:pPr>
        <w:pStyle w:val="ListParagraph"/>
        <w:numPr>
          <w:ilvl w:val="0"/>
          <w:numId w:val="2"/>
        </w:numPr>
        <w:spacing w:after="60"/>
      </w:pPr>
      <w:r>
        <w:t xml:space="preserve">An Order is created from a Confirmed Agreement plus a Confirmed Measurement Profile.</w:t>
      </w:r>
    </w:p>
    <w:p>
      <w:pPr>
        <w:pStyle w:val="ListParagraph"/>
        <w:numPr>
          <w:ilvl w:val="0"/>
          <w:numId w:val="2"/>
        </w:numPr>
        <w:spacing w:after="60"/>
      </w:pPr>
      <w:r>
        <w:t xml:space="preserve">Status pipeline: Confirmed → Cutting → Sewing → Fitting → Ready → Delivered (enum); every transition is logged with who changed it and when.</w:t>
      </w:r>
    </w:p>
    <w:p>
      <w:pPr>
        <w:pStyle w:val="ListParagraph"/>
        <w:numPr>
          <w:ilvl w:val="0"/>
          <w:numId w:val="2"/>
        </w:numPr>
        <w:spacing w:after="60"/>
      </w:pPr>
      <w:r>
        <w:t xml:space="preserve">Fitting/revision requests: Customer can flag a fit issue post-delivery within a configurable window; Tailor can log an adjustment against the same Measurement Profile (creating a corrected version, not overwriting the original AI output).</w:t>
      </w:r>
    </w:p>
    <w:p>
      <w:pPr>
        <w:pStyle w:val="ListParagraph"/>
        <w:numPr>
          <w:ilvl w:val="0"/>
          <w:numId w:val="2"/>
        </w:numPr>
        <w:spacing w:after="60"/>
      </w:pPr>
      <w:r>
        <w:t xml:space="preserve">Delivery tracking: pickup, courier, or shipping details.</w:t>
      </w:r>
    </w:p>
    <w:p>
      <w:pPr>
        <w:pStyle w:val="Heading2"/>
        <w:spacing w:after="120" w:before="280"/>
      </w:pPr>
      <w:r>
        <w:t xml:space="preserve">3.7 Payments</w:t>
      </w:r>
    </w:p>
    <w:p>
      <w:pPr>
        <w:pStyle w:val="ListParagraph"/>
        <w:numPr>
          <w:ilvl w:val="0"/>
          <w:numId w:val="2"/>
        </w:numPr>
        <w:spacing w:after="60"/>
      </w:pPr>
      <w:r>
        <w:t xml:space="preserve">Milestone-based payment tied to Order status (e.g., deposit on Agreement confirmation, balance on Ready/Delivered).</w:t>
      </w:r>
    </w:p>
    <w:p>
      <w:pPr>
        <w:pStyle w:val="ListParagraph"/>
        <w:numPr>
          <w:ilvl w:val="0"/>
          <w:numId w:val="2"/>
        </w:numPr>
        <w:spacing w:after="60"/>
      </w:pPr>
      <w:r>
        <w:t xml:space="preserve">Escrow-style holding until the Customer confirms receipt, with a defined auto-release window.</w:t>
      </w:r>
    </w:p>
    <w:p>
      <w:pPr>
        <w:pStyle w:val="ListParagraph"/>
        <w:numPr>
          <w:ilvl w:val="0"/>
          <w:numId w:val="2"/>
        </w:numPr>
        <w:spacing w:after="60"/>
      </w:pPr>
      <w:r>
        <w:t xml:space="preserve">Invoices, refunds, and cancellation-fee handling per the Agreement's cancellation policy.</w:t>
      </w:r>
    </w:p>
    <w:p>
      <w:pPr>
        <w:pStyle w:val="Heading2"/>
        <w:spacing w:after="120" w:before="280"/>
      </w:pPr>
      <w:r>
        <w:t xml:space="preserve">3.8 Communication</w:t>
      </w:r>
    </w:p>
    <w:p>
      <w:pPr>
        <w:pStyle w:val="ListParagraph"/>
        <w:numPr>
          <w:ilvl w:val="0"/>
          <w:numId w:val="2"/>
        </w:numPr>
        <w:spacing w:after="60"/>
      </w:pPr>
      <w:r>
        <w:t xml:space="preserve">Threaded messaging scoped to a Request/Agreement/Order (never a generic open inbox).</w:t>
      </w:r>
    </w:p>
    <w:p>
      <w:pPr>
        <w:pStyle w:val="ListParagraph"/>
        <w:numPr>
          <w:ilvl w:val="0"/>
          <w:numId w:val="2"/>
        </w:numPr>
        <w:spacing w:after="60"/>
      </w:pPr>
      <w:r>
        <w:t xml:space="preserve">In-app and push/email notifications for: new request, counter-proposal, agreement confirmed, AI measurement unlocked, measurement ready, measurement confirmed, order status changes, payment events.</w:t>
      </w:r>
    </w:p>
    <w:p>
      <w:pPr>
        <w:pStyle w:val="Heading2"/>
        <w:spacing w:after="120" w:before="280"/>
      </w:pPr>
      <w:r>
        <w:t xml:space="preserve">3.9 Reviews &amp; Ratings</w:t>
      </w:r>
    </w:p>
    <w:p>
      <w:pPr>
        <w:pStyle w:val="ListParagraph"/>
        <w:numPr>
          <w:ilvl w:val="0"/>
          <w:numId w:val="2"/>
        </w:numPr>
        <w:spacing w:after="60"/>
      </w:pPr>
      <w:r>
        <w:t xml:space="preserve">Customer rates and reviews the Tailor after Delivered status; Tailor can respond publicly once.</w:t>
      </w:r>
    </w:p>
    <w:p>
      <w:pPr>
        <w:pStyle w:val="ListParagraph"/>
        <w:numPr>
          <w:ilvl w:val="0"/>
          <w:numId w:val="2"/>
        </w:numPr>
        <w:spacing w:after="60"/>
      </w:pPr>
      <w:r>
        <w:t xml:space="preserve">Aggregate rating shown on the Tailor's public profile; Admin can moderate reviews that violate content policy.</w:t>
      </w:r>
    </w:p>
    <w:p>
      <w:pPr>
        <w:pStyle w:val="Heading2"/>
        <w:spacing w:after="120" w:before="280"/>
      </w:pPr>
      <w:r>
        <w:t xml:space="preserve">3.10 Admin &amp; Platform Management</w:t>
      </w:r>
    </w:p>
    <w:p>
      <w:pPr>
        <w:pStyle w:val="ListParagraph"/>
        <w:numPr>
          <w:ilvl w:val="0"/>
          <w:numId w:val="2"/>
        </w:numPr>
        <w:spacing w:after="60"/>
      </w:pPr>
      <w:r>
        <w:t xml:space="preserve">Tailor verification queue (KYC documents, business registration).</w:t>
      </w:r>
    </w:p>
    <w:p>
      <w:pPr>
        <w:pStyle w:val="ListParagraph"/>
        <w:numPr>
          <w:ilvl w:val="0"/>
          <w:numId w:val="2"/>
        </w:numPr>
        <w:spacing w:after="60"/>
      </w:pPr>
      <w:r>
        <w:t xml:space="preserve">AI provider configuration: API credentials, endpoint config, timeout/retry policy, enable/disable per region.</w:t>
      </w:r>
    </w:p>
    <w:p>
      <w:pPr>
        <w:pStyle w:val="ListParagraph"/>
        <w:numPr>
          <w:ilvl w:val="0"/>
          <w:numId w:val="2"/>
        </w:numPr>
        <w:spacing w:after="60"/>
      </w:pPr>
      <w:r>
        <w:t xml:space="preserve">Dispute resolution workspace with full read access to the relevant Agreement, messages, and audit trail (not raw AI photos).</w:t>
      </w:r>
    </w:p>
    <w:p>
      <w:pPr>
        <w:pStyle w:val="ListParagraph"/>
        <w:numPr>
          <w:ilvl w:val="0"/>
          <w:numId w:val="2"/>
        </w:numPr>
        <w:spacing w:after="60"/>
      </w:pPr>
      <w:r>
        <w:t xml:space="preserve">Portfolio and review content moderation.</w:t>
      </w:r>
    </w:p>
    <w:p>
      <w:pPr>
        <w:pStyle w:val="Heading2"/>
        <w:spacing w:after="120" w:before="280"/>
      </w:pPr>
      <w:r>
        <w:t xml:space="preserve">3.11 Search &amp; Notifications (platform-wide)</w:t>
      </w:r>
    </w:p>
    <w:p>
      <w:pPr>
        <w:pStyle w:val="ListParagraph"/>
        <w:numPr>
          <w:ilvl w:val="0"/>
          <w:numId w:val="2"/>
        </w:numPr>
        <w:spacing w:after="60"/>
      </w:pPr>
      <w:r>
        <w:t xml:space="preserve">Global search scoped to what the requesting role may see (Customer never sees another customer's data; Tailor never sees another tailor's pipeline).</w:t>
      </w:r>
    </w:p>
    <w:p>
      <w:pPr>
        <w:pStyle w:val="ListParagraph"/>
        <w:numPr>
          <w:ilvl w:val="0"/>
          <w:numId w:val="2"/>
        </w:numPr>
        <w:spacing w:after="60"/>
      </w:pPr>
      <w:r>
        <w:t xml:space="preserve">Notification preferences per channel (in-app, email, SMS/push).</w:t>
      </w:r>
    </w:p>
    <w:p>
      <w:pPr>
        <w:pStyle w:val="Heading1"/>
        <w:spacing w:after="160" w:before="360"/>
      </w:pPr>
      <w:r>
        <w:t xml:space="preserve">4. Non-Functional Requirements</w:t>
      </w:r>
    </w:p>
    <w:p>
      <w:pPr>
        <w:pStyle w:val="ListParagraph"/>
        <w:numPr>
          <w:ilvl w:val="0"/>
          <w:numId w:val="2"/>
        </w:numPr>
        <w:spacing w:after="60"/>
      </w:pPr>
      <w:r>
        <w:rPr>
          <w:b/>
          <w:bCs/>
        </w:rPr>
        <w:t xml:space="preserve">Privacy &amp; biometric data handling:</w:t>
      </w:r>
      <w:r>
        <w:t xml:space="preserve"> body measurement data (and any photos a Customer opts to retain) are treated as sensitive personal data with encryption at rest and in transit, strict access scoping (a Tailor only ever sees measurement data for their own engagements), and a documented retention/deletion policy the Customer can trigger (right to erasure).</w:t>
      </w:r>
    </w:p>
    <w:p>
      <w:pPr>
        <w:pStyle w:val="ListParagraph"/>
        <w:numPr>
          <w:ilvl w:val="0"/>
          <w:numId w:val="2"/>
        </w:numPr>
        <w:spacing w:after="60"/>
      </w:pPr>
      <w:r>
        <w:rPr>
          <w:b/>
          <w:bCs/>
        </w:rPr>
        <w:t xml:space="preserve">Consent management:</w:t>
      </w:r>
      <w:r>
        <w:t xml:space="preserve"> every redirect to the AI provider requires a fresh, logged consent record; Customers can revoke consent and request deletion of any AI-provider-held photos where the provider's API supports it.</w:t>
      </w:r>
    </w:p>
    <w:p>
      <w:pPr>
        <w:pStyle w:val="ListParagraph"/>
        <w:numPr>
          <w:ilvl w:val="0"/>
          <w:numId w:val="2"/>
        </w:numPr>
        <w:spacing w:after="60"/>
      </w:pPr>
      <w:r>
        <w:rPr>
          <w:b/>
          <w:bCs/>
        </w:rPr>
        <w:t xml:space="preserve">Security of the third-party hand-off:</w:t>
      </w:r>
      <w:r>
        <w:t xml:space="preserve"> session tokens are short-lived, single-use, and scoped to one engagement; webhook callbacks are signature-verified and idempotent; no StitchMatch credential is ever passed to the AI provider.</w:t>
      </w:r>
    </w:p>
    <w:p>
      <w:pPr>
        <w:pStyle w:val="ListParagraph"/>
        <w:numPr>
          <w:ilvl w:val="0"/>
          <w:numId w:val="2"/>
        </w:numPr>
        <w:spacing w:after="60"/>
      </w:pPr>
      <w:r>
        <w:rPr>
          <w:b/>
          <w:bCs/>
        </w:rPr>
        <w:t xml:space="preserve">Compliance:</w:t>
      </w:r>
      <w:r>
        <w:t xml:space="preserve"> designed to accommodate GDPR/CCPA-style biometric and special-category data provisions — explicit consent, purpose limitation, data minimization, and export/delete on request.</w:t>
      </w:r>
    </w:p>
    <w:p>
      <w:pPr>
        <w:pStyle w:val="ListParagraph"/>
        <w:numPr>
          <w:ilvl w:val="0"/>
          <w:numId w:val="2"/>
        </w:numPr>
        <w:spacing w:after="60"/>
      </w:pPr>
      <w:r>
        <w:rPr>
          <w:b/>
          <w:bCs/>
        </w:rPr>
        <w:t xml:space="preserve">Performance:</w:t>
      </w:r>
      <w:r>
        <w:t xml:space="preserve"> fast search and profile loads; AI callback processing designed to complete within seconds of receipt so Tailor notification is near-real-time.</w:t>
      </w:r>
    </w:p>
    <w:p>
      <w:pPr>
        <w:pStyle w:val="ListParagraph"/>
        <w:numPr>
          <w:ilvl w:val="0"/>
          <w:numId w:val="2"/>
        </w:numPr>
        <w:spacing w:after="60"/>
      </w:pPr>
      <w:r>
        <w:rPr>
          <w:b/>
          <w:bCs/>
        </w:rPr>
        <w:t xml:space="preserve">Reliability:</w:t>
      </w:r>
      <w:r>
        <w:t xml:space="preserve"> AI provider outages degrade gracefully to manual measurement entry rather than blocking the Order.</w:t>
      </w:r>
    </w:p>
    <w:p>
      <w:pPr>
        <w:pStyle w:val="ListParagraph"/>
        <w:numPr>
          <w:ilvl w:val="0"/>
          <w:numId w:val="2"/>
        </w:numPr>
        <w:spacing w:after="60"/>
      </w:pPr>
      <w:r>
        <w:rPr>
          <w:b/>
          <w:bCs/>
        </w:rPr>
        <w:t xml:space="preserve">Auditability:</w:t>
      </w:r>
      <w:r>
        <w:t xml:space="preserve"> every unlock of the AI step, every consent event, every measurement override, and every access to a Measurement Profile is written to an append-only audit log.</w:t>
      </w:r>
    </w:p>
    <w:p>
      <w:pPr>
        <w:pStyle w:val="ListParagraph"/>
        <w:numPr>
          <w:ilvl w:val="0"/>
          <w:numId w:val="2"/>
        </w:numPr>
        <w:spacing w:after="60"/>
      </w:pPr>
      <w:r>
        <w:rPr>
          <w:b/>
          <w:bCs/>
        </w:rPr>
        <w:t xml:space="preserve">Scalability:</w:t>
      </w:r>
      <w:r>
        <w:t xml:space="preserve"> provider-adapter architecture allows onboarding additional AI measurement vendors without redesigning the Customer/Tailor flow.</w:t>
      </w:r>
    </w:p>
    <w:p>
      <w:pPr>
        <w:pStyle w:val="ListParagraph"/>
        <w:numPr>
          <w:ilvl w:val="0"/>
          <w:numId w:val="2"/>
        </w:numPr>
        <w:spacing w:after="60"/>
      </w:pPr>
      <w:r>
        <w:rPr>
          <w:b/>
          <w:bCs/>
        </w:rPr>
        <w:t xml:space="preserve">Usability:</w:t>
      </w:r>
      <w:r>
        <w:t xml:space="preserve"> the hand-off to the third party should feel like a single continuous flow to the Customer (branded hosting/webview where the provider allows it), not a jarring context switch.</w:t>
      </w:r>
    </w:p>
    <w:p>
      <w:pPr>
        <w:pStyle w:val="Heading1"/>
        <w:spacing w:after="160" w:before="360"/>
      </w:pPr>
      <w:r>
        <w:t xml:space="preserve">5. Database Schema</w:t>
      </w:r>
    </w:p>
    <w:p>
      <w:pPr>
        <w:pStyle w:val="Heading2"/>
        <w:spacing w:after="120" w:before="280"/>
      </w:pPr>
      <w:r>
        <w:t xml:space="preserve">5.1 Identity &amp; Profiles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7100"/>
      </w:tblGrid>
      <w:tr>
        <w:trPr>
          <w:tblHeader/>
        </w:trPr>
        <w:tc>
          <w:tcPr>
            <w:tcW w:type="dxa" w:w="2300"/>
            <w:shd w:fill="1F3864" w:val="clear"/>
            <w:tcMar>
              <w:top w:type="dxa" w:w="80"/>
              <w:left w:type="dxa" w:w="100"/>
              <w:bottom w:type="dxa" w:w="80"/>
              <w:right w:type="dxa" w:w="100"/>
            </w:tcMar>
          </w:tcPr>
          <w:p>
            <w:r>
              <w:rPr>
                <w:b/>
                <w:bCs/>
                <w:color w:val="FFFFFF"/>
                <w:sz w:val="20"/>
                <w:szCs w:val="20"/>
              </w:rPr>
              <w:t xml:space="preserve">Entity</w:t>
            </w:r>
          </w:p>
        </w:tc>
        <w:tc>
          <w:tcPr>
            <w:tcW w:type="dxa" w:w="7100"/>
            <w:shd w:fill="1F3864" w:val="clear"/>
            <w:tcMar>
              <w:top w:type="dxa" w:w="80"/>
              <w:left w:type="dxa" w:w="100"/>
              <w:bottom w:type="dxa" w:w="80"/>
              <w:right w:type="dxa" w:w="100"/>
            </w:tcMar>
          </w:tcPr>
          <w:p>
            <w:r>
              <w:rPr>
                <w:b/>
                <w:bCs/>
                <w:color w:val="FFFFFF"/>
                <w:sz w:val="20"/>
                <w:szCs w:val="20"/>
              </w:rPr>
              <w:t xml:space="preserve">Key Fields</w:t>
            </w:r>
          </w:p>
        </w:tc>
      </w:tr>
      <w:tr>
        <w:tc>
          <w:tcPr>
            <w:tcW w:type="dxa" w:w="2300"/>
            <w:tcMar>
              <w:top w:type="dxa" w:w="80"/>
              <w:left w:type="dxa" w:w="100"/>
              <w:bottom w:type="dxa" w:w="80"/>
              <w:right w:type="dxa" w:w="100"/>
            </w:tcMar>
          </w:tcPr>
          <w:p>
            <w:r>
              <w:rPr>
                <w:b w:val="false"/>
                <w:bCs w:val="false"/>
                <w:color w:val="000000"/>
                <w:sz w:val="20"/>
                <w:szCs w:val="20"/>
              </w:rPr>
              <w:t xml:space="preserve">Users</w:t>
            </w:r>
          </w:p>
        </w:tc>
        <w:tc>
          <w:tcPr>
            <w:tcW w:type="dxa" w:w="7100"/>
            <w:tcMar>
              <w:top w:type="dxa" w:w="80"/>
              <w:left w:type="dxa" w:w="100"/>
              <w:bottom w:type="dxa" w:w="80"/>
              <w:right w:type="dxa" w:w="100"/>
            </w:tcMar>
          </w:tcPr>
          <w:p>
            <w:r>
              <w:rPr>
                <w:b w:val="false"/>
                <w:bCs w:val="false"/>
                <w:color w:val="000000"/>
                <w:sz w:val="20"/>
                <w:szCs w:val="20"/>
              </w:rPr>
              <w:t xml:space="preserve">UserID PK, Name, Email UK, Phone, PasswordHash, Role (enum: Customer/Tailor/Admin), IsVerified, CreatedAt.</w:t>
            </w:r>
          </w:p>
        </w:tc>
      </w:tr>
      <w:tr>
        <w:tc>
          <w:tcPr>
            <w:tcW w:type="dxa" w:w="2300"/>
            <w:shd w:fill="F2F2F2" w:val="clear"/>
            <w:tcMar>
              <w:top w:type="dxa" w:w="80"/>
              <w:left w:type="dxa" w:w="100"/>
              <w:bottom w:type="dxa" w:w="80"/>
              <w:right w:type="dxa" w:w="100"/>
            </w:tcMar>
          </w:tcPr>
          <w:p>
            <w:r>
              <w:rPr>
                <w:b w:val="false"/>
                <w:bCs w:val="false"/>
                <w:color w:val="000000"/>
                <w:sz w:val="20"/>
                <w:szCs w:val="20"/>
              </w:rPr>
              <w:t xml:space="preserve">CustomerProfiles</w:t>
            </w:r>
          </w:p>
        </w:tc>
        <w:tc>
          <w:tcPr>
            <w:tcW w:type="dxa" w:w="7100"/>
            <w:shd w:fill="F2F2F2" w:val="clear"/>
            <w:tcMar>
              <w:top w:type="dxa" w:w="80"/>
              <w:left w:type="dxa" w:w="100"/>
              <w:bottom w:type="dxa" w:w="80"/>
              <w:right w:type="dxa" w:w="100"/>
            </w:tcMar>
          </w:tcPr>
          <w:p>
            <w:r>
              <w:rPr>
                <w:b w:val="false"/>
                <w:bCs w:val="false"/>
                <w:color w:val="000000"/>
                <w:sz w:val="20"/>
                <w:szCs w:val="20"/>
              </w:rPr>
              <w:t xml:space="preserve">CustomerID PK/FK→Users, ShippingAddress, PreferredUnit (Metric/Imperial), StylePreferences.</w:t>
            </w:r>
          </w:p>
        </w:tc>
      </w:tr>
      <w:tr>
        <w:tc>
          <w:tcPr>
            <w:tcW w:type="dxa" w:w="2300"/>
            <w:tcMar>
              <w:top w:type="dxa" w:w="80"/>
              <w:left w:type="dxa" w:w="100"/>
              <w:bottom w:type="dxa" w:w="80"/>
              <w:right w:type="dxa" w:w="100"/>
            </w:tcMar>
          </w:tcPr>
          <w:p>
            <w:r>
              <w:rPr>
                <w:b w:val="false"/>
                <w:bCs w:val="false"/>
                <w:color w:val="000000"/>
                <w:sz w:val="20"/>
                <w:szCs w:val="20"/>
              </w:rPr>
              <w:t xml:space="preserve">TailorProfiles</w:t>
            </w:r>
          </w:p>
        </w:tc>
        <w:tc>
          <w:tcPr>
            <w:tcW w:type="dxa" w:w="7100"/>
            <w:tcMar>
              <w:top w:type="dxa" w:w="80"/>
              <w:left w:type="dxa" w:w="100"/>
              <w:bottom w:type="dxa" w:w="80"/>
              <w:right w:type="dxa" w:w="100"/>
            </w:tcMar>
          </w:tcPr>
          <w:p>
            <w:r>
              <w:rPr>
                <w:b w:val="false"/>
                <w:bCs w:val="false"/>
                <w:color w:val="000000"/>
                <w:sz w:val="20"/>
                <w:szCs w:val="20"/>
              </w:rPr>
              <w:t xml:space="preserve">TailorID PK/FK→Users, BusinessName, Bio, Specialties, ServiceRadius, KYCStatus (enum: Pending/Verified/Rejected), VerifiedAt.</w:t>
            </w:r>
          </w:p>
        </w:tc>
      </w:tr>
      <w:tr>
        <w:tc>
          <w:tcPr>
            <w:tcW w:type="dxa" w:w="2300"/>
            <w:shd w:fill="F2F2F2" w:val="clear"/>
            <w:tcMar>
              <w:top w:type="dxa" w:w="80"/>
              <w:left w:type="dxa" w:w="100"/>
              <w:bottom w:type="dxa" w:w="80"/>
              <w:right w:type="dxa" w:w="100"/>
            </w:tcMar>
          </w:tcPr>
          <w:p>
            <w:r>
              <w:rPr>
                <w:b w:val="false"/>
                <w:bCs w:val="false"/>
                <w:color w:val="000000"/>
                <w:sz w:val="20"/>
                <w:szCs w:val="20"/>
              </w:rPr>
              <w:t xml:space="preserve">TailorPortfolioItems</w:t>
            </w:r>
          </w:p>
        </w:tc>
        <w:tc>
          <w:tcPr>
            <w:tcW w:type="dxa" w:w="7100"/>
            <w:shd w:fill="F2F2F2" w:val="clear"/>
            <w:tcMar>
              <w:top w:type="dxa" w:w="80"/>
              <w:left w:type="dxa" w:w="100"/>
              <w:bottom w:type="dxa" w:w="80"/>
              <w:right w:type="dxa" w:w="100"/>
            </w:tcMar>
          </w:tcPr>
          <w:p>
            <w:r>
              <w:rPr>
                <w:b w:val="false"/>
                <w:bCs w:val="false"/>
                <w:color w:val="000000"/>
                <w:sz w:val="20"/>
                <w:szCs w:val="20"/>
              </w:rPr>
              <w:t xml:space="preserve">ItemID PK, TailorID FK, ImagePath, Caption, GarmentCategory.</w:t>
            </w:r>
          </w:p>
        </w:tc>
      </w:tr>
      <w:tr>
        <w:tc>
          <w:tcPr>
            <w:tcW w:type="dxa" w:w="2300"/>
            <w:tcMar>
              <w:top w:type="dxa" w:w="80"/>
              <w:left w:type="dxa" w:w="100"/>
              <w:bottom w:type="dxa" w:w="80"/>
              <w:right w:type="dxa" w:w="100"/>
            </w:tcMar>
          </w:tcPr>
          <w:p>
            <w:r>
              <w:rPr>
                <w:b w:val="false"/>
                <w:bCs w:val="false"/>
                <w:color w:val="000000"/>
                <w:sz w:val="20"/>
                <w:szCs w:val="20"/>
              </w:rPr>
              <w:t xml:space="preserve">Services</w:t>
            </w:r>
          </w:p>
        </w:tc>
        <w:tc>
          <w:tcPr>
            <w:tcW w:type="dxa" w:w="7100"/>
            <w:tcMar>
              <w:top w:type="dxa" w:w="80"/>
              <w:left w:type="dxa" w:w="100"/>
              <w:bottom w:type="dxa" w:w="80"/>
              <w:right w:type="dxa" w:w="100"/>
            </w:tcMar>
          </w:tcPr>
          <w:p>
            <w:r>
              <w:rPr>
                <w:b w:val="false"/>
                <w:bCs w:val="false"/>
                <w:color w:val="000000"/>
                <w:sz w:val="20"/>
                <w:szCs w:val="20"/>
              </w:rPr>
              <w:t xml:space="preserve">ServiceID PK, TailorID FK, GarmentType, BasePrice, EstimatedTurnaroundDays, Description.</w:t>
            </w:r>
          </w:p>
        </w:tc>
      </w:tr>
    </w:tbl>
    <w:p>
      <w:pPr>
        <w:pStyle w:val="Heading2"/>
        <w:spacing w:after="120" w:before="280"/>
      </w:pPr>
      <w:r>
        <w:t xml:space="preserve">5.2 Requests, Agreements &amp; Orders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7100"/>
      </w:tblGrid>
      <w:tr>
        <w:trPr>
          <w:tblHeader/>
        </w:trPr>
        <w:tc>
          <w:tcPr>
            <w:tcW w:type="dxa" w:w="2300"/>
            <w:shd w:fill="1F3864" w:val="clear"/>
            <w:tcMar>
              <w:top w:type="dxa" w:w="80"/>
              <w:left w:type="dxa" w:w="100"/>
              <w:bottom w:type="dxa" w:w="80"/>
              <w:right w:type="dxa" w:w="100"/>
            </w:tcMar>
          </w:tcPr>
          <w:p>
            <w:r>
              <w:rPr>
                <w:b/>
                <w:bCs/>
                <w:color w:val="FFFFFF"/>
                <w:sz w:val="20"/>
                <w:szCs w:val="20"/>
              </w:rPr>
              <w:t xml:space="preserve">Entity</w:t>
            </w:r>
          </w:p>
        </w:tc>
        <w:tc>
          <w:tcPr>
            <w:tcW w:type="dxa" w:w="7100"/>
            <w:shd w:fill="1F3864" w:val="clear"/>
            <w:tcMar>
              <w:top w:type="dxa" w:w="80"/>
              <w:left w:type="dxa" w:w="100"/>
              <w:bottom w:type="dxa" w:w="80"/>
              <w:right w:type="dxa" w:w="100"/>
            </w:tcMar>
          </w:tcPr>
          <w:p>
            <w:r>
              <w:rPr>
                <w:b/>
                <w:bCs/>
                <w:color w:val="FFFFFF"/>
                <w:sz w:val="20"/>
                <w:szCs w:val="20"/>
              </w:rPr>
              <w:t xml:space="preserve">Key Fields</w:t>
            </w:r>
          </w:p>
        </w:tc>
      </w:tr>
      <w:tr>
        <w:tc>
          <w:tcPr>
            <w:tcW w:type="dxa" w:w="2300"/>
            <w:tcMar>
              <w:top w:type="dxa" w:w="80"/>
              <w:left w:type="dxa" w:w="100"/>
              <w:bottom w:type="dxa" w:w="80"/>
              <w:right w:type="dxa" w:w="100"/>
            </w:tcMar>
          </w:tcPr>
          <w:p>
            <w:r>
              <w:rPr>
                <w:b w:val="false"/>
                <w:bCs w:val="false"/>
                <w:color w:val="000000"/>
                <w:sz w:val="20"/>
                <w:szCs w:val="20"/>
              </w:rPr>
              <w:t xml:space="preserve">ServiceRequests</w:t>
            </w:r>
          </w:p>
        </w:tc>
        <w:tc>
          <w:tcPr>
            <w:tcW w:type="dxa" w:w="7100"/>
            <w:tcMar>
              <w:top w:type="dxa" w:w="80"/>
              <w:left w:type="dxa" w:w="100"/>
              <w:bottom w:type="dxa" w:w="80"/>
              <w:right w:type="dxa" w:w="100"/>
            </w:tcMar>
          </w:tcPr>
          <w:p>
            <w:r>
              <w:rPr>
                <w:b w:val="false"/>
                <w:bCs w:val="false"/>
                <w:color w:val="000000"/>
                <w:sz w:val="20"/>
                <w:szCs w:val="20"/>
              </w:rPr>
              <w:t xml:space="preserve">RequestID PK, CustomerID FK, TailorID FK, GarmentType, Description, ReferenceImages, Budget, DesiredDate, Status (enum: Open/Countered/Accepted/Declined/Expired).</w:t>
            </w:r>
          </w:p>
        </w:tc>
      </w:tr>
      <w:tr>
        <w:tc>
          <w:tcPr>
            <w:tcW w:type="dxa" w:w="2300"/>
            <w:shd w:fill="F2F2F2" w:val="clear"/>
            <w:tcMar>
              <w:top w:type="dxa" w:w="80"/>
              <w:left w:type="dxa" w:w="100"/>
              <w:bottom w:type="dxa" w:w="80"/>
              <w:right w:type="dxa" w:w="100"/>
            </w:tcMar>
          </w:tcPr>
          <w:p>
            <w:r>
              <w:rPr>
                <w:b w:val="false"/>
                <w:bCs w:val="false"/>
                <w:color w:val="000000"/>
                <w:sz w:val="20"/>
                <w:szCs w:val="20"/>
              </w:rPr>
              <w:t xml:space="preserve">NegotiationMessages</w:t>
            </w:r>
          </w:p>
        </w:tc>
        <w:tc>
          <w:tcPr>
            <w:tcW w:type="dxa" w:w="7100"/>
            <w:shd w:fill="F2F2F2" w:val="clear"/>
            <w:tcMar>
              <w:top w:type="dxa" w:w="80"/>
              <w:left w:type="dxa" w:w="100"/>
              <w:bottom w:type="dxa" w:w="80"/>
              <w:right w:type="dxa" w:w="100"/>
            </w:tcMar>
          </w:tcPr>
          <w:p>
            <w:r>
              <w:rPr>
                <w:b w:val="false"/>
                <w:bCs w:val="false"/>
                <w:color w:val="000000"/>
                <w:sz w:val="20"/>
                <w:szCs w:val="20"/>
              </w:rPr>
              <w:t xml:space="preserve">MessageID PK, RequestID FK, SenderUserID FK, Content, ProposedPrice, ProposedDate, CreatedAt.</w:t>
            </w:r>
          </w:p>
        </w:tc>
      </w:tr>
      <w:tr>
        <w:tc>
          <w:tcPr>
            <w:tcW w:type="dxa" w:w="2300"/>
            <w:tcMar>
              <w:top w:type="dxa" w:w="80"/>
              <w:left w:type="dxa" w:w="100"/>
              <w:bottom w:type="dxa" w:w="80"/>
              <w:right w:type="dxa" w:w="100"/>
            </w:tcMar>
          </w:tcPr>
          <w:p>
            <w:r>
              <w:rPr>
                <w:b w:val="false"/>
                <w:bCs w:val="false"/>
                <w:color w:val="000000"/>
                <w:sz w:val="20"/>
                <w:szCs w:val="20"/>
              </w:rPr>
              <w:t xml:space="preserve">Agreements</w:t>
            </w:r>
          </w:p>
        </w:tc>
        <w:tc>
          <w:tcPr>
            <w:tcW w:type="dxa" w:w="7100"/>
            <w:tcMar>
              <w:top w:type="dxa" w:w="80"/>
              <w:left w:type="dxa" w:w="100"/>
              <w:bottom w:type="dxa" w:w="80"/>
              <w:right w:type="dxa" w:w="100"/>
            </w:tcMar>
          </w:tcPr>
          <w:p>
            <w:r>
              <w:rPr>
                <w:b w:val="false"/>
                <w:bCs w:val="false"/>
                <w:color w:val="000000"/>
                <w:sz w:val="20"/>
                <w:szCs w:val="20"/>
              </w:rPr>
              <w:t xml:space="preserve">AgreementID PK, RequestID FK, Version, FinalPrice, Timeline, CancellationPolicy, CustomerConfirmedAt, TailorConfirmedAt, Status (enum: Draft/Confirmed/Superseded).</w:t>
            </w:r>
          </w:p>
        </w:tc>
      </w:tr>
      <w:tr>
        <w:tc>
          <w:tcPr>
            <w:tcW w:type="dxa" w:w="2300"/>
            <w:shd w:fill="F2F2F2" w:val="clear"/>
            <w:tcMar>
              <w:top w:type="dxa" w:w="80"/>
              <w:left w:type="dxa" w:w="100"/>
              <w:bottom w:type="dxa" w:w="80"/>
              <w:right w:type="dxa" w:w="100"/>
            </w:tcMar>
          </w:tcPr>
          <w:p>
            <w:r>
              <w:rPr>
                <w:b w:val="false"/>
                <w:bCs w:val="false"/>
                <w:color w:val="000000"/>
                <w:sz w:val="20"/>
                <w:szCs w:val="20"/>
              </w:rPr>
              <w:t xml:space="preserve">Orders</w:t>
            </w:r>
          </w:p>
        </w:tc>
        <w:tc>
          <w:tcPr>
            <w:tcW w:type="dxa" w:w="7100"/>
            <w:shd w:fill="F2F2F2" w:val="clear"/>
            <w:tcMar>
              <w:top w:type="dxa" w:w="80"/>
              <w:left w:type="dxa" w:w="100"/>
              <w:bottom w:type="dxa" w:w="80"/>
              <w:right w:type="dxa" w:w="100"/>
            </w:tcMar>
          </w:tcPr>
          <w:p>
            <w:r>
              <w:rPr>
                <w:b w:val="false"/>
                <w:bCs w:val="false"/>
                <w:color w:val="000000"/>
                <w:sz w:val="20"/>
                <w:szCs w:val="20"/>
              </w:rPr>
              <w:t xml:space="preserve">OrderID PK, AgreementID FK, MeasurementProfileID FK, Status (enum: Confirmed/Cutting/Sewing/Fitting/Ready/Delivered), CreatedAt.</w:t>
            </w:r>
          </w:p>
        </w:tc>
      </w:tr>
      <w:tr>
        <w:tc>
          <w:tcPr>
            <w:tcW w:type="dxa" w:w="2300"/>
            <w:tcMar>
              <w:top w:type="dxa" w:w="80"/>
              <w:left w:type="dxa" w:w="100"/>
              <w:bottom w:type="dxa" w:w="80"/>
              <w:right w:type="dxa" w:w="100"/>
            </w:tcMar>
          </w:tcPr>
          <w:p>
            <w:r>
              <w:rPr>
                <w:b w:val="false"/>
                <w:bCs w:val="false"/>
                <w:color w:val="000000"/>
                <w:sz w:val="20"/>
                <w:szCs w:val="20"/>
              </w:rPr>
              <w:t xml:space="preserve">OrderStatusHistory</w:t>
            </w:r>
          </w:p>
        </w:tc>
        <w:tc>
          <w:tcPr>
            <w:tcW w:type="dxa" w:w="7100"/>
            <w:tcMar>
              <w:top w:type="dxa" w:w="80"/>
              <w:left w:type="dxa" w:w="100"/>
              <w:bottom w:type="dxa" w:w="80"/>
              <w:right w:type="dxa" w:w="100"/>
            </w:tcMar>
          </w:tcPr>
          <w:p>
            <w:r>
              <w:rPr>
                <w:b w:val="false"/>
                <w:bCs w:val="false"/>
                <w:color w:val="000000"/>
                <w:sz w:val="20"/>
                <w:szCs w:val="20"/>
              </w:rPr>
              <w:t xml:space="preserve">HistoryID PK, OrderID FK, OldStatus, NewStatus, ChangedByUserID FK, ChangedAt.</w:t>
            </w:r>
          </w:p>
        </w:tc>
      </w:tr>
    </w:tbl>
    <w:p>
      <w:pPr>
        <w:pStyle w:val="Heading2"/>
        <w:spacing w:after="120" w:before="280"/>
      </w:pPr>
      <w:r>
        <w:t xml:space="preserve">5.3 AI Measurement Subsystem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7100"/>
      </w:tblGrid>
      <w:tr>
        <w:trPr>
          <w:tblHeader/>
        </w:trPr>
        <w:tc>
          <w:tcPr>
            <w:tcW w:type="dxa" w:w="2300"/>
            <w:shd w:fill="1F3864" w:val="clear"/>
            <w:tcMar>
              <w:top w:type="dxa" w:w="80"/>
              <w:left w:type="dxa" w:w="100"/>
              <w:bottom w:type="dxa" w:w="80"/>
              <w:right w:type="dxa" w:w="100"/>
            </w:tcMar>
          </w:tcPr>
          <w:p>
            <w:r>
              <w:rPr>
                <w:b/>
                <w:bCs/>
                <w:color w:val="FFFFFF"/>
                <w:sz w:val="20"/>
                <w:szCs w:val="20"/>
              </w:rPr>
              <w:t xml:space="preserve">Entity</w:t>
            </w:r>
          </w:p>
        </w:tc>
        <w:tc>
          <w:tcPr>
            <w:tcW w:type="dxa" w:w="7100"/>
            <w:shd w:fill="1F3864" w:val="clear"/>
            <w:tcMar>
              <w:top w:type="dxa" w:w="80"/>
              <w:left w:type="dxa" w:w="100"/>
              <w:bottom w:type="dxa" w:w="80"/>
              <w:right w:type="dxa" w:w="100"/>
            </w:tcMar>
          </w:tcPr>
          <w:p>
            <w:r>
              <w:rPr>
                <w:b/>
                <w:bCs/>
                <w:color w:val="FFFFFF"/>
                <w:sz w:val="20"/>
                <w:szCs w:val="20"/>
              </w:rPr>
              <w:t xml:space="preserve">Key Fields</w:t>
            </w:r>
          </w:p>
        </w:tc>
      </w:tr>
      <w:tr>
        <w:tc>
          <w:tcPr>
            <w:tcW w:type="dxa" w:w="2300"/>
            <w:tcMar>
              <w:top w:type="dxa" w:w="80"/>
              <w:left w:type="dxa" w:w="100"/>
              <w:bottom w:type="dxa" w:w="80"/>
              <w:right w:type="dxa" w:w="100"/>
            </w:tcMar>
          </w:tcPr>
          <w:p>
            <w:r>
              <w:rPr>
                <w:b w:val="false"/>
                <w:bCs w:val="false"/>
                <w:color w:val="000000"/>
                <w:sz w:val="20"/>
                <w:szCs w:val="20"/>
              </w:rPr>
              <w:t xml:space="preserve">AIMeasurementSessions</w:t>
            </w:r>
          </w:p>
        </w:tc>
        <w:tc>
          <w:tcPr>
            <w:tcW w:type="dxa" w:w="7100"/>
            <w:tcMar>
              <w:top w:type="dxa" w:w="80"/>
              <w:left w:type="dxa" w:w="100"/>
              <w:bottom w:type="dxa" w:w="80"/>
              <w:right w:type="dxa" w:w="100"/>
            </w:tcMar>
          </w:tcPr>
          <w:p>
            <w:r>
              <w:rPr>
                <w:b w:val="false"/>
                <w:bCs w:val="false"/>
                <w:color w:val="000000"/>
                <w:sz w:val="20"/>
                <w:szCs w:val="20"/>
              </w:rPr>
              <w:t xml:space="preserve">SessionID PK, AgreementID FK, CustomerID FK, TailorID FK, Provider (enum/string), SessionToken UK, RedirectURL, Status (enum: Created/InProgress/Completed/Expired/Failed), CreatedAt, ExpiresAt, CompletedAt.</w:t>
            </w:r>
          </w:p>
        </w:tc>
      </w:tr>
      <w:tr>
        <w:tc>
          <w:tcPr>
            <w:tcW w:type="dxa" w:w="2300"/>
            <w:shd w:fill="F2F2F2" w:val="clear"/>
            <w:tcMar>
              <w:top w:type="dxa" w:w="80"/>
              <w:left w:type="dxa" w:w="100"/>
              <w:bottom w:type="dxa" w:w="80"/>
              <w:right w:type="dxa" w:w="100"/>
            </w:tcMar>
          </w:tcPr>
          <w:p>
            <w:r>
              <w:rPr>
                <w:b w:val="false"/>
                <w:bCs w:val="false"/>
                <w:color w:val="000000"/>
                <w:sz w:val="20"/>
                <w:szCs w:val="20"/>
              </w:rPr>
              <w:t xml:space="preserve">ConsentRecords</w:t>
            </w:r>
          </w:p>
        </w:tc>
        <w:tc>
          <w:tcPr>
            <w:tcW w:type="dxa" w:w="7100"/>
            <w:shd w:fill="F2F2F2" w:val="clear"/>
            <w:tcMar>
              <w:top w:type="dxa" w:w="80"/>
              <w:left w:type="dxa" w:w="100"/>
              <w:bottom w:type="dxa" w:w="80"/>
              <w:right w:type="dxa" w:w="100"/>
            </w:tcMar>
          </w:tcPr>
          <w:p>
            <w:r>
              <w:rPr>
                <w:b w:val="false"/>
                <w:bCs w:val="false"/>
                <w:color w:val="000000"/>
                <w:sz w:val="20"/>
                <w:szCs w:val="20"/>
              </w:rPr>
              <w:t xml:space="preserve">ConsentID PK, SessionID FK, CustomerID FK, ConsentType (enum: PhotoCapture/DataRetention), GrantedAt, RevokedAt.</w:t>
            </w:r>
          </w:p>
        </w:tc>
      </w:tr>
      <w:tr>
        <w:tc>
          <w:tcPr>
            <w:tcW w:type="dxa" w:w="2300"/>
            <w:tcMar>
              <w:top w:type="dxa" w:w="80"/>
              <w:left w:type="dxa" w:w="100"/>
              <w:bottom w:type="dxa" w:w="80"/>
              <w:right w:type="dxa" w:w="100"/>
            </w:tcMar>
          </w:tcPr>
          <w:p>
            <w:r>
              <w:rPr>
                <w:b w:val="false"/>
                <w:bCs w:val="false"/>
                <w:color w:val="000000"/>
                <w:sz w:val="20"/>
                <w:szCs w:val="20"/>
              </w:rPr>
              <w:t xml:space="preserve">MeasurementProfiles</w:t>
            </w:r>
          </w:p>
        </w:tc>
        <w:tc>
          <w:tcPr>
            <w:tcW w:type="dxa" w:w="7100"/>
            <w:tcMar>
              <w:top w:type="dxa" w:w="80"/>
              <w:left w:type="dxa" w:w="100"/>
              <w:bottom w:type="dxa" w:w="80"/>
              <w:right w:type="dxa" w:w="100"/>
            </w:tcMar>
          </w:tcPr>
          <w:p>
            <w:r>
              <w:rPr>
                <w:b w:val="false"/>
                <w:bCs w:val="false"/>
                <w:color w:val="000000"/>
                <w:sz w:val="20"/>
                <w:szCs w:val="20"/>
              </w:rPr>
              <w:t xml:space="preserve">ProfileID PK, SessionID FK, AgreementID FK, Height, Weight, Chest, Waist, Hip, ShoulderWidth, SleeveLength, Inseam, NeckCircumference, ArmLength, ThighCircumference, Source (enum: AI/Manual/Hybrid), ConfidenceScoreOverall, Status (enum: PendingReview/Confirmed/Superseded), CreatedAt.</w:t>
            </w:r>
          </w:p>
        </w:tc>
      </w:tr>
      <w:tr>
        <w:tc>
          <w:tcPr>
            <w:tcW w:type="dxa" w:w="2300"/>
            <w:shd w:fill="F2F2F2" w:val="clear"/>
            <w:tcMar>
              <w:top w:type="dxa" w:w="80"/>
              <w:left w:type="dxa" w:w="100"/>
              <w:bottom w:type="dxa" w:w="80"/>
              <w:right w:type="dxa" w:w="100"/>
            </w:tcMar>
          </w:tcPr>
          <w:p>
            <w:r>
              <w:rPr>
                <w:b w:val="false"/>
                <w:bCs w:val="false"/>
                <w:color w:val="000000"/>
                <w:sz w:val="20"/>
                <w:szCs w:val="20"/>
              </w:rPr>
              <w:t xml:space="preserve">MeasurementFieldOverrides</w:t>
            </w:r>
          </w:p>
        </w:tc>
        <w:tc>
          <w:tcPr>
            <w:tcW w:type="dxa" w:w="7100"/>
            <w:shd w:fill="F2F2F2" w:val="clear"/>
            <w:tcMar>
              <w:top w:type="dxa" w:w="80"/>
              <w:left w:type="dxa" w:w="100"/>
              <w:bottom w:type="dxa" w:w="80"/>
              <w:right w:type="dxa" w:w="100"/>
            </w:tcMar>
          </w:tcPr>
          <w:p>
            <w:r>
              <w:rPr>
                <w:b w:val="false"/>
                <w:bCs w:val="false"/>
                <w:color w:val="000000"/>
                <w:sz w:val="20"/>
                <w:szCs w:val="20"/>
              </w:rPr>
              <w:t xml:space="preserve">OverrideID PK, ProfileID FK, FieldName, OriginalAIValue, OverriddenValue, OverriddenByUserID FK, OverriddenAt, Reason.</w:t>
            </w:r>
          </w:p>
        </w:tc>
      </w:tr>
      <w:tr>
        <w:tc>
          <w:tcPr>
            <w:tcW w:type="dxa" w:w="2300"/>
            <w:tcMar>
              <w:top w:type="dxa" w:w="80"/>
              <w:left w:type="dxa" w:w="100"/>
              <w:bottom w:type="dxa" w:w="80"/>
              <w:right w:type="dxa" w:w="100"/>
            </w:tcMar>
          </w:tcPr>
          <w:p>
            <w:r>
              <w:rPr>
                <w:b w:val="false"/>
                <w:bCs w:val="false"/>
                <w:color w:val="000000"/>
                <w:sz w:val="20"/>
                <w:szCs w:val="20"/>
              </w:rPr>
              <w:t xml:space="preserve">MeasurementAuditLog</w:t>
            </w:r>
          </w:p>
        </w:tc>
        <w:tc>
          <w:tcPr>
            <w:tcW w:type="dxa" w:w="7100"/>
            <w:tcMar>
              <w:top w:type="dxa" w:w="80"/>
              <w:left w:type="dxa" w:w="100"/>
              <w:bottom w:type="dxa" w:w="80"/>
              <w:right w:type="dxa" w:w="100"/>
            </w:tcMar>
          </w:tcPr>
          <w:p>
            <w:r>
              <w:rPr>
                <w:b w:val="false"/>
                <w:bCs w:val="false"/>
                <w:color w:val="000000"/>
                <w:sz w:val="20"/>
                <w:szCs w:val="20"/>
              </w:rPr>
              <w:t xml:space="preserve">LogID PK, ProfileID FK, AccessedByUserID FK, Action (enum: Viewed/Overridden/Confirmed/RetakeRequested), Timestamp.</w:t>
            </w:r>
          </w:p>
        </w:tc>
      </w:tr>
    </w:tbl>
    <w:p>
      <w:pPr>
        <w:pStyle w:val="Heading2"/>
        <w:spacing w:after="120" w:before="280"/>
      </w:pPr>
      <w:r>
        <w:t xml:space="preserve">5.4 Payments, Reviews, Communication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7100"/>
      </w:tblGrid>
      <w:tr>
        <w:trPr>
          <w:tblHeader/>
        </w:trPr>
        <w:tc>
          <w:tcPr>
            <w:tcW w:type="dxa" w:w="2300"/>
            <w:shd w:fill="1F3864" w:val="clear"/>
            <w:tcMar>
              <w:top w:type="dxa" w:w="80"/>
              <w:left w:type="dxa" w:w="100"/>
              <w:bottom w:type="dxa" w:w="80"/>
              <w:right w:type="dxa" w:w="100"/>
            </w:tcMar>
          </w:tcPr>
          <w:p>
            <w:r>
              <w:rPr>
                <w:b/>
                <w:bCs/>
                <w:color w:val="FFFFFF"/>
                <w:sz w:val="20"/>
                <w:szCs w:val="20"/>
              </w:rPr>
              <w:t xml:space="preserve">Entity</w:t>
            </w:r>
          </w:p>
        </w:tc>
        <w:tc>
          <w:tcPr>
            <w:tcW w:type="dxa" w:w="7100"/>
            <w:shd w:fill="1F3864" w:val="clear"/>
            <w:tcMar>
              <w:top w:type="dxa" w:w="80"/>
              <w:left w:type="dxa" w:w="100"/>
              <w:bottom w:type="dxa" w:w="80"/>
              <w:right w:type="dxa" w:w="100"/>
            </w:tcMar>
          </w:tcPr>
          <w:p>
            <w:r>
              <w:rPr>
                <w:b/>
                <w:bCs/>
                <w:color w:val="FFFFFF"/>
                <w:sz w:val="20"/>
                <w:szCs w:val="20"/>
              </w:rPr>
              <w:t xml:space="preserve">Key Fields</w:t>
            </w:r>
          </w:p>
        </w:tc>
      </w:tr>
      <w:tr>
        <w:tc>
          <w:tcPr>
            <w:tcW w:type="dxa" w:w="2300"/>
            <w:tcMar>
              <w:top w:type="dxa" w:w="80"/>
              <w:left w:type="dxa" w:w="100"/>
              <w:bottom w:type="dxa" w:w="80"/>
              <w:right w:type="dxa" w:w="100"/>
            </w:tcMar>
          </w:tcPr>
          <w:p>
            <w:r>
              <w:rPr>
                <w:b w:val="false"/>
                <w:bCs w:val="false"/>
                <w:color w:val="000000"/>
                <w:sz w:val="20"/>
                <w:szCs w:val="20"/>
              </w:rPr>
              <w:t xml:space="preserve">Payments</w:t>
            </w:r>
          </w:p>
        </w:tc>
        <w:tc>
          <w:tcPr>
            <w:tcW w:type="dxa" w:w="7100"/>
            <w:tcMar>
              <w:top w:type="dxa" w:w="80"/>
              <w:left w:type="dxa" w:w="100"/>
              <w:bottom w:type="dxa" w:w="80"/>
              <w:right w:type="dxa" w:w="100"/>
            </w:tcMar>
          </w:tcPr>
          <w:p>
            <w:r>
              <w:rPr>
                <w:b w:val="false"/>
                <w:bCs w:val="false"/>
                <w:color w:val="000000"/>
                <w:sz w:val="20"/>
                <w:szCs w:val="20"/>
              </w:rPr>
              <w:t xml:space="preserve">PaymentID PK, OrderID FK, Amount, Milestone (enum: Deposit/Balance), Status (enum: Held/Released/Refunded), CreatedAt.</w:t>
            </w:r>
          </w:p>
        </w:tc>
      </w:tr>
      <w:tr>
        <w:tc>
          <w:tcPr>
            <w:tcW w:type="dxa" w:w="2300"/>
            <w:shd w:fill="F2F2F2" w:val="clear"/>
            <w:tcMar>
              <w:top w:type="dxa" w:w="80"/>
              <w:left w:type="dxa" w:w="100"/>
              <w:bottom w:type="dxa" w:w="80"/>
              <w:right w:type="dxa" w:w="100"/>
            </w:tcMar>
          </w:tcPr>
          <w:p>
            <w:r>
              <w:rPr>
                <w:b w:val="false"/>
                <w:bCs w:val="false"/>
                <w:color w:val="000000"/>
                <w:sz w:val="20"/>
                <w:szCs w:val="20"/>
              </w:rPr>
              <w:t xml:space="preserve">Reviews</w:t>
            </w:r>
          </w:p>
        </w:tc>
        <w:tc>
          <w:tcPr>
            <w:tcW w:type="dxa" w:w="7100"/>
            <w:shd w:fill="F2F2F2" w:val="clear"/>
            <w:tcMar>
              <w:top w:type="dxa" w:w="80"/>
              <w:left w:type="dxa" w:w="100"/>
              <w:bottom w:type="dxa" w:w="80"/>
              <w:right w:type="dxa" w:w="100"/>
            </w:tcMar>
          </w:tcPr>
          <w:p>
            <w:r>
              <w:rPr>
                <w:b w:val="false"/>
                <w:bCs w:val="false"/>
                <w:color w:val="000000"/>
                <w:sz w:val="20"/>
                <w:szCs w:val="20"/>
              </w:rPr>
              <w:t xml:space="preserve">ReviewID PK, OrderID FK, CustomerID FK, TailorID FK, Rating, Comment, TailorResponse, CreatedAt.</w:t>
            </w:r>
          </w:p>
        </w:tc>
      </w:tr>
      <w:tr>
        <w:tc>
          <w:tcPr>
            <w:tcW w:type="dxa" w:w="2300"/>
            <w:tcMar>
              <w:top w:type="dxa" w:w="80"/>
              <w:left w:type="dxa" w:w="100"/>
              <w:bottom w:type="dxa" w:w="80"/>
              <w:right w:type="dxa" w:w="100"/>
            </w:tcMar>
          </w:tcPr>
          <w:p>
            <w:r>
              <w:rPr>
                <w:b w:val="false"/>
                <w:bCs w:val="false"/>
                <w:color w:val="000000"/>
                <w:sz w:val="20"/>
                <w:szCs w:val="20"/>
              </w:rPr>
              <w:t xml:space="preserve">Messages</w:t>
            </w:r>
          </w:p>
        </w:tc>
        <w:tc>
          <w:tcPr>
            <w:tcW w:type="dxa" w:w="7100"/>
            <w:tcMar>
              <w:top w:type="dxa" w:w="80"/>
              <w:left w:type="dxa" w:w="100"/>
              <w:bottom w:type="dxa" w:w="80"/>
              <w:right w:type="dxa" w:w="100"/>
            </w:tcMar>
          </w:tcPr>
          <w:p>
            <w:r>
              <w:rPr>
                <w:b w:val="false"/>
                <w:bCs w:val="false"/>
                <w:color w:val="000000"/>
                <w:sz w:val="20"/>
                <w:szCs w:val="20"/>
              </w:rPr>
              <w:t xml:space="preserve">MessageID PK, EntityType (enum: Request/Agreement/Order), EntityID, SenderUserID FK, Content, CreatedAt.</w:t>
            </w:r>
          </w:p>
        </w:tc>
      </w:tr>
      <w:tr>
        <w:tc>
          <w:tcPr>
            <w:tcW w:type="dxa" w:w="2300"/>
            <w:shd w:fill="F2F2F2" w:val="clear"/>
            <w:tcMar>
              <w:top w:type="dxa" w:w="80"/>
              <w:left w:type="dxa" w:w="100"/>
              <w:bottom w:type="dxa" w:w="80"/>
              <w:right w:type="dxa" w:w="100"/>
            </w:tcMar>
          </w:tcPr>
          <w:p>
            <w:r>
              <w:rPr>
                <w:b w:val="false"/>
                <w:bCs w:val="false"/>
                <w:color w:val="000000"/>
                <w:sz w:val="20"/>
                <w:szCs w:val="20"/>
              </w:rPr>
              <w:t xml:space="preserve">Notifications</w:t>
            </w:r>
          </w:p>
        </w:tc>
        <w:tc>
          <w:tcPr>
            <w:tcW w:type="dxa" w:w="7100"/>
            <w:shd w:fill="F2F2F2" w:val="clear"/>
            <w:tcMar>
              <w:top w:type="dxa" w:w="80"/>
              <w:left w:type="dxa" w:w="100"/>
              <w:bottom w:type="dxa" w:w="80"/>
              <w:right w:type="dxa" w:w="100"/>
            </w:tcMar>
          </w:tcPr>
          <w:p>
            <w:r>
              <w:rPr>
                <w:b w:val="false"/>
                <w:bCs w:val="false"/>
                <w:color w:val="000000"/>
                <w:sz w:val="20"/>
                <w:szCs w:val="20"/>
              </w:rPr>
              <w:t xml:space="preserve">NotificationID PK, UserID FK, Message, Channel (enum: InApp/Email/SMS/Push), IsRead, CreatedAt.</w:t>
            </w:r>
          </w:p>
        </w:tc>
      </w:tr>
      <w:tr>
        <w:tc>
          <w:tcPr>
            <w:tcW w:type="dxa" w:w="2300"/>
            <w:tcMar>
              <w:top w:type="dxa" w:w="80"/>
              <w:left w:type="dxa" w:w="100"/>
              <w:bottom w:type="dxa" w:w="80"/>
              <w:right w:type="dxa" w:w="100"/>
            </w:tcMar>
          </w:tcPr>
          <w:p>
            <w:r>
              <w:rPr>
                <w:b w:val="false"/>
                <w:bCs w:val="false"/>
                <w:color w:val="000000"/>
                <w:sz w:val="20"/>
                <w:szCs w:val="20"/>
              </w:rPr>
              <w:t xml:space="preserve">AuditLogs</w:t>
            </w:r>
          </w:p>
        </w:tc>
        <w:tc>
          <w:tcPr>
            <w:tcW w:type="dxa" w:w="7100"/>
            <w:tcMar>
              <w:top w:type="dxa" w:w="80"/>
              <w:left w:type="dxa" w:w="100"/>
              <w:bottom w:type="dxa" w:w="80"/>
              <w:right w:type="dxa" w:w="100"/>
            </w:tcMar>
          </w:tcPr>
          <w:p>
            <w:r>
              <w:rPr>
                <w:b w:val="false"/>
                <w:bCs w:val="false"/>
                <w:color w:val="000000"/>
                <w:sz w:val="20"/>
                <w:szCs w:val="20"/>
              </w:rPr>
              <w:t xml:space="preserve">LogID PK, Entity, EntityID, Action, PerformedByUserID FK, Timestamp.</w:t>
            </w:r>
          </w:p>
        </w:tc>
      </w:tr>
    </w:tbl>
    <w:p>
      <w:pPr>
        <w:pStyle w:val="Heading2"/>
        <w:spacing w:after="120" w:before="280"/>
      </w:pPr>
      <w:r>
        <w:t xml:space="preserve">5.5 Enumerations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Enum</w:t>
            </w:r>
          </w:p>
        </w:tc>
        <w:tc>
          <w:tcPr>
            <w:tcW w:type="dxa" w:w="6200"/>
            <w:shd w:fill="1F3864" w:val="clear"/>
            <w:tcMar>
              <w:top w:type="dxa" w:w="80"/>
              <w:left w:type="dxa" w:w="100"/>
              <w:bottom w:type="dxa" w:w="80"/>
              <w:right w:type="dxa" w:w="100"/>
            </w:tcMar>
          </w:tcPr>
          <w:p>
            <w:r>
              <w:rPr>
                <w:b/>
                <w:bCs/>
                <w:color w:val="FFFFFF"/>
                <w:sz w:val="20"/>
                <w:szCs w:val="20"/>
              </w:rPr>
              <w:t xml:space="preserve">Values</w:t>
            </w:r>
          </w:p>
        </w:tc>
      </w:tr>
      <w:tr>
        <w:tc>
          <w:tcPr>
            <w:tcW w:type="dxa" w:w="3200"/>
            <w:tcMar>
              <w:top w:type="dxa" w:w="80"/>
              <w:left w:type="dxa" w:w="100"/>
              <w:bottom w:type="dxa" w:w="80"/>
              <w:right w:type="dxa" w:w="100"/>
            </w:tcMar>
          </w:tcPr>
          <w:p>
            <w:r>
              <w:rPr>
                <w:b w:val="false"/>
                <w:bCs w:val="false"/>
                <w:color w:val="000000"/>
                <w:sz w:val="20"/>
                <w:szCs w:val="20"/>
              </w:rPr>
              <w:t xml:space="preserve">Role</w:t>
            </w:r>
          </w:p>
        </w:tc>
        <w:tc>
          <w:tcPr>
            <w:tcW w:type="dxa" w:w="6200"/>
            <w:tcMar>
              <w:top w:type="dxa" w:w="80"/>
              <w:left w:type="dxa" w:w="100"/>
              <w:bottom w:type="dxa" w:w="80"/>
              <w:right w:type="dxa" w:w="100"/>
            </w:tcMar>
          </w:tcPr>
          <w:p>
            <w:r>
              <w:rPr>
                <w:b w:val="false"/>
                <w:bCs w:val="false"/>
                <w:color w:val="000000"/>
                <w:sz w:val="20"/>
                <w:szCs w:val="20"/>
              </w:rPr>
              <w:t xml:space="preserve">Customer, Tailor, Admin</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KYCStatus</w:t>
            </w:r>
          </w:p>
        </w:tc>
        <w:tc>
          <w:tcPr>
            <w:tcW w:type="dxa" w:w="6200"/>
            <w:shd w:fill="F2F2F2" w:val="clear"/>
            <w:tcMar>
              <w:top w:type="dxa" w:w="80"/>
              <w:left w:type="dxa" w:w="100"/>
              <w:bottom w:type="dxa" w:w="80"/>
              <w:right w:type="dxa" w:w="100"/>
            </w:tcMar>
          </w:tcPr>
          <w:p>
            <w:r>
              <w:rPr>
                <w:b w:val="false"/>
                <w:bCs w:val="false"/>
                <w:color w:val="000000"/>
                <w:sz w:val="20"/>
                <w:szCs w:val="20"/>
              </w:rPr>
              <w:t xml:space="preserve">Pending, Verified, Rejected</w:t>
            </w:r>
          </w:p>
        </w:tc>
      </w:tr>
      <w:tr>
        <w:tc>
          <w:tcPr>
            <w:tcW w:type="dxa" w:w="3200"/>
            <w:tcMar>
              <w:top w:type="dxa" w:w="80"/>
              <w:left w:type="dxa" w:w="100"/>
              <w:bottom w:type="dxa" w:w="80"/>
              <w:right w:type="dxa" w:w="100"/>
            </w:tcMar>
          </w:tcPr>
          <w:p>
            <w:r>
              <w:rPr>
                <w:b w:val="false"/>
                <w:bCs w:val="false"/>
                <w:color w:val="000000"/>
                <w:sz w:val="20"/>
                <w:szCs w:val="20"/>
              </w:rPr>
              <w:t xml:space="preserve">RequestStatus</w:t>
            </w:r>
          </w:p>
        </w:tc>
        <w:tc>
          <w:tcPr>
            <w:tcW w:type="dxa" w:w="6200"/>
            <w:tcMar>
              <w:top w:type="dxa" w:w="80"/>
              <w:left w:type="dxa" w:w="100"/>
              <w:bottom w:type="dxa" w:w="80"/>
              <w:right w:type="dxa" w:w="100"/>
            </w:tcMar>
          </w:tcPr>
          <w:p>
            <w:r>
              <w:rPr>
                <w:b w:val="false"/>
                <w:bCs w:val="false"/>
                <w:color w:val="000000"/>
                <w:sz w:val="20"/>
                <w:szCs w:val="20"/>
              </w:rPr>
              <w:t xml:space="preserve">Open, Countered, Accepted, Declined, Expired</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AgreementStatus</w:t>
            </w:r>
          </w:p>
        </w:tc>
        <w:tc>
          <w:tcPr>
            <w:tcW w:type="dxa" w:w="6200"/>
            <w:shd w:fill="F2F2F2" w:val="clear"/>
            <w:tcMar>
              <w:top w:type="dxa" w:w="80"/>
              <w:left w:type="dxa" w:w="100"/>
              <w:bottom w:type="dxa" w:w="80"/>
              <w:right w:type="dxa" w:w="100"/>
            </w:tcMar>
          </w:tcPr>
          <w:p>
            <w:r>
              <w:rPr>
                <w:b w:val="false"/>
                <w:bCs w:val="false"/>
                <w:color w:val="000000"/>
                <w:sz w:val="20"/>
                <w:szCs w:val="20"/>
              </w:rPr>
              <w:t xml:space="preserve">Draft, Confirmed, Superseded</w:t>
            </w:r>
          </w:p>
        </w:tc>
      </w:tr>
      <w:tr>
        <w:tc>
          <w:tcPr>
            <w:tcW w:type="dxa" w:w="3200"/>
            <w:tcMar>
              <w:top w:type="dxa" w:w="80"/>
              <w:left w:type="dxa" w:w="100"/>
              <w:bottom w:type="dxa" w:w="80"/>
              <w:right w:type="dxa" w:w="100"/>
            </w:tcMar>
          </w:tcPr>
          <w:p>
            <w:r>
              <w:rPr>
                <w:b w:val="false"/>
                <w:bCs w:val="false"/>
                <w:color w:val="000000"/>
                <w:sz w:val="20"/>
                <w:szCs w:val="20"/>
              </w:rPr>
              <w:t xml:space="preserve">OrderStatus</w:t>
            </w:r>
          </w:p>
        </w:tc>
        <w:tc>
          <w:tcPr>
            <w:tcW w:type="dxa" w:w="6200"/>
            <w:tcMar>
              <w:top w:type="dxa" w:w="80"/>
              <w:left w:type="dxa" w:w="100"/>
              <w:bottom w:type="dxa" w:w="80"/>
              <w:right w:type="dxa" w:w="100"/>
            </w:tcMar>
          </w:tcPr>
          <w:p>
            <w:r>
              <w:rPr>
                <w:b w:val="false"/>
                <w:bCs w:val="false"/>
                <w:color w:val="000000"/>
                <w:sz w:val="20"/>
                <w:szCs w:val="20"/>
              </w:rPr>
              <w:t xml:space="preserve">Confirmed, Cutting, Sewing, Fitting, Ready, Delivered</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AIMeasurementSessionStatus</w:t>
            </w:r>
          </w:p>
        </w:tc>
        <w:tc>
          <w:tcPr>
            <w:tcW w:type="dxa" w:w="6200"/>
            <w:shd w:fill="F2F2F2" w:val="clear"/>
            <w:tcMar>
              <w:top w:type="dxa" w:w="80"/>
              <w:left w:type="dxa" w:w="100"/>
              <w:bottom w:type="dxa" w:w="80"/>
              <w:right w:type="dxa" w:w="100"/>
            </w:tcMar>
          </w:tcPr>
          <w:p>
            <w:r>
              <w:rPr>
                <w:b w:val="false"/>
                <w:bCs w:val="false"/>
                <w:color w:val="000000"/>
                <w:sz w:val="20"/>
                <w:szCs w:val="20"/>
              </w:rPr>
              <w:t xml:space="preserve">Created, InProgress, Completed, Expired, Failed</w:t>
            </w:r>
          </w:p>
        </w:tc>
      </w:tr>
      <w:tr>
        <w:tc>
          <w:tcPr>
            <w:tcW w:type="dxa" w:w="3200"/>
            <w:tcMar>
              <w:top w:type="dxa" w:w="80"/>
              <w:left w:type="dxa" w:w="100"/>
              <w:bottom w:type="dxa" w:w="80"/>
              <w:right w:type="dxa" w:w="100"/>
            </w:tcMar>
          </w:tcPr>
          <w:p>
            <w:r>
              <w:rPr>
                <w:b w:val="false"/>
                <w:bCs w:val="false"/>
                <w:color w:val="000000"/>
                <w:sz w:val="20"/>
                <w:szCs w:val="20"/>
              </w:rPr>
              <w:t xml:space="preserve">ConsentType</w:t>
            </w:r>
          </w:p>
        </w:tc>
        <w:tc>
          <w:tcPr>
            <w:tcW w:type="dxa" w:w="6200"/>
            <w:tcMar>
              <w:top w:type="dxa" w:w="80"/>
              <w:left w:type="dxa" w:w="100"/>
              <w:bottom w:type="dxa" w:w="80"/>
              <w:right w:type="dxa" w:w="100"/>
            </w:tcMar>
          </w:tcPr>
          <w:p>
            <w:r>
              <w:rPr>
                <w:b w:val="false"/>
                <w:bCs w:val="false"/>
                <w:color w:val="000000"/>
                <w:sz w:val="20"/>
                <w:szCs w:val="20"/>
              </w:rPr>
              <w:t xml:space="preserve">PhotoCapture, DataRetention</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MeasurementSource</w:t>
            </w:r>
          </w:p>
        </w:tc>
        <w:tc>
          <w:tcPr>
            <w:tcW w:type="dxa" w:w="6200"/>
            <w:shd w:fill="F2F2F2" w:val="clear"/>
            <w:tcMar>
              <w:top w:type="dxa" w:w="80"/>
              <w:left w:type="dxa" w:w="100"/>
              <w:bottom w:type="dxa" w:w="80"/>
              <w:right w:type="dxa" w:w="100"/>
            </w:tcMar>
          </w:tcPr>
          <w:p>
            <w:r>
              <w:rPr>
                <w:b w:val="false"/>
                <w:bCs w:val="false"/>
                <w:color w:val="000000"/>
                <w:sz w:val="20"/>
                <w:szCs w:val="20"/>
              </w:rPr>
              <w:t xml:space="preserve">AI, Manual, Hybrid</w:t>
            </w:r>
          </w:p>
        </w:tc>
      </w:tr>
      <w:tr>
        <w:tc>
          <w:tcPr>
            <w:tcW w:type="dxa" w:w="3200"/>
            <w:tcMar>
              <w:top w:type="dxa" w:w="80"/>
              <w:left w:type="dxa" w:w="100"/>
              <w:bottom w:type="dxa" w:w="80"/>
              <w:right w:type="dxa" w:w="100"/>
            </w:tcMar>
          </w:tcPr>
          <w:p>
            <w:r>
              <w:rPr>
                <w:b w:val="false"/>
                <w:bCs w:val="false"/>
                <w:color w:val="000000"/>
                <w:sz w:val="20"/>
                <w:szCs w:val="20"/>
              </w:rPr>
              <w:t xml:space="preserve">MeasurementProfileStatus</w:t>
            </w:r>
          </w:p>
        </w:tc>
        <w:tc>
          <w:tcPr>
            <w:tcW w:type="dxa" w:w="6200"/>
            <w:tcMar>
              <w:top w:type="dxa" w:w="80"/>
              <w:left w:type="dxa" w:w="100"/>
              <w:bottom w:type="dxa" w:w="80"/>
              <w:right w:type="dxa" w:w="100"/>
            </w:tcMar>
          </w:tcPr>
          <w:p>
            <w:r>
              <w:rPr>
                <w:b w:val="false"/>
                <w:bCs w:val="false"/>
                <w:color w:val="000000"/>
                <w:sz w:val="20"/>
                <w:szCs w:val="20"/>
              </w:rPr>
              <w:t xml:space="preserve">PendingReview, Confirmed, Superseded</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MeasurementAuditAction</w:t>
            </w:r>
          </w:p>
        </w:tc>
        <w:tc>
          <w:tcPr>
            <w:tcW w:type="dxa" w:w="6200"/>
            <w:shd w:fill="F2F2F2" w:val="clear"/>
            <w:tcMar>
              <w:top w:type="dxa" w:w="80"/>
              <w:left w:type="dxa" w:w="100"/>
              <w:bottom w:type="dxa" w:w="80"/>
              <w:right w:type="dxa" w:w="100"/>
            </w:tcMar>
          </w:tcPr>
          <w:p>
            <w:r>
              <w:rPr>
                <w:b w:val="false"/>
                <w:bCs w:val="false"/>
                <w:color w:val="000000"/>
                <w:sz w:val="20"/>
                <w:szCs w:val="20"/>
              </w:rPr>
              <w:t xml:space="preserve">Viewed, Overridden, Confirmed, RetakeRequested</w:t>
            </w:r>
          </w:p>
        </w:tc>
      </w:tr>
      <w:tr>
        <w:tc>
          <w:tcPr>
            <w:tcW w:type="dxa" w:w="3200"/>
            <w:tcMar>
              <w:top w:type="dxa" w:w="80"/>
              <w:left w:type="dxa" w:w="100"/>
              <w:bottom w:type="dxa" w:w="80"/>
              <w:right w:type="dxa" w:w="100"/>
            </w:tcMar>
          </w:tcPr>
          <w:p>
            <w:r>
              <w:rPr>
                <w:b w:val="false"/>
                <w:bCs w:val="false"/>
                <w:color w:val="000000"/>
                <w:sz w:val="20"/>
                <w:szCs w:val="20"/>
              </w:rPr>
              <w:t xml:space="preserve">PaymentMilestone</w:t>
            </w:r>
          </w:p>
        </w:tc>
        <w:tc>
          <w:tcPr>
            <w:tcW w:type="dxa" w:w="6200"/>
            <w:tcMar>
              <w:top w:type="dxa" w:w="80"/>
              <w:left w:type="dxa" w:w="100"/>
              <w:bottom w:type="dxa" w:w="80"/>
              <w:right w:type="dxa" w:w="100"/>
            </w:tcMar>
          </w:tcPr>
          <w:p>
            <w:r>
              <w:rPr>
                <w:b w:val="false"/>
                <w:bCs w:val="false"/>
                <w:color w:val="000000"/>
                <w:sz w:val="20"/>
                <w:szCs w:val="20"/>
              </w:rPr>
              <w:t xml:space="preserve">Deposit, Balance</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PaymentStatus</w:t>
            </w:r>
          </w:p>
        </w:tc>
        <w:tc>
          <w:tcPr>
            <w:tcW w:type="dxa" w:w="6200"/>
            <w:shd w:fill="F2F2F2" w:val="clear"/>
            <w:tcMar>
              <w:top w:type="dxa" w:w="80"/>
              <w:left w:type="dxa" w:w="100"/>
              <w:bottom w:type="dxa" w:w="80"/>
              <w:right w:type="dxa" w:w="100"/>
            </w:tcMar>
          </w:tcPr>
          <w:p>
            <w:r>
              <w:rPr>
                <w:b w:val="false"/>
                <w:bCs w:val="false"/>
                <w:color w:val="000000"/>
                <w:sz w:val="20"/>
                <w:szCs w:val="20"/>
              </w:rPr>
              <w:t xml:space="preserve">Held, Released, Refunded</w:t>
            </w:r>
          </w:p>
        </w:tc>
      </w:tr>
      <w:tr>
        <w:tc>
          <w:tcPr>
            <w:tcW w:type="dxa" w:w="3200"/>
            <w:tcMar>
              <w:top w:type="dxa" w:w="80"/>
              <w:left w:type="dxa" w:w="100"/>
              <w:bottom w:type="dxa" w:w="80"/>
              <w:right w:type="dxa" w:w="100"/>
            </w:tcMar>
          </w:tcPr>
          <w:p>
            <w:r>
              <w:rPr>
                <w:b w:val="false"/>
                <w:bCs w:val="false"/>
                <w:color w:val="000000"/>
                <w:sz w:val="20"/>
                <w:szCs w:val="20"/>
              </w:rPr>
              <w:t xml:space="preserve">NotificationChannel</w:t>
            </w:r>
          </w:p>
        </w:tc>
        <w:tc>
          <w:tcPr>
            <w:tcW w:type="dxa" w:w="6200"/>
            <w:tcMar>
              <w:top w:type="dxa" w:w="80"/>
              <w:left w:type="dxa" w:w="100"/>
              <w:bottom w:type="dxa" w:w="80"/>
              <w:right w:type="dxa" w:w="100"/>
            </w:tcMar>
          </w:tcPr>
          <w:p>
            <w:r>
              <w:rPr>
                <w:b w:val="false"/>
                <w:bCs w:val="false"/>
                <w:color w:val="000000"/>
                <w:sz w:val="20"/>
                <w:szCs w:val="20"/>
              </w:rPr>
              <w:t xml:space="preserve">InApp, Email, SMS, Push</w:t>
            </w:r>
          </w:p>
        </w:tc>
      </w:tr>
    </w:tbl>
    <w:p>
      <w:pPr>
        <w:pStyle w:val="Heading1"/>
        <w:spacing w:after="160" w:before="360"/>
      </w:pPr>
      <w:r>
        <w:t xml:space="preserve">6. AI Measurement Integration — Technical Detail</w:t>
      </w:r>
    </w:p>
    <w:p>
      <w:pPr>
        <w:pStyle w:val="Heading2"/>
        <w:spacing w:after="120" w:before="280"/>
      </w:pPr>
      <w:r>
        <w:t xml:space="preserve">6.1 Sequence</w:t>
      </w:r>
    </w:p>
    <w:p>
      <w:pPr>
        <w:pStyle w:val="ListParagraph"/>
        <w:numPr>
          <w:ilvl w:val="0"/>
          <w:numId w:val="3"/>
        </w:numPr>
        <w:spacing w:after="80"/>
      </w:pPr>
      <w:r>
        <w:t xml:space="preserve">Tailor triggers “Unlock AI Measurement” on a Confirmed Agreement → backend creates an AIMeasurementSession (Status: Created) and a signed session token scoped to {CustomerID, TailorID, AgreementID, expiry}.</w:t>
      </w:r>
    </w:p>
    <w:p>
      <w:pPr>
        <w:pStyle w:val="ListParagraph"/>
        <w:numPr>
          <w:ilvl w:val="0"/>
          <w:numId w:val="3"/>
        </w:numPr>
        <w:spacing w:after="80"/>
      </w:pPr>
      <w:r>
        <w:t xml:space="preserve">Customer app shows the consent screen → on acceptance, a ConsentRecord is written and the Customer is redirected using the signed token (Status: InProgress).</w:t>
      </w:r>
    </w:p>
    <w:p>
      <w:pPr>
        <w:pStyle w:val="ListParagraph"/>
        <w:numPr>
          <w:ilvl w:val="0"/>
          <w:numId w:val="3"/>
        </w:numPr>
        <w:spacing w:after="80"/>
      </w:pPr>
      <w:r>
        <w:t xml:space="preserve">Third-party AI provider hosts the photo capture and calibration entirely on its own infrastructure.</w:t>
      </w:r>
    </w:p>
    <w:p>
      <w:pPr>
        <w:pStyle w:val="ListParagraph"/>
        <w:numPr>
          <w:ilvl w:val="0"/>
          <w:numId w:val="3"/>
        </w:numPr>
        <w:spacing w:after="80"/>
      </w:pPr>
      <w:r>
        <w:t xml:space="preserve">Provider calls StitchMatch's webhook with the measurement payload, signed with a shared secret / provider public key.</w:t>
      </w:r>
    </w:p>
    <w:p>
      <w:pPr>
        <w:pStyle w:val="ListParagraph"/>
        <w:numPr>
          <w:ilvl w:val="0"/>
          <w:numId w:val="3"/>
        </w:numPr>
        <w:spacing w:after="80"/>
      </w:pPr>
      <w:r>
        <w:t xml:space="preserve">StitchMatch verifies the signature and token validity, marks the Session Completed, and creates the MeasurementProfile.</w:t>
      </w:r>
    </w:p>
    <w:p>
      <w:pPr>
        <w:pStyle w:val="ListParagraph"/>
        <w:numPr>
          <w:ilvl w:val="0"/>
          <w:numId w:val="3"/>
        </w:numPr>
        <w:spacing w:after="80"/>
      </w:pPr>
      <w:r>
        <w:t xml:space="preserve">Tailor is notified; review/override/confirm happens per §3.5.5; only a Confirmed MeasurementProfile can be attached to an Order.</w:t>
      </w:r>
    </w:p>
    <w:p>
      <w:pPr>
        <w:pStyle w:val="Heading2"/>
        <w:spacing w:after="120" w:before="280"/>
      </w:pPr>
      <w:r>
        <w:t xml:space="preserve">6.2 Example Callback Payload (illustrative)</w:t>
      </w:r>
    </w:p>
    <w:p>
      <w:pPr>
        <w:spacing w:after="120"/>
      </w:pPr>
      <w:r>
        <w:t xml:space="preserve">The exact schema is provider-specific and mapped through the adapter layer; conceptually the callback carries: session token, measurement fields (height, chest, waist, hip, shoulder width, sleeve length, inseam, neck circumference, arm length, thigh circumference), a per-field confidence score, and an overall processing status.</w:t>
      </w:r>
    </w:p>
    <w:p>
      <w:pPr>
        <w:pStyle w:val="Heading2"/>
        <w:spacing w:after="120" w:before="280"/>
      </w:pPr>
      <w:r>
        <w:t xml:space="preserve">6.3 Failure Handling</w:t>
      </w:r>
    </w:p>
    <w:p>
      <w:pPr>
        <w:pStyle w:val="ListParagraph"/>
        <w:numPr>
          <w:ilvl w:val="0"/>
          <w:numId w:val="2"/>
        </w:numPr>
        <w:spacing w:after="60"/>
      </w:pPr>
      <w:r>
        <w:t xml:space="preserve">Expired/unused session → Status: Expired; Tailor can issue a new one.</w:t>
      </w:r>
    </w:p>
    <w:p>
      <w:pPr>
        <w:pStyle w:val="ListParagraph"/>
        <w:numPr>
          <w:ilvl w:val="0"/>
          <w:numId w:val="2"/>
        </w:numPr>
        <w:spacing w:after="60"/>
      </w:pPr>
      <w:r>
        <w:t xml:space="preserve">Provider error or low overall confidence → Status: Failed; Tailor is offered manual entry or a retake.</w:t>
      </w:r>
    </w:p>
    <w:p>
      <w:pPr>
        <w:pStyle w:val="ListParagraph"/>
        <w:numPr>
          <w:ilvl w:val="0"/>
          <w:numId w:val="2"/>
        </w:numPr>
        <w:spacing w:after="60"/>
      </w:pPr>
      <w:r>
        <w:t xml:space="preserve">Duplicate/replayed webhook → rejected via idempotency check on SessionID.</w:t>
      </w:r>
    </w:p>
    <w:p>
      <w:pPr>
        <w:pStyle w:val="Heading1"/>
        <w:spacing w:after="160" w:before="360"/>
      </w:pPr>
      <w:r>
        <w:t xml:space="preserve">7. Technology Stack &amp; Architecture</w:t>
      </w:r>
    </w:p>
    <w:p>
      <w:pPr>
        <w:pStyle w:val="ListParagraph"/>
        <w:numPr>
          <w:ilvl w:val="0"/>
          <w:numId w:val="2"/>
        </w:numPr>
        <w:spacing w:after="60"/>
      </w:pPr>
      <w:r>
        <w:rPr>
          <w:b/>
          <w:bCs/>
        </w:rPr>
        <w:t xml:space="preserve">Frontend:</w:t>
      </w:r>
      <w:r>
        <w:t xml:space="preserve"> React (web), React Native or equivalent mobile shell for the in-app redirect/webview to the AI provider.</w:t>
      </w:r>
    </w:p>
    <w:p>
      <w:pPr>
        <w:pStyle w:val="ListParagraph"/>
        <w:numPr>
          <w:ilvl w:val="0"/>
          <w:numId w:val="2"/>
        </w:numPr>
        <w:spacing w:after="60"/>
      </w:pPr>
      <w:r>
        <w:rPr>
          <w:b/>
          <w:bCs/>
        </w:rPr>
        <w:t xml:space="preserve">Backend:</w:t>
      </w:r>
      <w:r>
        <w:t xml:space="preserve"> REST API service layer with a dedicated AI-Provider Adapter module implementing a common interface (createSession, handleCallback, mapPayload) per vendor.</w:t>
      </w:r>
    </w:p>
    <w:p>
      <w:pPr>
        <w:pStyle w:val="ListParagraph"/>
        <w:numPr>
          <w:ilvl w:val="0"/>
          <w:numId w:val="2"/>
        </w:numPr>
        <w:spacing w:after="60"/>
      </w:pPr>
      <w:r>
        <w:rPr>
          <w:b/>
          <w:bCs/>
        </w:rPr>
        <w:t xml:space="preserve">Database:</w:t>
      </w:r>
      <w:r>
        <w:t xml:space="preserve"> relational store (e.g., PostgreSQL/SQL Server) per the schema in §5.</w:t>
      </w:r>
    </w:p>
    <w:p>
      <w:pPr>
        <w:pStyle w:val="ListParagraph"/>
        <w:numPr>
          <w:ilvl w:val="0"/>
          <w:numId w:val="2"/>
        </w:numPr>
        <w:spacing w:after="60"/>
      </w:pPr>
      <w:r>
        <w:rPr>
          <w:b/>
          <w:bCs/>
        </w:rPr>
        <w:t xml:space="preserve">Security:</w:t>
      </w:r>
      <w:r>
        <w:t xml:space="preserve"> signed short-lived session tokens (JWT or equivalent), webhook signature verification, encryption at rest for MeasurementProfiles and ConsentRecords, role-scoped API authorization.</w:t>
      </w:r>
    </w:p>
    <w:p>
      <w:pPr>
        <w:pStyle w:val="ListParagraph"/>
        <w:numPr>
          <w:ilvl w:val="0"/>
          <w:numId w:val="2"/>
        </w:numPr>
        <w:spacing w:after="60"/>
      </w:pPr>
      <w:r>
        <w:rPr>
          <w:b/>
          <w:bCs/>
        </w:rPr>
        <w:t xml:space="preserve">Integrations:</w:t>
      </w:r>
      <w:r>
        <w:t xml:space="preserve"> third-party AI measurement provider (configurable), payment gateway, email/SMS/push notification providers.</w:t>
      </w:r>
    </w:p>
    <w:p>
      <w:pPr>
        <w:pStyle w:val="Heading1"/>
        <w:spacing w:after="160" w:before="360"/>
      </w:pPr>
      <w:r>
        <w:t xml:space="preserve">8. Testing Strategy</w:t>
      </w:r>
    </w:p>
    <w:p>
      <w:pPr>
        <w:pStyle w:val="ListParagraph"/>
        <w:numPr>
          <w:ilvl w:val="0"/>
          <w:numId w:val="2"/>
        </w:numPr>
        <w:spacing w:after="60"/>
      </w:pPr>
      <w:r>
        <w:rPr>
          <w:b/>
          <w:bCs/>
        </w:rPr>
        <w:t xml:space="preserve">Unit:</w:t>
      </w:r>
      <w:r>
        <w:t xml:space="preserve"> Agreement dual-confirmation logic, session token generation/expiry, webhook signature verification, measurement override audit trail.</w:t>
      </w:r>
    </w:p>
    <w:p>
      <w:pPr>
        <w:pStyle w:val="ListParagraph"/>
        <w:numPr>
          <w:ilvl w:val="0"/>
          <w:numId w:val="2"/>
        </w:numPr>
        <w:spacing w:after="60"/>
      </w:pPr>
      <w:r>
        <w:rPr>
          <w:b/>
          <w:bCs/>
        </w:rPr>
        <w:t xml:space="preserve">Integration:</w:t>
      </w:r>
      <w:r>
        <w:t xml:space="preserve"> end-to-end mock of the AI provider adapter (session create → mock callback → profile creation → notification).</w:t>
      </w:r>
    </w:p>
    <w:p>
      <w:pPr>
        <w:pStyle w:val="ListParagraph"/>
        <w:numPr>
          <w:ilvl w:val="0"/>
          <w:numId w:val="2"/>
        </w:numPr>
        <w:spacing w:after="60"/>
      </w:pPr>
      <w:r>
        <w:rPr>
          <w:b/>
          <w:bCs/>
        </w:rPr>
        <w:t xml:space="preserve">Security testing:</w:t>
      </w:r>
      <w:r>
        <w:t xml:space="preserve"> attempt to reuse an expired/consumed session token; attempt an unsigned or replayed webhook; verify a Tailor cannot see another Tailor's Measurement Profiles.</w:t>
      </w:r>
    </w:p>
    <w:p>
      <w:pPr>
        <w:pStyle w:val="ListParagraph"/>
        <w:numPr>
          <w:ilvl w:val="0"/>
          <w:numId w:val="2"/>
        </w:numPr>
        <w:spacing w:after="60"/>
      </w:pPr>
      <w:r>
        <w:rPr>
          <w:b/>
          <w:bCs/>
        </w:rPr>
        <w:t xml:space="preserve">E2E:</w:t>
      </w:r>
      <w:r>
        <w:t xml:space="preserve"> full journey — Request → Negotiation → Agreement → Unlock → Consent → Redirect (mocked provider) → Callback → Tailor Review → Order → Delivery → Review.</w:t>
      </w:r>
    </w:p>
    <w:p>
      <w:pPr>
        <w:pStyle w:val="ListParagraph"/>
        <w:numPr>
          <w:ilvl w:val="0"/>
          <w:numId w:val="2"/>
        </w:numPr>
        <w:spacing w:after="60"/>
      </w:pPr>
      <w:r>
        <w:rPr>
          <w:b/>
          <w:bCs/>
        </w:rPr>
        <w:t xml:space="preserve">UAT:</w:t>
      </w:r>
      <w:r>
        <w:t xml:space="preserve"> real Tailors validate the measurement review/override UI and that low-confidence flags are clear and actionable.</w:t>
      </w:r>
    </w:p>
    <w:p>
      <w:pPr>
        <w:pStyle w:val="Heading1"/>
        <w:spacing w:after="160" w:before="360"/>
      </w:pPr>
      <w:r>
        <w:t xml:space="preserve">9. Future Enhancements</w:t>
      </w:r>
    </w:p>
    <w:p>
      <w:pPr>
        <w:pStyle w:val="ListParagraph"/>
        <w:numPr>
          <w:ilvl w:val="0"/>
          <w:numId w:val="2"/>
        </w:numPr>
        <w:spacing w:after="60"/>
      </w:pPr>
      <w:r>
        <w:rPr>
          <w:b/>
          <w:bCs/>
        </w:rPr>
        <w:t xml:space="preserve">Multi-provider marketplace:</w:t>
      </w:r>
      <w:r>
        <w:t xml:space="preserve"> let a Tailor choose between several certified AI measurement vendors.</w:t>
      </w:r>
    </w:p>
    <w:p>
      <w:pPr>
        <w:pStyle w:val="ListParagraph"/>
        <w:numPr>
          <w:ilvl w:val="0"/>
          <w:numId w:val="2"/>
        </w:numPr>
        <w:spacing w:after="60"/>
      </w:pPr>
      <w:r>
        <w:rPr>
          <w:b/>
          <w:bCs/>
        </w:rPr>
        <w:t xml:space="preserve">AR fitting preview:</w:t>
      </w:r>
      <w:r>
        <w:t xml:space="preserve"> visualize the garment on the customer's captured body model before production.</w:t>
      </w:r>
    </w:p>
    <w:p>
      <w:pPr>
        <w:pStyle w:val="ListParagraph"/>
        <w:numPr>
          <w:ilvl w:val="0"/>
          <w:numId w:val="2"/>
        </w:numPr>
        <w:spacing w:after="60"/>
      </w:pPr>
      <w:r>
        <w:rPr>
          <w:b/>
          <w:bCs/>
        </w:rPr>
        <w:t xml:space="preserve">Auto size-chart mapping:</w:t>
      </w:r>
      <w:r>
        <w:t xml:space="preserve"> suggest closest ready-made size alongside custom measurements for hybrid orders.</w:t>
      </w:r>
    </w:p>
    <w:p>
      <w:pPr>
        <w:pStyle w:val="ListParagraph"/>
        <w:numPr>
          <w:ilvl w:val="0"/>
          <w:numId w:val="2"/>
        </w:numPr>
        <w:spacing w:after="60"/>
      </w:pPr>
      <w:r>
        <w:rPr>
          <w:b/>
          <w:bCs/>
        </w:rPr>
        <w:t xml:space="preserve">Re-measurement reminders:</w:t>
      </w:r>
      <w:r>
        <w:t xml:space="preserve"> prompt customers to refresh their profile after a configurable time period.</w:t>
      </w:r>
    </w:p>
    <w:p>
      <w:pPr>
        <w:pStyle w:val="ListParagraph"/>
        <w:numPr>
          <w:ilvl w:val="0"/>
          <w:numId w:val="2"/>
        </w:numPr>
        <w:spacing w:after="60"/>
      </w:pPr>
      <w:r>
        <w:rPr>
          <w:b/>
          <w:bCs/>
        </w:rPr>
        <w:t xml:space="preserve">Fabric and style AI recommendations</w:t>
      </w:r>
      <w:r>
        <w:t xml:space="preserve"> based on body profile and stated preferences.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B5C" w:sz="8"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0F6B5C"/>
      <w:sz w:val="25"/>
      <w:szCs w:val="25"/>
    </w:rPr>
  </w:style>
  <w:style w:type="paragraph" w:styleId="Heading3">
    <w:name w:val="Heading 3"/>
    <w:basedOn w:val="Normal"/>
    <w:next w:val="Normal"/>
    <w:qFormat/>
    <w:pPr>
      <w:spacing w:after="100" w:before="200"/>
    </w:pPr>
    <w:rPr>
      <w:rFonts w:ascii="Calibri" w:cs="Calibri" w:eastAsia="Calibri" w:hAnsi="Calibri"/>
      <w:b/>
      <w:bCs/>
      <w:i/>
      <w:i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2026-07-11T11:44:49.990Z</dcterms:created>
  <dcterms:modified xsi:type="dcterms:W3CDTF">2026-07-11T11:44:50.005Z</dcterms:modified>
</cp:coreProperties>
</file>

<file path=docProps/custom.xml><?xml version="1.0" encoding="utf-8"?>
<Properties xmlns="http://schemas.openxmlformats.org/officeDocument/2006/custom-properties" xmlns:vt="http://schemas.openxmlformats.org/officeDocument/2006/docPropsVTypes"/>
</file>