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ng" ContentType="image/png"/>
  <Default Extension="rels" ContentType="application/vnd.openxmlformats-package.relationships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4135513b09544c1c" 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>Workflow 1</w:t>
      </w:r>
    </w:p>
    <w:p>
      <w:pPr>
        <w:pStyle w:val="Subtitle"/>
      </w:pPr>
      <w:r>
        <w:t>Dynamics 365 Workflow Process Documentation</w:t>
      </w:r>
    </w:p>
    <w:p>
      <w:pPr>
        <w:pStyle w:val="Caption"/>
      </w:pPr>
      <w:r>
        <w:t>Generated: 16 March 2026 11:59 UTC</w:t>
      </w:r>
    </w:p>
    <w:p>
      <w:r>
        <w:t> </w:t>
      </w:r>
    </w:p>
    <w:p>
      <w:pPr>
        <w:pStyle w:val="Heading1"/>
      </w:pPr>
      <w:r>
        <w:t>Table of Contents</w:t>
      </w:r>
    </w:p>
    <w:p>
      <w:fldSimple w:instr="TOC \o &quot;1-2&quot; \h \z \u">
        <w:r>
          <w:t>Right-click and update field to generate the table of contents.</w:t>
        </w:r>
      </w:fldSimple>
    </w:p>
    <w:p>
      <w:pPr>
        <w:pBdr>
          <w:bottom w:val="single" w:color="D9E1F2" w:sz="8" w:space="1"/>
        </w:pBdr>
      </w:pPr>
    </w:p>
    <w:p>
      <w:r>
        <w:t> </w:t>
      </w:r>
    </w:p>
    <w:p>
      <w:pPr>
        <w:pStyle w:val="Heading1"/>
      </w:pPr>
      <w:r>
        <w:t>Workflow Summary</w:t>
      </w:r>
    </w:p>
    <w:p>
      <w:pPr>
        <w:pStyle w:val="BodyText"/>
      </w:pPr>
      <w:r>
        <w:t>Workflow 1 runs as a asynchronous workflow on account records to execute configured business actions.</w:t>
      </w:r>
    </w:p>
    <w:tbl>
      <w:tblPr>
        <w:tblW w:w="5000" w:type="pct"/>
        <w:tblCellMar>
          <w:top w:w="80" w:type="dxa"/>
          <w:bottom w:w="80" w:type="dxa"/>
          <w:left w:w="80" w:type="dxa"/>
          <w:right w:w="80" w:type="dxa"/>
        </w:tblCellMar>
        <w:tblBorders>
          <w:top w:val="single" w:color="D9E1F2" w:sz="8"/>
          <w:bottom w:val="single" w:color="D9E1F2" w:sz="8"/>
          <w:left w:val="single" w:color="D9E1F2" w:sz="8"/>
          <w:right w:val="single" w:color="D9E1F2" w:sz="8"/>
          <w:insideH w:val="single" w:color="E7ECF7" w:sz="6"/>
          <w:insideV w:val="single" w:color="E7ECF7" w:sz="6"/>
        </w:tblBorders>
        <w:tblLook w:firstRow="true" w:lastRow="false" w:firstColumn="false" w:lastColumn="false" w:noHBand="false" w:noVBand="true"/>
      </w:tblPr>
      <w:tr>
        <w:tc>
          <w:tcPr>
            <w:shd w:val="clear" w:color="auto" w:fill="EEF3FB"/>
          </w:tcPr>
          <w:p>
            <w:pPr>
              <w:spacing w:before="20" w:after="20"/>
            </w:pPr>
            <w:r>
              <w:rPr>
                <w:b/>
                <w:color w:val="1F4E79"/>
              </w:rPr>
              <w:t>Property</w:t>
            </w:r>
          </w:p>
          <w:tcPr>
            <w:tcW w:type="auto"/>
          </w:tcPr>
        </w:tc>
        <w:tc>
          <w:tcPr>
            <w:shd w:val="clear" w:color="auto" w:fill="EEF3FB"/>
          </w:tcPr>
          <w:p>
            <w:pPr>
              <w:spacing w:before="20" w:after="20"/>
            </w:pPr>
            <w:r>
              <w:rPr>
                <w:b/>
                <w:color w:val="1F4E79"/>
              </w:rPr>
              <w:t>Value</w:t>
            </w:r>
          </w:p>
          <w:tcPr>
            <w:tcW w:type="auto"/>
          </w:tcPr>
        </w:tc>
      </w:tr>
      <w:tr>
        <w:tc>
          <w:p>
            <w:pPr>
              <w:spacing w:before="10" w:after="10"/>
            </w:pPr>
            <w:r>
              <w:t>Primary Entity</w:t>
            </w:r>
          </w:p>
          <w:tcPr>
            <w:tcW w:type="auto"/>
          </w:tcPr>
        </w:tc>
        <w:tc>
          <w:p>
            <w:pPr>
              <w:spacing w:before="10" w:after="10"/>
            </w:pPr>
            <w:r>
              <w:t>account</w:t>
            </w:r>
          </w:p>
          <w:tcPr>
            <w:tcW w:type="auto"/>
          </w:tcPr>
        </w:tc>
      </w:tr>
      <w:tr>
        <w:tc>
          <w:p>
            <w:pPr>
              <w:spacing w:before="10" w:after="10"/>
            </w:pPr>
            <w:r>
              <w:t>Execution Mode</w:t>
            </w:r>
          </w:p>
          <w:tcPr>
            <w:tcW w:type="auto"/>
          </w:tcPr>
        </w:tc>
        <w:tc>
          <w:p>
            <w:pPr>
              <w:spacing w:before="10" w:after="10"/>
            </w:pPr>
            <w:r>
              <w:t>Asynchronous</w:t>
            </w:r>
          </w:p>
          <w:tcPr>
            <w:tcW w:type="auto"/>
          </w:tcPr>
        </w:tc>
      </w:tr>
      <w:tr>
        <w:tc>
          <w:p>
            <w:pPr>
              <w:spacing w:before="10" w:after="10"/>
            </w:pPr>
            <w:r>
              <w:t>Events</w:t>
            </w:r>
          </w:p>
          <w:tcPr>
            <w:tcW w:type="auto"/>
          </w:tcPr>
        </w:tc>
        <w:tc>
          <w:p>
            <w:pPr>
              <w:spacing w:before="10" w:after="10"/>
            </w:pPr>
            <w:r>
              <w:t>Update</w:t>
            </w:r>
          </w:p>
          <w:tcPr>
            <w:tcW w:type="auto"/>
          </w:tcPr>
        </w:tc>
      </w:tr>
      <w:tr>
        <w:tc>
          <w:p>
            <w:pPr>
              <w:spacing w:before="10" w:after="10"/>
            </w:pPr>
            <w:r>
              <w:t>Attribute Filters</w:t>
            </w:r>
          </w:p>
          <w:tcPr>
            <w:tcW w:type="auto"/>
          </w:tcPr>
        </w:tc>
        <w:tc>
          <w:p>
            <w:pPr>
              <w:spacing w:before="10" w:after="10"/>
            </w:pPr>
            <w:r>
              <w:t>None</w:t>
            </w:r>
          </w:p>
          <w:tcPr>
            <w:tcW w:type="auto"/>
          </w:tcPr>
        </w:tc>
      </w:tr>
      <w:tr>
        <w:tc>
          <w:p>
            <w:pPr>
              <w:spacing w:before="10" w:after="10"/>
            </w:pPr>
            <w:r>
              <w:t>Diagram Count</w:t>
            </w:r>
          </w:p>
          <w:tcPr>
            <w:tcW w:type="auto"/>
          </w:tcPr>
        </w:tc>
        <w:tc>
          <w:p>
            <w:pPr>
              <w:spacing w:before="10" w:after="10"/>
            </w:pPr>
            <w:r>
              <w:t>2</w:t>
            </w:r>
          </w:p>
          <w:tcPr>
            <w:tcW w:type="auto"/>
          </w:tcPr>
        </w:tc>
      </w:tr>
    </w:tbl>
    <w:p>
      <w:pPr>
        <w:pStyle w:val="Heading1"/>
      </w:pPr>
      <w:r>
        <w:t>Workflow Overview</w:t>
      </w:r>
    </w:p>
    <w:p>
      <w:pPr>
        <w:pStyle w:val="BodyText"/>
      </w:pPr>
      <w:r>
        <w:t>This workflow automates key steps for account records. It runs in the background when a record is updated, helping teams apply the process consistently and reduce manual effort. A process map is included for quick review.</w:t>
      </w:r>
    </w:p>
    <w:p>
      <w:pPr>
        <w:pStyle w:val="Heading1"/>
      </w:pPr>
      <w:r>
        <w:t>Purpose</w:t>
      </w:r>
    </w:p>
    <w:p>
      <w:pPr>
        <w:pStyle w:val="BodyText"/>
      </w:pPr>
      <w:r>
        <w:t>Workflow 1 runs as a asynchronous workflow on account records to execute configured business actions.</w:t>
      </w:r>
    </w:p>
    <w:p>
      <w:pPr>
        <w:pStyle w:val="Heading1"/>
      </w:pPr>
      <w:r>
        <w:t>Trigger Matrix</w:t>
      </w:r>
    </w:p>
    <w:tbl>
      <w:tblPr>
        <w:tblW w:w="5000" w:type="pct"/>
        <w:tblCellMar>
          <w:top w:w="80" w:type="dxa"/>
          <w:bottom w:w="80" w:type="dxa"/>
          <w:left w:w="80" w:type="dxa"/>
          <w:right w:w="80" w:type="dxa"/>
        </w:tblCellMar>
        <w:tblBorders>
          <w:top w:val="single" w:color="D9E1F2" w:sz="8"/>
          <w:bottom w:val="single" w:color="D9E1F2" w:sz="8"/>
          <w:left w:val="single" w:color="D9E1F2" w:sz="8"/>
          <w:right w:val="single" w:color="D9E1F2" w:sz="8"/>
          <w:insideH w:val="single" w:color="E7ECF7" w:sz="6"/>
          <w:insideV w:val="single" w:color="E7ECF7" w:sz="6"/>
        </w:tblBorders>
        <w:tblLook w:firstRow="true" w:lastRow="false" w:firstColumn="false" w:lastColumn="false" w:noHBand="false" w:noVBand="true"/>
      </w:tblPr>
      <w:tr>
        <w:tc>
          <w:tcPr>
            <w:shd w:val="clear" w:color="auto" w:fill="EEF3FB"/>
          </w:tcPr>
          <w:p>
            <w:pPr>
              <w:spacing w:before="20" w:after="20"/>
            </w:pPr>
            <w:r>
              <w:rPr>
                <w:b/>
                <w:color w:val="1F4E79"/>
              </w:rPr>
              <w:t>Trigger</w:t>
            </w:r>
          </w:p>
          <w:tcPr>
            <w:tcW w:type="auto"/>
          </w:tcPr>
        </w:tc>
        <w:tc>
          <w:tcPr>
            <w:shd w:val="clear" w:color="auto" w:fill="EEF3FB"/>
          </w:tcPr>
          <w:p>
            <w:pPr>
              <w:spacing w:before="20" w:after="20"/>
            </w:pPr>
            <w:r>
              <w:rPr>
                <w:b/>
                <w:color w:val="1F4E79"/>
              </w:rPr>
              <w:t>Enabled</w:t>
            </w:r>
          </w:p>
          <w:tcPr>
            <w:tcW w:type="auto"/>
          </w:tcPr>
        </w:tc>
      </w:tr>
      <w:tr>
        <w:tc>
          <w:p>
            <w:pPr>
              <w:spacing w:before="10" w:after="10"/>
            </w:pPr>
            <w:r>
              <w:t>On Create</w:t>
            </w:r>
          </w:p>
          <w:tcPr>
            <w:tcW w:type="auto"/>
          </w:tcPr>
        </w:tc>
        <w:tc>
          <w:p>
            <w:pPr>
              <w:spacing w:before="10" w:after="10"/>
            </w:pPr>
            <w:r>
              <w:t>No</w:t>
            </w:r>
          </w:p>
          <w:tcPr>
            <w:tcW w:type="auto"/>
          </w:tcPr>
        </w:tc>
      </w:tr>
      <w:tr>
        <w:tc>
          <w:p>
            <w:pPr>
              <w:spacing w:before="10" w:after="10"/>
            </w:pPr>
            <w:r>
              <w:t>On Update</w:t>
            </w:r>
          </w:p>
          <w:tcPr>
            <w:tcW w:type="auto"/>
          </w:tcPr>
        </w:tc>
        <w:tc>
          <w:p>
            <w:pPr>
              <w:spacing w:before="10" w:after="10"/>
            </w:pPr>
            <w:r>
              <w:t>Yes</w:t>
            </w:r>
          </w:p>
          <w:tcPr>
            <w:tcW w:type="auto"/>
          </w:tcPr>
        </w:tc>
      </w:tr>
      <w:tr>
        <w:tc>
          <w:p>
            <w:pPr>
              <w:spacing w:before="10" w:after="10"/>
            </w:pPr>
            <w:r>
              <w:t>On Delete</w:t>
            </w:r>
          </w:p>
          <w:tcPr>
            <w:tcW w:type="auto"/>
          </w:tcPr>
        </w:tc>
        <w:tc>
          <w:p>
            <w:pPr>
              <w:spacing w:before="10" w:after="10"/>
            </w:pPr>
            <w:r>
              <w:t>No</w:t>
            </w:r>
          </w:p>
          <w:tcPr>
            <w:tcW w:type="auto"/>
          </w:tcPr>
        </w:tc>
      </w:tr>
    </w:tbl>
    <w:p>
      <w:pPr>
        <w:pStyle w:val="Heading1"/>
      </w:pPr>
      <w:r>
        <w:t>Execution Mode</w:t>
      </w:r>
    </w:p>
    <w:p>
      <w:pPr>
        <w:pStyle w:val="BodyText"/>
      </w:pPr>
      <w:r>
        <w:t>This is a background workflow. Actions execute asynchronously after the triggering event.</w:t>
      </w:r>
    </w:p>
    <w:p>
      <w:pPr>
        <w:pStyle w:val="Heading1"/>
      </w:pPr>
      <w:r>
        <w:t>Narrative Sections</w:t>
      </w:r>
    </w:p>
    <w:p>
      <w:pPr>
        <w:pStyle w:val="Heading2"/>
      </w:pPr>
      <w:r>
        <w:t>Purpose</w:t>
      </w:r>
    </w:p>
    <w:p>
      <w:pPr>
        <w:pStyle w:val="BodyText"/>
      </w:pPr>
      <w:r>
        <w:t>Workflow 1 runs as a asynchronous workflow on account records to execute configured business actions.</w:t>
      </w:r>
    </w:p>
    <w:p>
      <w:pPr>
        <w:pStyle w:val="Emphasis"/>
      </w:pPr>
      <w:r>
        <w:t>Source traces:</w:t>
      </w:r>
    </w:p>
    <w:tbl>
      <w:tblPr>
        <w:tblW w:w="5000" w:type="pct"/>
        <w:tblCellMar>
          <w:top w:w="80" w:type="dxa"/>
          <w:bottom w:w="80" w:type="dxa"/>
          <w:left w:w="80" w:type="dxa"/>
          <w:right w:w="80" w:type="dxa"/>
        </w:tblCellMar>
        <w:tblBorders>
          <w:top w:val="single" w:color="D9E1F2" w:sz="8"/>
          <w:bottom w:val="single" w:color="D9E1F2" w:sz="8"/>
          <w:left w:val="single" w:color="D9E1F2" w:sz="8"/>
          <w:right w:val="single" w:color="D9E1F2" w:sz="8"/>
          <w:insideH w:val="single" w:color="E7ECF7" w:sz="6"/>
          <w:insideV w:val="single" w:color="E7ECF7" w:sz="6"/>
        </w:tblBorders>
        <w:tblLook w:firstRow="true" w:lastRow="false" w:firstColumn="false" w:lastColumn="false" w:noHBand="false" w:noVBand="true"/>
      </w:tblPr>
      <w:tr>
        <w:tc>
          <w:tcPr>
            <w:shd w:val="clear" w:color="auto" w:fill="EEF3FB"/>
          </w:tcPr>
          <w:p>
            <w:pPr>
              <w:spacing w:before="20" w:after="20"/>
            </w:pPr>
            <w:r>
              <w:rPr>
                <w:b/>
                <w:color w:val="1F4E79"/>
              </w:rPr>
              <w:t>Source Field</w:t>
            </w:r>
          </w:p>
          <w:tcPr>
            <w:tcW w:type="auto"/>
          </w:tcPr>
        </w:tc>
        <w:tc>
          <w:tcPr>
            <w:shd w:val="clear" w:color="auto" w:fill="EEF3FB"/>
          </w:tcPr>
          <w:p>
            <w:pPr>
              <w:spacing w:before="20" w:after="20"/>
            </w:pPr>
            <w:r>
              <w:rPr>
                <w:b/>
                <w:color w:val="1F4E79"/>
              </w:rPr>
              <w:t>Source Path</w:t>
            </w:r>
          </w:p>
          <w:tcPr>
            <w:tcW w:type="auto"/>
          </w:tcPr>
        </w:tc>
        <w:tc>
          <w:tcPr>
            <w:shd w:val="clear" w:color="auto" w:fill="EEF3FB"/>
          </w:tcPr>
          <w:p>
            <w:pPr>
              <w:spacing w:before="20" w:after="20"/>
            </w:pPr>
            <w:r>
              <w:rPr>
                <w:b/>
                <w:color w:val="1F4E79"/>
              </w:rPr>
              <w:t>Notes</w:t>
            </w:r>
          </w:p>
          <w:tcPr>
            <w:tcW w:type="auto"/>
          </w:tcPr>
        </w:tc>
      </w:tr>
      <w:tr>
        <w:tc>
          <w:p>
            <w:pPr>
              <w:spacing w:before="10" w:after="10"/>
            </w:pPr>
            <w:r>
              <w:t>Name</w:t>
            </w:r>
          </w:p>
          <w:tcPr>
            <w:tcW w:type="auto"/>
          </w:tcPr>
        </w:tc>
        <w:tc>
          <w:p>
            <w:pPr>
              <w:spacing w:before="10" w:after="10"/>
            </w:pPr>
            <w:r>
              <w:t>Workflow/@Name</w:t>
            </w:r>
          </w:p>
          <w:tcPr>
            <w:tcW w:type="auto"/>
          </w:tcPr>
        </w:tc>
        <w:tc>
          <w:p>
            <w:pPr>
              <w:spacing w:before="10" w:after="10"/>
            </w:pPr>
            <w:r>
              <w:t>Workflow display name from customizations metadata.</w:t>
            </w:r>
          </w:p>
          <w:tcPr>
            <w:tcW w:type="auto"/>
          </w:tcPr>
        </w:tc>
      </w:tr>
      <w:tr>
        <w:tc>
          <w:p>
            <w:pPr>
              <w:spacing w:before="10" w:after="10"/>
            </w:pPr>
            <w:r>
              <w:t>PrimaryEntity</w:t>
            </w:r>
          </w:p>
          <w:tcPr>
            <w:tcW w:type="auto"/>
          </w:tcPr>
        </w:tc>
        <w:tc>
          <w:p>
            <w:pPr>
              <w:spacing w:before="10" w:after="10"/>
            </w:pPr>
            <w:r>
              <w:t>Workflow/@PrimaryEntity</w:t>
            </w:r>
          </w:p>
          <w:tcPr>
            <w:tcW w:type="auto"/>
          </w:tcPr>
        </w:tc>
        <w:tc>
          <w:p>
            <w:pPr>
              <w:spacing w:before="10" w:after="10"/>
            </w:pPr>
            <w:r>
              <w:t/>
            </w:r>
          </w:p>
          <w:tcPr>
            <w:tcW w:type="auto"/>
          </w:tcPr>
        </w:tc>
      </w:tr>
      <w:tr>
        <w:tc>
          <w:p>
            <w:pPr>
              <w:spacing w:before="10" w:after="10"/>
            </w:pPr>
            <w:r>
              <w:t>ExecutionMode</w:t>
            </w:r>
          </w:p>
          <w:tcPr>
            <w:tcW w:type="auto"/>
          </w:tcPr>
        </w:tc>
        <w:tc>
          <w:p>
            <w:pPr>
              <w:spacing w:before="10" w:after="10"/>
            </w:pPr>
            <w:r>
              <w:t>Workflow/@Mode</w:t>
            </w:r>
          </w:p>
          <w:tcPr>
            <w:tcW w:type="auto"/>
          </w:tcPr>
        </w:tc>
        <w:tc>
          <w:p>
            <w:pPr>
              <w:spacing w:before="10" w:after="10"/>
            </w:pPr>
            <w:r>
              <w:t/>
            </w:r>
          </w:p>
          <w:tcPr>
            <w:tcW w:type="auto"/>
          </w:tcPr>
        </w:tc>
      </w:tr>
    </w:tbl>
    <w:p>
      <w:pPr>
        <w:pStyle w:val="Heading2"/>
      </w:pPr>
      <w:r>
        <w:t>Trigger Behavior</w:t>
      </w:r>
    </w:p>
    <w:p>
      <w:pPr>
        <w:pStyle w:val="BodyText"/>
      </w:pPr>
      <w:r>
        <w:t>Trigger entity: account. Runs on update. No attribute-change filter metadata was found.</w:t>
      </w:r>
    </w:p>
    <w:p>
      <w:pPr>
        <w:pStyle w:val="Emphasis"/>
      </w:pPr>
      <w:r>
        <w:t>Source traces:</w:t>
      </w:r>
    </w:p>
    <w:tbl>
      <w:tblPr>
        <w:tblW w:w="5000" w:type="pct"/>
        <w:tblCellMar>
          <w:top w:w="80" w:type="dxa"/>
          <w:bottom w:w="80" w:type="dxa"/>
          <w:left w:w="80" w:type="dxa"/>
          <w:right w:w="80" w:type="dxa"/>
        </w:tblCellMar>
        <w:tblBorders>
          <w:top w:val="single" w:color="D9E1F2" w:sz="8"/>
          <w:bottom w:val="single" w:color="D9E1F2" w:sz="8"/>
          <w:left w:val="single" w:color="D9E1F2" w:sz="8"/>
          <w:right w:val="single" w:color="D9E1F2" w:sz="8"/>
          <w:insideH w:val="single" w:color="E7ECF7" w:sz="6"/>
          <w:insideV w:val="single" w:color="E7ECF7" w:sz="6"/>
        </w:tblBorders>
        <w:tblLook w:firstRow="true" w:lastRow="false" w:firstColumn="false" w:lastColumn="false" w:noHBand="false" w:noVBand="true"/>
      </w:tblPr>
      <w:tr>
        <w:tc>
          <w:tcPr>
            <w:shd w:val="clear" w:color="auto" w:fill="EEF3FB"/>
          </w:tcPr>
          <w:p>
            <w:pPr>
              <w:spacing w:before="20" w:after="20"/>
            </w:pPr>
            <w:r>
              <w:rPr>
                <w:b/>
                <w:color w:val="1F4E79"/>
              </w:rPr>
              <w:t>Source Field</w:t>
            </w:r>
          </w:p>
          <w:tcPr>
            <w:tcW w:type="auto"/>
          </w:tcPr>
        </w:tc>
        <w:tc>
          <w:tcPr>
            <w:shd w:val="clear" w:color="auto" w:fill="EEF3FB"/>
          </w:tcPr>
          <w:p>
            <w:pPr>
              <w:spacing w:before="20" w:after="20"/>
            </w:pPr>
            <w:r>
              <w:rPr>
                <w:b/>
                <w:color w:val="1F4E79"/>
              </w:rPr>
              <w:t>Source Path</w:t>
            </w:r>
          </w:p>
          <w:tcPr>
            <w:tcW w:type="auto"/>
          </w:tcPr>
        </w:tc>
        <w:tc>
          <w:tcPr>
            <w:shd w:val="clear" w:color="auto" w:fill="EEF3FB"/>
          </w:tcPr>
          <w:p>
            <w:pPr>
              <w:spacing w:before="20" w:after="20"/>
            </w:pPr>
            <w:r>
              <w:rPr>
                <w:b/>
                <w:color w:val="1F4E79"/>
              </w:rPr>
              <w:t>Notes</w:t>
            </w:r>
          </w:p>
          <w:tcPr>
            <w:tcW w:type="auto"/>
          </w:tcPr>
        </w:tc>
      </w:tr>
      <w:tr>
        <w:tc>
          <w:p>
            <w:pPr>
              <w:spacing w:before="10" w:after="10"/>
            </w:pPr>
            <w:r>
              <w:t>PrimaryEntity</w:t>
            </w:r>
          </w:p>
          <w:tcPr>
            <w:tcW w:type="auto"/>
          </w:tcPr>
        </w:tc>
        <w:tc>
          <w:p>
            <w:pPr>
              <w:spacing w:before="10" w:after="10"/>
            </w:pPr>
            <w:r>
              <w:t>Workflow/@PrimaryEntity</w:t>
            </w:r>
          </w:p>
          <w:tcPr>
            <w:tcW w:type="auto"/>
          </w:tcPr>
        </w:tc>
        <w:tc>
          <w:p>
            <w:pPr>
              <w:spacing w:before="10" w:after="10"/>
            </w:pPr>
            <w:r>
              <w:t/>
            </w:r>
          </w:p>
          <w:tcPr>
            <w:tcW w:type="auto"/>
          </w:tcPr>
        </w:tc>
      </w:tr>
      <w:tr>
        <w:tc>
          <w:p>
            <w:pPr>
              <w:spacing w:before="10" w:after="10"/>
            </w:pPr>
            <w:r>
              <w:t>TriggerFlags</w:t>
            </w:r>
          </w:p>
          <w:tcPr>
            <w:tcW w:type="auto"/>
          </w:tcPr>
        </w:tc>
        <w:tc>
          <w:p>
            <w:pPr>
              <w:spacing w:before="10" w:after="10"/>
            </w:pPr>
            <w:r>
              <w:t>Workflow/@OnCreate|@OnUpdate|@OnDelete</w:t>
            </w:r>
          </w:p>
          <w:tcPr>
            <w:tcW w:type="auto"/>
          </w:tcPr>
        </w:tc>
        <w:tc>
          <w:p>
            <w:pPr>
              <w:spacing w:before="10" w:after="10"/>
            </w:pPr>
            <w:r>
              <w:t/>
            </w:r>
          </w:p>
          <w:tcPr>
            <w:tcW w:type="auto"/>
          </w:tcPr>
        </w:tc>
      </w:tr>
      <w:tr>
        <w:tc>
          <w:p>
            <w:pPr>
              <w:spacing w:before="10" w:after="10"/>
            </w:pPr>
            <w:r>
              <w:t>AttributeFilter</w:t>
            </w:r>
          </w:p>
          <w:tcPr>
            <w:tcW w:type="auto"/>
          </w:tcPr>
        </w:tc>
        <w:tc>
          <w:p>
            <w:pPr>
              <w:spacing w:before="10" w:after="10"/>
            </w:pPr>
            <w:r>
              <w:t>Workflow/@AttributeFilter</w:t>
            </w:r>
          </w:p>
          <w:tcPr>
            <w:tcW w:type="auto"/>
          </w:tcPr>
        </w:tc>
        <w:tc>
          <w:p>
            <w:pPr>
              <w:spacing w:before="10" w:after="10"/>
            </w:pPr>
            <w:r>
              <w:t>Also inspects descendant FilteredAttribute/Attribute nodes.</w:t>
            </w:r>
          </w:p>
          <w:tcPr>
            <w:tcW w:type="auto"/>
          </w:tcPr>
        </w:tc>
      </w:tr>
    </w:tbl>
    <w:p>
      <w:pPr>
        <w:pStyle w:val="Heading2"/>
      </w:pPr>
      <w:r>
        <w:t>Process Logic</w:t>
      </w:r>
    </w:p>
    <w:p>
      <w:pPr>
        <w:pStyle w:val="BodyText"/>
      </w:pPr>
      <w:r>
        <w:t>Graph contains 3 nodes and 2 edges. No explicit condition tree was extracted.</w:t>
      </w:r>
    </w:p>
    <w:p>
      <w:pPr>
        <w:pStyle w:val="Emphasis"/>
      </w:pPr>
      <w:r>
        <w:t>Source traces:</w:t>
      </w:r>
    </w:p>
    <w:tbl>
      <w:tblPr>
        <w:tblW w:w="5000" w:type="pct"/>
        <w:tblCellMar>
          <w:top w:w="80" w:type="dxa"/>
          <w:bottom w:w="80" w:type="dxa"/>
          <w:left w:w="80" w:type="dxa"/>
          <w:right w:w="80" w:type="dxa"/>
        </w:tblCellMar>
        <w:tblBorders>
          <w:top w:val="single" w:color="D9E1F2" w:sz="8"/>
          <w:bottom w:val="single" w:color="D9E1F2" w:sz="8"/>
          <w:left w:val="single" w:color="D9E1F2" w:sz="8"/>
          <w:right w:val="single" w:color="D9E1F2" w:sz="8"/>
          <w:insideH w:val="single" w:color="E7ECF7" w:sz="6"/>
          <w:insideV w:val="single" w:color="E7ECF7" w:sz="6"/>
        </w:tblBorders>
        <w:tblLook w:firstRow="true" w:lastRow="false" w:firstColumn="false" w:lastColumn="false" w:noHBand="false" w:noVBand="true"/>
      </w:tblPr>
      <w:tr>
        <w:tc>
          <w:tcPr>
            <w:shd w:val="clear" w:color="auto" w:fill="EEF3FB"/>
          </w:tcPr>
          <w:p>
            <w:pPr>
              <w:spacing w:before="20" w:after="20"/>
            </w:pPr>
            <w:r>
              <w:rPr>
                <w:b/>
                <w:color w:val="1F4E79"/>
              </w:rPr>
              <w:t>Source Field</w:t>
            </w:r>
          </w:p>
          <w:tcPr>
            <w:tcW w:type="auto"/>
          </w:tcPr>
        </w:tc>
        <w:tc>
          <w:tcPr>
            <w:shd w:val="clear" w:color="auto" w:fill="EEF3FB"/>
          </w:tcPr>
          <w:p>
            <w:pPr>
              <w:spacing w:before="20" w:after="20"/>
            </w:pPr>
            <w:r>
              <w:rPr>
                <w:b/>
                <w:color w:val="1F4E79"/>
              </w:rPr>
              <w:t>Source Path</w:t>
            </w:r>
          </w:p>
          <w:tcPr>
            <w:tcW w:type="auto"/>
          </w:tcPr>
        </w:tc>
        <w:tc>
          <w:tcPr>
            <w:shd w:val="clear" w:color="auto" w:fill="EEF3FB"/>
          </w:tcPr>
          <w:p>
            <w:pPr>
              <w:spacing w:before="20" w:after="20"/>
            </w:pPr>
            <w:r>
              <w:rPr>
                <w:b/>
                <w:color w:val="1F4E79"/>
              </w:rPr>
              <w:t>Notes</w:t>
            </w:r>
          </w:p>
          <w:tcPr>
            <w:tcW w:type="auto"/>
          </w:tcPr>
        </w:tc>
      </w:tr>
      <w:tr>
        <w:tc>
          <w:p>
            <w:pPr>
              <w:spacing w:before="10" w:after="10"/>
            </w:pPr>
            <w:r>
              <w:t>StageGraph</w:t>
            </w:r>
          </w:p>
          <w:tcPr>
            <w:tcW w:type="auto"/>
          </w:tcPr>
        </w:tc>
        <w:tc>
          <w:p>
            <w:pPr>
              <w:spacing w:before="10" w:after="10"/>
            </w:pPr>
            <w:r>
              <w:t>Workflow/Steps/*</w:t>
            </w:r>
          </w:p>
          <w:tcPr>
            <w:tcW w:type="auto"/>
          </w:tcPr>
        </w:tc>
        <w:tc>
          <w:p>
            <w:pPr>
              <w:spacing w:before="10" w:after="10"/>
            </w:pPr>
            <w:r>
              <w:t>Branch containers are mapped into labeled edges and synthetic merge nodes.</w:t>
            </w:r>
          </w:p>
          <w:tcPr>
            <w:tcW w:type="auto"/>
          </w:tcPr>
        </w:tc>
      </w:tr>
      <w:tr>
        <w:tc>
          <w:p>
            <w:pPr>
              <w:spacing w:before="10" w:after="10"/>
            </w:pPr>
            <w:r>
              <w:t>ConditionTree</w:t>
            </w:r>
          </w:p>
          <w:tcPr>
            <w:tcW w:type="auto"/>
          </w:tcPr>
        </w:tc>
        <w:tc>
          <w:p>
            <w:pPr>
              <w:spacing w:before="10" w:after="10"/>
            </w:pPr>
            <w:r>
              <w:t>Workflow//Condition|Filter|Criteria</w:t>
            </w:r>
          </w:p>
          <w:tcPr>
            <w:tcW w:type="auto"/>
          </w:tcPr>
        </w:tc>
        <w:tc>
          <w:p>
            <w:pPr>
              <w:spacing w:before="10" w:after="10"/>
            </w:pPr>
            <w:r>
              <w:t/>
            </w:r>
          </w:p>
          <w:tcPr>
            <w:tcW w:type="auto"/>
          </w:tcPr>
        </w:tc>
      </w:tr>
    </w:tbl>
    <w:p>
      <w:pPr>
        <w:pStyle w:val="Heading2"/>
      </w:pPr>
      <w:r>
        <w:t>Dependencies</w:t>
      </w:r>
    </w:p>
    <w:p>
      <w:pPr>
        <w:pStyle w:val="BodyText"/>
      </w:pPr>
      <w:r>
        <w:t>No downstream dependencies were identified in parsed metadata.</w:t>
      </w:r>
    </w:p>
    <w:p>
      <w:pPr>
        <w:pStyle w:val="Emphasis"/>
      </w:pPr>
      <w:r>
        <w:t>Source traces:</w:t>
      </w:r>
    </w:p>
    <w:tbl>
      <w:tblPr>
        <w:tblW w:w="5000" w:type="pct"/>
        <w:tblCellMar>
          <w:top w:w="80" w:type="dxa"/>
          <w:bottom w:w="80" w:type="dxa"/>
          <w:left w:w="80" w:type="dxa"/>
          <w:right w:w="80" w:type="dxa"/>
        </w:tblCellMar>
        <w:tblBorders>
          <w:top w:val="single" w:color="D9E1F2" w:sz="8"/>
          <w:bottom w:val="single" w:color="D9E1F2" w:sz="8"/>
          <w:left w:val="single" w:color="D9E1F2" w:sz="8"/>
          <w:right w:val="single" w:color="D9E1F2" w:sz="8"/>
          <w:insideH w:val="single" w:color="E7ECF7" w:sz="6"/>
          <w:insideV w:val="single" w:color="E7ECF7" w:sz="6"/>
        </w:tblBorders>
        <w:tblLook w:firstRow="true" w:lastRow="false" w:firstColumn="false" w:lastColumn="false" w:noHBand="false" w:noVBand="true"/>
      </w:tblPr>
      <w:tr>
        <w:tc>
          <w:tcPr>
            <w:shd w:val="clear" w:color="auto" w:fill="EEF3FB"/>
          </w:tcPr>
          <w:p>
            <w:pPr>
              <w:spacing w:before="20" w:after="20"/>
            </w:pPr>
            <w:r>
              <w:rPr>
                <w:b/>
                <w:color w:val="1F4E79"/>
              </w:rPr>
              <w:t>Source Field</w:t>
            </w:r>
          </w:p>
          <w:tcPr>
            <w:tcW w:type="auto"/>
          </w:tcPr>
        </w:tc>
        <w:tc>
          <w:tcPr>
            <w:shd w:val="clear" w:color="auto" w:fill="EEF3FB"/>
          </w:tcPr>
          <w:p>
            <w:pPr>
              <w:spacing w:before="20" w:after="20"/>
            </w:pPr>
            <w:r>
              <w:rPr>
                <w:b/>
                <w:color w:val="1F4E79"/>
              </w:rPr>
              <w:t>Source Path</w:t>
            </w:r>
          </w:p>
          <w:tcPr>
            <w:tcW w:type="auto"/>
          </w:tcPr>
        </w:tc>
        <w:tc>
          <w:tcPr>
            <w:shd w:val="clear" w:color="auto" w:fill="EEF3FB"/>
          </w:tcPr>
          <w:p>
            <w:pPr>
              <w:spacing w:before="20" w:after="20"/>
            </w:pPr>
            <w:r>
              <w:rPr>
                <w:b/>
                <w:color w:val="1F4E79"/>
              </w:rPr>
              <w:t>Notes</w:t>
            </w:r>
          </w:p>
          <w:tcPr>
            <w:tcW w:type="auto"/>
          </w:tcPr>
        </w:tc>
      </w:tr>
      <w:tr>
        <w:tc>
          <w:p>
            <w:pPr>
              <w:spacing w:before="10" w:after="10"/>
            </w:pPr>
            <w:r>
              <w:t>Dependencies</w:t>
            </w:r>
          </w:p>
          <w:tcPr>
            <w:tcW w:type="auto"/>
          </w:tcPr>
        </w:tc>
        <w:tc>
          <w:p>
            <w:pPr>
              <w:spacing w:before="10" w:after="10"/>
            </w:pPr>
            <w:r>
              <w:t>Workflow//ChildWorkflow|ExternalCall|Action[@Reference*]</w:t>
            </w:r>
          </w:p>
          <w:tcPr>
            <w:tcW w:type="auto"/>
          </w:tcPr>
        </w:tc>
        <w:tc>
          <w:p>
            <w:pPr>
              <w:spacing w:before="10" w:after="10"/>
            </w:pPr>
            <w:r>
              <w:t/>
            </w:r>
          </w:p>
          <w:tcPr>
            <w:tcW w:type="auto"/>
          </w:tcPr>
        </w:tc>
      </w:tr>
    </w:tbl>
    <w:p>
      <w:pPr>
        <w:pStyle w:val="Heading1"/>
      </w:pPr>
      <w:r>
        <w:t>Diagrams</w:t>
      </w:r>
    </w:p>
    <w:p>
      <w:pPr>
        <w:pStyle w:val="Heading2"/>
      </w:pPr>
      <w:r>
        <w:t>Flowchart</w:t>
      </w:r>
    </w:p>
    <w:tbl>
      <w:tblPr>
        <w:tblW w:w="5000" w:type="pct"/>
        <w:tblCellMar>
          <w:top w:w="80" w:type="dxa"/>
          <w:bottom w:w="80" w:type="dxa"/>
          <w:left w:w="80" w:type="dxa"/>
          <w:right w:w="80" w:type="dxa"/>
        </w:tblCellMar>
        <w:tblBorders>
          <w:top w:val="single" w:color="D9E1F2" w:sz="8"/>
          <w:bottom w:val="single" w:color="D9E1F2" w:sz="8"/>
          <w:left w:val="single" w:color="D9E1F2" w:sz="8"/>
          <w:right w:val="single" w:color="D9E1F2" w:sz="8"/>
          <w:insideH w:val="single" w:color="E7ECF7" w:sz="6"/>
          <w:insideV w:val="single" w:color="E7ECF7" w:sz="6"/>
        </w:tblBorders>
        <w:tblLook w:firstRow="true" w:lastRow="false" w:firstColumn="false" w:lastColumn="false" w:noHBand="false" w:noVBand="true"/>
      </w:tblPr>
      <w:tr>
        <w:tc>
          <w:tcPr>
            <w:shd w:val="clear" w:color="auto" w:fill="EEF3FB"/>
          </w:tcPr>
          <w:p>
            <w:pPr>
              <w:spacing w:before="20" w:after="20"/>
            </w:pPr>
            <w:r>
              <w:rPr>
                <w:b/>
                <w:color w:val="1F4E79"/>
              </w:rPr>
              <w:t>Diagram Property</w:t>
            </w:r>
          </w:p>
          <w:tcPr>
            <w:tcW w:type="auto"/>
          </w:tcPr>
        </w:tc>
        <w:tc>
          <w:tcPr>
            <w:shd w:val="clear" w:color="auto" w:fill="EEF3FB"/>
          </w:tcPr>
          <w:p>
            <w:pPr>
              <w:spacing w:before="20" w:after="20"/>
            </w:pPr>
            <w:r>
              <w:rPr>
                <w:b/>
                <w:color w:val="1F4E79"/>
              </w:rPr>
              <w:t>Value</w:t>
            </w:r>
          </w:p>
          <w:tcPr>
            <w:tcW w:type="auto"/>
          </w:tcPr>
        </w:tc>
      </w:tr>
      <w:tr>
        <w:tc>
          <w:p>
            <w:pPr>
              <w:spacing w:before="10" w:after="10"/>
            </w:pPr>
            <w:r>
              <w:t>Caption</w:t>
            </w:r>
          </w:p>
          <w:tcPr>
            <w:tcW w:type="auto"/>
          </w:tcPr>
        </w:tc>
        <w:tc>
          <w:p>
            <w:pPr>
              <w:spacing w:before="10" w:after="10"/>
            </w:pPr>
            <w:r>
              <w:t>Flowchart of trigger-to-step progression with decision branches.</w:t>
            </w:r>
          </w:p>
          <w:tcPr>
            <w:tcW w:type="auto"/>
          </w:tcPr>
        </w:tc>
      </w:tr>
      <w:tr>
        <w:tc>
          <w:p>
            <w:pPr>
              <w:spacing w:before="10" w:after="10"/>
            </w:pPr>
            <w:r>
              <w:t>Nodes</w:t>
            </w:r>
          </w:p>
          <w:tcPr>
            <w:tcW w:type="auto"/>
          </w:tcPr>
        </w:tc>
        <w:tc>
          <w:p>
            <w:pPr>
              <w:spacing w:before="10" w:after="10"/>
            </w:pPr>
            <w:r>
              <w:t>3</w:t>
            </w:r>
          </w:p>
          <w:tcPr>
            <w:tcW w:type="auto"/>
          </w:tcPr>
        </w:tc>
      </w:tr>
      <w:tr>
        <w:tc>
          <w:p>
            <w:pPr>
              <w:spacing w:before="10" w:after="10"/>
            </w:pPr>
            <w:r>
              <w:t>Edges</w:t>
            </w:r>
          </w:p>
          <w:tcPr>
            <w:tcW w:type="auto"/>
          </w:tcPr>
        </w:tc>
        <w:tc>
          <w:p>
            <w:pPr>
              <w:spacing w:before="10" w:after="10"/>
            </w:pPr>
            <w:r>
              <w:t>2</w:t>
            </w:r>
          </w:p>
          <w:tcPr>
            <w:tcW w:type="auto"/>
          </w:tcPr>
        </w:tc>
      </w:tr>
    </w:tbl>
    <w:p>
      <w:pPr>
        <w:pStyle w:val="Emphasis"/>
      </w:pPr>
      <w:r>
        <w:t>Rendered Artifact:</w:t>
      </w:r>
    </w:p>
    <w:p>
      <w:r>
        <w:drawing>
          <wp:inline xmlns:wp="http://schemas.openxmlformats.org/drawingml/2006/wordprocessingDrawing" distT="0" distB="0" distL="0" distR="0">
            <wp:extent cx="5943600" cy="3200400"/>
            <wp:effectExtent l="0" t="0" r="0" b="0"/>
            <wp:docPr id="1" name="flowchar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lowchart.png"/>
                    <pic:cNvPicPr/>
                  </pic:nvPicPr>
                  <pic:blipFill>
                    <a:blip xmlns:r="http://schemas.openxmlformats.org/officeDocument/2006/relationships" r:embed="R7e7138066c5240f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Flowchart of trigger-to-step progression with decision branches.</w:t>
      </w:r>
    </w:p>
    <w:p>
      <w:pPr>
        <w:pStyle w:val="Heading2"/>
      </w:pPr>
      <w:r>
        <w:t>Swimlane</w:t>
      </w:r>
    </w:p>
    <w:tbl>
      <w:tblPr>
        <w:tblW w:w="5000" w:type="pct"/>
        <w:tblCellMar>
          <w:top w:w="80" w:type="dxa"/>
          <w:bottom w:w="80" w:type="dxa"/>
          <w:left w:w="80" w:type="dxa"/>
          <w:right w:w="80" w:type="dxa"/>
        </w:tblCellMar>
        <w:tblBorders>
          <w:top w:val="single" w:color="D9E1F2" w:sz="8"/>
          <w:bottom w:val="single" w:color="D9E1F2" w:sz="8"/>
          <w:left w:val="single" w:color="D9E1F2" w:sz="8"/>
          <w:right w:val="single" w:color="D9E1F2" w:sz="8"/>
          <w:insideH w:val="single" w:color="E7ECF7" w:sz="6"/>
          <w:insideV w:val="single" w:color="E7ECF7" w:sz="6"/>
        </w:tblBorders>
        <w:tblLook w:firstRow="true" w:lastRow="false" w:firstColumn="false" w:lastColumn="false" w:noHBand="false" w:noVBand="true"/>
      </w:tblPr>
      <w:tr>
        <w:tc>
          <w:tcPr>
            <w:shd w:val="clear" w:color="auto" w:fill="EEF3FB"/>
          </w:tcPr>
          <w:p>
            <w:pPr>
              <w:spacing w:before="20" w:after="20"/>
            </w:pPr>
            <w:r>
              <w:rPr>
                <w:b/>
                <w:color w:val="1F4E79"/>
              </w:rPr>
              <w:t>Diagram Property</w:t>
            </w:r>
          </w:p>
          <w:tcPr>
            <w:tcW w:type="auto"/>
          </w:tcPr>
        </w:tc>
        <w:tc>
          <w:tcPr>
            <w:shd w:val="clear" w:color="auto" w:fill="EEF3FB"/>
          </w:tcPr>
          <w:p>
            <w:pPr>
              <w:spacing w:before="20" w:after="20"/>
            </w:pPr>
            <w:r>
              <w:rPr>
                <w:b/>
                <w:color w:val="1F4E79"/>
              </w:rPr>
              <w:t>Value</w:t>
            </w:r>
          </w:p>
          <w:tcPr>
            <w:tcW w:type="auto"/>
          </w:tcPr>
        </w:tc>
      </w:tr>
      <w:tr>
        <w:tc>
          <w:p>
            <w:pPr>
              <w:spacing w:before="10" w:after="10"/>
            </w:pPr>
            <w:r>
              <w:t>Caption</w:t>
            </w:r>
          </w:p>
          <w:tcPr>
            <w:tcW w:type="auto"/>
          </w:tcPr>
        </w:tc>
        <w:tc>
          <w:p>
            <w:pPr>
              <w:spacing w:before="10" w:after="10"/>
            </w:pPr>
            <w:r>
              <w:t>Swimlane view separating trigger, logic, actions, and integrations.</w:t>
            </w:r>
          </w:p>
          <w:tcPr>
            <w:tcW w:type="auto"/>
          </w:tcPr>
        </w:tc>
      </w:tr>
      <w:tr>
        <w:tc>
          <w:p>
            <w:pPr>
              <w:spacing w:before="10" w:after="10"/>
            </w:pPr>
            <w:r>
              <w:t>Nodes</w:t>
            </w:r>
          </w:p>
          <w:tcPr>
            <w:tcW w:type="auto"/>
          </w:tcPr>
        </w:tc>
        <w:tc>
          <w:p>
            <w:pPr>
              <w:spacing w:before="10" w:after="10"/>
            </w:pPr>
            <w:r>
              <w:t>3</w:t>
            </w:r>
          </w:p>
          <w:tcPr>
            <w:tcW w:type="auto"/>
          </w:tcPr>
        </w:tc>
      </w:tr>
      <w:tr>
        <w:tc>
          <w:p>
            <w:pPr>
              <w:spacing w:before="10" w:after="10"/>
            </w:pPr>
            <w:r>
              <w:t>Edges</w:t>
            </w:r>
          </w:p>
          <w:tcPr>
            <w:tcW w:type="auto"/>
          </w:tcPr>
        </w:tc>
        <w:tc>
          <w:p>
            <w:pPr>
              <w:spacing w:before="10" w:after="10"/>
            </w:pPr>
            <w:r>
              <w:t>2</w:t>
            </w:r>
          </w:p>
          <w:tcPr>
            <w:tcW w:type="auto"/>
          </w:tcPr>
        </w:tc>
      </w:tr>
    </w:tbl>
    <w:p>
      <w:pPr>
        <w:pStyle w:val="Emphasis"/>
      </w:pPr>
      <w:r>
        <w:t>Rendered Artifact:</w:t>
      </w:r>
    </w:p>
    <w:p>
      <w:r>
        <w:drawing>
          <wp:inline xmlns:wp="http://schemas.openxmlformats.org/drawingml/2006/wordprocessingDrawing" distT="0" distB="0" distL="0" distR="0">
            <wp:extent cx="5943600" cy="3200400"/>
            <wp:effectExtent l="0" t="0" r="0" b="0"/>
            <wp:docPr id="1" name="swimlan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wimlane.png"/>
                    <pic:cNvPicPr/>
                  </pic:nvPicPr>
                  <pic:blipFill>
                    <a:blip xmlns:r="http://schemas.openxmlformats.org/officeDocument/2006/relationships" r:embed="R0ee009928bba46a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Swimlane view separating trigger, logic, actions, and integrations.</w:t>
      </w:r>
    </w:p>
    <w:p>
      <w:pPr>
        <w:pStyle w:val="Heading1"/>
      </w:pPr>
      <w:r>
        <w:t>Appendix: Warnings</w:t>
      </w:r>
    </w:p>
    <w:p>
      <w:pPr>
        <w:pStyle w:val="BodyText"/>
      </w:pPr>
      <w:r>
        <w:t>None</w:t>
      </w:r>
    </w:p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eastAsia="Arial" w:cs="Arial"/>
        <w:sz w:val="22"/>
        <w:szCs w:val="22"/>
      </w:rPr>
    </w:rPrDefault>
    <w:pPrDefault>
      <w:pPr/>
    </w:pPrDefault>
  </w:docDefaults>
  <w:style w:type="paragraph" w:styleId="Title">
    <w:name w:val="Title"/>
    <w:next w:val="BodyText"/>
    <w:qFormat/>
    <w:rPr>
      <w:b/>
      <w:color w:val="1F4E79"/>
      <w:sz w:val="52"/>
      <w:szCs w:val="52"/>
    </w:rPr>
  </w:style>
  <w:style w:type="paragraph" w:styleId="Heading1">
    <w:name w:val="Heading 1"/>
    <w:basedOn w:val="BodyText"/>
    <w:next w:val="BodyText"/>
    <w:qFormat/>
    <w:pPr>
      <w:spacing w:before="320" w:after="180"/>
      <w:outlineLvl w:val="0"/>
    </w:pPr>
    <w:rPr>
      <w:b/>
      <w:color w:val="1F4E79"/>
      <w:sz w:val="36"/>
      <w:szCs w:val="36"/>
    </w:rPr>
  </w:style>
  <w:style w:type="paragraph" w:styleId="Heading2">
    <w:name w:val="Heading 2"/>
    <w:basedOn w:val="BodyText"/>
    <w:next w:val="BodyText"/>
    <w:qFormat/>
    <w:pPr>
      <w:spacing w:before="220" w:after="120"/>
      <w:outlineLvl w:val="1"/>
    </w:pPr>
    <w:rPr>
      <w:b/>
      <w:color w:val="2E75B6"/>
      <w:sz w:val="28"/>
      <w:szCs w:val="28"/>
    </w:rPr>
  </w:style>
  <w:style w:type="paragraph" w:styleId="Heading3">
    <w:name w:val="Heading 3"/>
    <w:basedOn w:val="BodyText"/>
    <w:next w:val="BodyText"/>
    <w:qFormat/>
    <w:pPr>
      <w:spacing w:before="180" w:after="100"/>
      <w:outlineLvl w:val="2"/>
    </w:pPr>
    <w:rPr>
      <w:b/>
      <w:color w:val="1F4E79"/>
      <w:sz w:val="24"/>
      <w:szCs w:val="24"/>
    </w:rPr>
  </w:style>
  <w:style w:type="paragraph" w:styleId="BodyText" w:default="true">
    <w:name w:val="Body Text"/>
    <w:qFormat/>
    <w:pPr>
      <w:spacing w:after="120" w:line="300" w:lineRule="auto"/>
    </w:pPr>
    <w:rPr>
      <w:color w:val="202020"/>
      <w:sz w:val="22"/>
      <w:szCs w:val="22"/>
    </w:rPr>
  </w:style>
  <w:style w:type="paragraph" w:styleId="Subtitle">
    <w:name w:val="Subtitle"/>
    <w:basedOn w:val="BodyText"/>
    <w:rPr>
      <w:color w:val="3F6FA3"/>
      <w:sz w:val="28"/>
      <w:szCs w:val="28"/>
    </w:rPr>
  </w:style>
  <w:style w:type="paragraph" w:styleId="Caption">
    <w:name w:val="Caption"/>
    <w:basedOn w:val="BodyText"/>
    <w:rPr>
      <w:color w:val="6F6F6F"/>
      <w:i/>
      <w:sz w:val="20"/>
      <w:szCs w:val="20"/>
    </w:rPr>
  </w:style>
  <w:style w:type="paragraph" w:styleId="Emphasis">
    <w:name w:val="Emphasis"/>
    <w:basedOn w:val="BodyText"/>
    <w:rPr>
      <w:b/>
      <w:color w:val="1F4E79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ae7f8030f4d04b7a" /><Relationship Type="http://schemas.openxmlformats.org/officeDocument/2006/relationships/image" Target="/media/image.png" Id="R7e7138066c5240f7" /><Relationship Type="http://schemas.openxmlformats.org/officeDocument/2006/relationships/image" Target="/media/image2.png" Id="R0ee009928bba46a4" /></Relationships>
</file>