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B1276" w14:textId="77777777" w:rsidR="005D53DB" w:rsidRPr="00AB7BCB" w:rsidRDefault="001427DE" w:rsidP="00E538F4">
      <w:pPr>
        <w:pStyle w:val="Heading2"/>
        <w:sectPr w:rsidR="005D53DB" w:rsidRPr="00AB7BCB" w:rsidSect="001427DE">
          <w:headerReference w:type="default" r:id="rId8"/>
          <w:footerReference w:type="default" r:id="rId9"/>
          <w:pgSz w:w="11907" w:h="16840" w:code="9"/>
          <w:pgMar w:top="1701" w:right="1701" w:bottom="1134" w:left="1701" w:header="680" w:footer="567" w:gutter="0"/>
          <w:cols w:space="708"/>
          <w:docGrid w:linePitch="360"/>
        </w:sectPr>
      </w:pPr>
      <w:r w:rsidRPr="00AB7BCB">
        <w:t>1</w:t>
      </w:r>
      <w:r w:rsidR="00124FFC" w:rsidRPr="00AB7BCB">
        <w:t>: Cryptocurrency Regulation</w:t>
      </w:r>
    </w:p>
    <w:p w14:paraId="58A71943" w14:textId="77777777" w:rsidR="00124FFC" w:rsidRPr="001427DE" w:rsidRDefault="0028711A" w:rsidP="00E538F4">
      <w:pPr>
        <w:pStyle w:val="Heading3"/>
      </w:pPr>
      <w:r w:rsidRPr="001427DE">
        <w:t xml:space="preserve">How can </w:t>
      </w:r>
      <w:r w:rsidRPr="00AB7BCB">
        <w:t>governments</w:t>
      </w:r>
      <w:r w:rsidRPr="001427DE">
        <w:t xml:space="preserve"> strike a </w:t>
      </w:r>
      <w:r w:rsidRPr="00E94D7E">
        <w:t>balance</w:t>
      </w:r>
      <w:r w:rsidRPr="001427DE">
        <w:t xml:space="preserve"> between </w:t>
      </w:r>
      <w:r w:rsidRPr="00EA1482">
        <w:t>fostering</w:t>
      </w:r>
      <w:r w:rsidRPr="001427DE">
        <w:t xml:space="preserve"> </w:t>
      </w:r>
      <w:r w:rsidRPr="00AB7BCB">
        <w:t>innovation</w:t>
      </w:r>
      <w:r w:rsidRPr="001427DE">
        <w:t xml:space="preserve"> in the cryptocurrency space and </w:t>
      </w:r>
      <w:r w:rsidRPr="00E94D7E">
        <w:t>regulating</w:t>
      </w:r>
      <w:r w:rsidRPr="001427DE">
        <w:t xml:space="preserve"> it to mitigate risks?</w:t>
      </w:r>
    </w:p>
    <w:p w14:paraId="1D80F656" w14:textId="77777777" w:rsidR="00301B78" w:rsidRPr="00E94D7E" w:rsidRDefault="00124FFC" w:rsidP="00E538F4">
      <w:r w:rsidRPr="00E94D7E">
        <w:t xml:space="preserve">Governments can strike this balance by adopting a regulatory approach that encourages innovation while ensuring consumer protection and market integrity. This can involve creating clear regulatory frameworks that provide legal certainty for cryptocurrency businesses, investors, and users. Regulatory sandboxes can be established to allow for controlled experimentation with </w:t>
      </w:r>
      <w:r w:rsidRPr="005D53DB">
        <w:t>new</w:t>
      </w:r>
      <w:r w:rsidRPr="00E94D7E">
        <w:t xml:space="preserve"> technologies and business models, enabling regulators to assess risks and benefits before implementing full-scale regulations. Additionally, collaboration between regulators, industry stakeholders, and technology experts can facilitate the development of tailored regulations that address specific risks without stifling innovation.</w:t>
      </w:r>
    </w:p>
    <w:p w14:paraId="7776F04B" w14:textId="77777777" w:rsidR="00124FFC" w:rsidRDefault="0028711A" w:rsidP="00E538F4">
      <w:pPr>
        <w:pStyle w:val="Heading3"/>
      </w:pPr>
      <w:r w:rsidRPr="0028711A">
        <w:t>What are the potential implications of regulating cryptocurrencies on investor confidence and market liquidity?</w:t>
      </w:r>
    </w:p>
    <w:p w14:paraId="28ED7026" w14:textId="77777777" w:rsidR="00301B78" w:rsidRDefault="00124FFC" w:rsidP="00E538F4">
      <w:r>
        <w:t>The regulatory environment significantly influences investor confidence and market liquidity in the cryptocurrency space. Clear and consistent regulations can enhance investor trust by reducing uncertainty and protecting against fraud and market manipulation. However, overly restrictive regulations or regulatory uncertainty may deter investors and businesses, leading to reduced liquidity and increased price volatility. Moreover, regulatory arbitrage may occur as cryptocurrency businesses relocate to jurisdictions with more favorable regulatory environments, further impacting market liquidity and investor confidence.</w:t>
      </w:r>
    </w:p>
    <w:p w14:paraId="37F421DF" w14:textId="287A9C69" w:rsidR="00124FFC" w:rsidRDefault="00D27E01" w:rsidP="00E538F4">
      <w:pPr>
        <w:pStyle w:val="Heading3"/>
      </w:pPr>
      <w:r>
        <w:br w:type="column"/>
      </w:r>
      <w:r w:rsidR="0028711A" w:rsidRPr="0028711A">
        <w:t>How might international coordination be necessary to effectively regulate cryptocurrencies given their borderless nature?</w:t>
      </w:r>
    </w:p>
    <w:p w14:paraId="2BC4271A" w14:textId="77777777" w:rsidR="00301B78" w:rsidRDefault="00124FFC" w:rsidP="00E538F4">
      <w:r>
        <w:t>International coordination is essential for effectively regulating cryptocurrencies due to their borderless nature and global reach. Cryptocurrency transactions can occur across jurisdictions, making it challenging for individual countries to enforce regulations independently. International cooperation can facilitate information sharing, regulatory harmonization, and coordinated enforcement actions to address cross-border risks such as money laundering, terrorist financing, and fraud. Multilateral forums and organizations like the Financial Action Task Force (FATF) play a crucial role in setting international standards and promoting cooperation among regulators and law enforcement agencies.</w:t>
      </w:r>
    </w:p>
    <w:p w14:paraId="1F1CE80A" w14:textId="77777777" w:rsidR="00124FFC" w:rsidRDefault="0028711A" w:rsidP="00E538F4">
      <w:pPr>
        <w:pStyle w:val="Heading3"/>
      </w:pPr>
      <w:r w:rsidRPr="0028711A">
        <w:t>What approaches can governments take to prevent money laundering and illicit activities facilitated by cryptocurrencies without stifling innovation?</w:t>
      </w:r>
    </w:p>
    <w:p w14:paraId="32FE8813" w14:textId="77777777" w:rsidR="00301B78" w:rsidRDefault="00124FFC" w:rsidP="00E538F4">
      <w:r>
        <w:t>Governments can prevent money laundering and illicit activities in the cryptocurrency space by implementing risk-based regulatory frameworks that require cryptocurrency businesses to conduct robust anti-money laundering (AML) and know-your-customer (KYC) procedures. This involves imposing obligations such as customer due diligence, transaction monitoring, and suspicious activity reporting to detect and prevent illicit financial flows. Moreover, regulatory authorities can collaborate with cryptocurrency exchanges, wallet providers, and other intermediaries to implement effective compliance measures while fostering innovation through regulatory sandboxes and guidance.</w:t>
      </w:r>
    </w:p>
    <w:p w14:paraId="69B6FC78" w14:textId="77777777" w:rsidR="00124FFC" w:rsidRDefault="0028711A" w:rsidP="00E538F4">
      <w:pPr>
        <w:pStyle w:val="Heading3"/>
      </w:pPr>
      <w:r w:rsidRPr="0028711A">
        <w:lastRenderedPageBreak/>
        <w:t>How can regulatory frameworks be adapted to address emerging trends such as decentralized finance (DeFi) and non-fungible tokens (NFTs)?</w:t>
      </w:r>
    </w:p>
    <w:p w14:paraId="33B65FEF" w14:textId="77777777" w:rsidR="005D53DB" w:rsidRDefault="00124FFC" w:rsidP="00E538F4">
      <w:pPr>
        <w:sectPr w:rsidR="005D53DB" w:rsidSect="00AB7BCB">
          <w:type w:val="continuous"/>
          <w:pgSz w:w="11907" w:h="16840" w:code="9"/>
          <w:pgMar w:top="1701" w:right="1701" w:bottom="1134" w:left="1701" w:header="680" w:footer="567" w:gutter="0"/>
          <w:cols w:num="2" w:sep="1" w:space="709"/>
          <w:docGrid w:linePitch="360"/>
        </w:sectPr>
      </w:pPr>
      <w:r>
        <w:t xml:space="preserve">Regulatory frameworks need to evolve to address emerging trends such as decentralized finance (DeFi) and non-fungible tokens (NFTs) while ensuring investor protection and market integrity. Regulators can engage with industry stakeholders to understand the unique characteristics and risks associated with these innovations and </w:t>
      </w:r>
      <w:r>
        <w:t>develop tailored regulations accordingly. This may involve updating existing laws and regulations to cover new types of financial products and activities, clarifying the regulatory status of DeFi platforms and NFT marketplaces, and implementing supervisory frameworks to oversee decentralized protocols and smart contracts. Additionally, regulatory authorities can provide guidance and education to investors and market participants to promote responsible use of DeFi and NFTs while mitigating associated risks.</w:t>
      </w:r>
    </w:p>
    <w:p w14:paraId="327AFFDC" w14:textId="77777777" w:rsidR="005D53DB" w:rsidRDefault="001427DE" w:rsidP="00E538F4">
      <w:pPr>
        <w:pStyle w:val="Heading2"/>
        <w:sectPr w:rsidR="005D53DB" w:rsidSect="005D53DB">
          <w:type w:val="continuous"/>
          <w:pgSz w:w="11907" w:h="16840" w:code="9"/>
          <w:pgMar w:top="1701" w:right="1701" w:bottom="1134" w:left="1701" w:header="680" w:footer="567" w:gutter="0"/>
          <w:cols w:space="708"/>
          <w:docGrid w:linePitch="360"/>
        </w:sectPr>
      </w:pPr>
      <w:r>
        <w:lastRenderedPageBreak/>
        <w:t>2</w:t>
      </w:r>
      <w:r w:rsidR="00124FFC">
        <w:t>: Green Finance Initiatives</w:t>
      </w:r>
    </w:p>
    <w:p w14:paraId="2B7FB4BE" w14:textId="77777777" w:rsidR="00124FFC" w:rsidRDefault="0028711A" w:rsidP="00E538F4">
      <w:pPr>
        <w:pStyle w:val="Heading3"/>
        <w:numPr>
          <w:ilvl w:val="0"/>
          <w:numId w:val="25"/>
        </w:numPr>
      </w:pPr>
      <w:r w:rsidRPr="0028711A">
        <w:t>What role can government incentives and policies play in encouraging private sector investments in green finance initiatives?</w:t>
      </w:r>
    </w:p>
    <w:p w14:paraId="5D45A8B3" w14:textId="77777777" w:rsidR="00301B78" w:rsidRDefault="00124FFC" w:rsidP="00E538F4">
      <w:r>
        <w:t>Government incentives and policies can play a significant role in encouraging private sector investments in green finance initiatives by providing financial incentives, tax breaks, grants, and subsidies for sustainable projects and investments. Additionally, regulatory frameworks can be structured to promote green finance by setting environmental standards, disclosure requirements, and sustainability mandates for businesses and financial institutions. Government-backed green bonds and guarantees can also reduce financing costs and risks for investors, stimulating demand for green investments and accelerating the transition to a low-carbon economy.</w:t>
      </w:r>
    </w:p>
    <w:p w14:paraId="5465C666" w14:textId="77777777" w:rsidR="00124FFC" w:rsidRDefault="0028711A" w:rsidP="00E538F4">
      <w:pPr>
        <w:pStyle w:val="Heading3"/>
      </w:pPr>
      <w:r w:rsidRPr="0028711A">
        <w:t>How can green finance initiatives contribute to both environmental sustainability and economic growth?</w:t>
      </w:r>
    </w:p>
    <w:p w14:paraId="5F791C0E" w14:textId="77777777" w:rsidR="00301B78" w:rsidRDefault="00124FFC" w:rsidP="00E538F4">
      <w:r>
        <w:t xml:space="preserve">Green finance initiatives contribute to environmental sustainability by directing capital towards projects and activities that mitigate climate change, reduce pollution, conserve natural resources, and promote biodiversity. Investments in renewable energy, energy efficiency, sustainable transportation, and green infrastructure create jobs, drive innovation, and enhance productivity, contributing to economic growth </w:t>
      </w:r>
      <w:r w:rsidRPr="00E538F4">
        <w:t>and</w:t>
      </w:r>
      <w:r>
        <w:t xml:space="preserve"> competitiveness. Moreover, transitioning to a sustainable economy can reduce long-term risks and costs associated with environmental degradation, resource depletion, and climate-related disasters, fostering resilience and long-term prosperity.</w:t>
      </w:r>
    </w:p>
    <w:p w14:paraId="44363F98" w14:textId="02CF2D02" w:rsidR="00124FFC" w:rsidRDefault="00D27E01" w:rsidP="00E538F4">
      <w:pPr>
        <w:pStyle w:val="Heading3"/>
      </w:pPr>
      <w:r>
        <w:br w:type="column"/>
      </w:r>
      <w:r w:rsidR="0028711A" w:rsidRPr="0028711A">
        <w:t xml:space="preserve">What challenges do financial </w:t>
      </w:r>
      <w:r w:rsidR="0028711A" w:rsidRPr="00E538F4">
        <w:t>institutions</w:t>
      </w:r>
      <w:r w:rsidR="0028711A" w:rsidRPr="0028711A">
        <w:t xml:space="preserve"> face in assessing and pricing </w:t>
      </w:r>
      <w:r w:rsidR="0028711A" w:rsidRPr="00E538F4">
        <w:t>environmental</w:t>
      </w:r>
      <w:r w:rsidR="0028711A" w:rsidRPr="0028711A">
        <w:t xml:space="preserve"> risks in their investment portfolios?</w:t>
      </w:r>
    </w:p>
    <w:p w14:paraId="70328361" w14:textId="77777777" w:rsidR="00301B78" w:rsidRDefault="00124FFC" w:rsidP="00E538F4">
      <w:r>
        <w:t>Financial institutions face challenges in assessing and pricing environmental risks in their investment portfolios due to data limitations, uncertainties, and complexities associated with environmental issues. Environmental risks such as climate change, natural disasters, and regulatory changes can affect asset valuations, cash flows, and creditworthiness, leading to potential losses and market disruptions. Lack of standardized metrics, disclosure practices, and methodologies for assessing environmental risks further complicates risk analysis and portfolio management. Moreover, integrating environmental considerations into financial models and decision-making processes requires specialized expertise, tools, and resources, which may be lacking in traditional financial institutions.</w:t>
      </w:r>
    </w:p>
    <w:p w14:paraId="5CE72649" w14:textId="77777777" w:rsidR="00124FFC" w:rsidRDefault="0028711A" w:rsidP="00E538F4">
      <w:pPr>
        <w:pStyle w:val="Heading3"/>
      </w:pPr>
      <w:r w:rsidRPr="0028711A">
        <w:t>How can governments ensure transparency and accountability in the allocation of funds for green projects to prevent greenwashing?</w:t>
      </w:r>
    </w:p>
    <w:p w14:paraId="2AB496B6" w14:textId="77777777" w:rsidR="00301B78" w:rsidRDefault="00124FFC" w:rsidP="00E538F4">
      <w:r>
        <w:t xml:space="preserve">Governments can ensure transparency and accountability in the allocation of funds for green projects by implementing robust reporting and disclosure requirements, independent verification mechanisms, and monitoring systems to track the use of funds and assess the impact of green investments. Clear definitions, standards, and certification schemes for green projects can help prevent greenwashing by distinguishing genuine sustainable investments from misleading or exaggerated claims. </w:t>
      </w:r>
      <w:r w:rsidRPr="00E538F4">
        <w:t>Moreover</w:t>
      </w:r>
      <w:r>
        <w:t xml:space="preserve">, regulatory oversight and enforcement actions can deter fraudulent or deceptive practices, ensuring that green finance </w:t>
      </w:r>
      <w:r>
        <w:lastRenderedPageBreak/>
        <w:t>initiatives deliver meaningful environmental benefits and contribute to sustainable development goals.</w:t>
      </w:r>
    </w:p>
    <w:p w14:paraId="6D0695F0" w14:textId="77777777" w:rsidR="00124FFC" w:rsidRDefault="0028711A" w:rsidP="00E538F4">
      <w:pPr>
        <w:pStyle w:val="Heading3"/>
      </w:pPr>
      <w:r w:rsidRPr="0028711A">
        <w:t>What are the potential long-term impacts of climate change on financial markets, and how can green finance initiatives help mitigate these risks?</w:t>
      </w:r>
    </w:p>
    <w:p w14:paraId="50503360" w14:textId="77777777" w:rsidR="005D53DB" w:rsidRDefault="00124FFC" w:rsidP="00E538F4">
      <w:pPr>
        <w:widowControl w:val="0"/>
        <w:sectPr w:rsidR="005D53DB" w:rsidSect="00AB7BCB">
          <w:type w:val="continuous"/>
          <w:pgSz w:w="11907" w:h="16840" w:code="9"/>
          <w:pgMar w:top="1701" w:right="1701" w:bottom="1134" w:left="1701" w:header="680" w:footer="567" w:gutter="0"/>
          <w:cols w:num="2" w:sep="1" w:space="720"/>
          <w:docGrid w:linePitch="360"/>
        </w:sectPr>
      </w:pPr>
      <w:r>
        <w:t xml:space="preserve">Climate change poses significant risks to financial markets, including physical risks from extreme weather events, transition risks from policy changes and technological shifts, and liability risks from litigation and regulatory actions. These risks can lead to </w:t>
      </w:r>
      <w:r>
        <w:t>asset devaluation, credit downgrades, insurance losses, and market volatility, affecting investors, businesses, and economies. Green finance initiatives help mitigate these risks by promoting investments in climate-resilient infrastructure, renewable energy, and sustainable technologies that reduce greenhouse gas emissions and enhance climate adaptation and mitigation efforts. By integrating climate considerations into investment decisions and risk management practices, green finance initiatives can build resilience, diversify portfolios, and create opportunities for long-term value creation and sustainable growth.</w:t>
      </w:r>
    </w:p>
    <w:p w14:paraId="2FCFC31E" w14:textId="77777777" w:rsidR="005D53DB" w:rsidRDefault="001427DE" w:rsidP="00E538F4">
      <w:pPr>
        <w:pStyle w:val="Heading2"/>
        <w:sectPr w:rsidR="005D53DB" w:rsidSect="005D53DB">
          <w:type w:val="continuous"/>
          <w:pgSz w:w="11907" w:h="16840" w:code="9"/>
          <w:pgMar w:top="1701" w:right="1701" w:bottom="1134" w:left="1701" w:header="680" w:footer="567" w:gutter="0"/>
          <w:cols w:space="708"/>
          <w:docGrid w:linePitch="360"/>
        </w:sectPr>
      </w:pPr>
      <w:r>
        <w:lastRenderedPageBreak/>
        <w:t>3</w:t>
      </w:r>
      <w:r w:rsidR="00124FFC">
        <w:t>: Central Bank Digital Currencies (CBDCs)</w:t>
      </w:r>
    </w:p>
    <w:p w14:paraId="26753C21" w14:textId="77777777" w:rsidR="00124FFC" w:rsidRDefault="0028711A" w:rsidP="00E71B9A">
      <w:pPr>
        <w:pStyle w:val="Heading3"/>
        <w:numPr>
          <w:ilvl w:val="0"/>
          <w:numId w:val="26"/>
        </w:numPr>
      </w:pPr>
      <w:r w:rsidRPr="0028711A">
        <w:t>What are the potential advantages and challenges of implementing a CBDC in terms of monetary policy effectiveness and financial stability?</w:t>
      </w:r>
    </w:p>
    <w:p w14:paraId="7A90761B" w14:textId="77777777" w:rsidR="00301B78" w:rsidRDefault="00124FFC" w:rsidP="00E538F4">
      <w:r>
        <w:t>Implementing a CBDC offers several potential advantages, including enhanced monetary policy effectiveness through greater control over money supply, improved transmission mechanisms, and the ability to implement innovative policy tools such as programmable money. CBDCs can also enhance financial stability by reducing counterparty risks, improving liquidity management, and strengthening the resilience of payment systems. However, CBDCs also pose challenges, such as potential disintermediation of banks, changes in the structure of interest rates, and the risk of bank runs in times of crisis. Central banks must carefully consider these trade-offs and design CBDCs to mitigate risks while maximizing benefits for the economy and financial system.</w:t>
      </w:r>
    </w:p>
    <w:p w14:paraId="130FEBE3" w14:textId="77777777" w:rsidR="00124FFC" w:rsidRDefault="0028711A" w:rsidP="00E538F4">
      <w:pPr>
        <w:pStyle w:val="Heading3"/>
      </w:pPr>
      <w:r w:rsidRPr="0028711A">
        <w:t>How might the introduction of CBDCs impact the traditional banking system and financial intermediation?</w:t>
      </w:r>
    </w:p>
    <w:p w14:paraId="64D92387" w14:textId="77777777" w:rsidR="00301B78" w:rsidRDefault="00124FFC" w:rsidP="00E538F4">
      <w:r>
        <w:t>The introduction of CBDCs could have profound implications for the traditional banking system and financial intermediation. CBDCs may reduce the demand for cash and bank deposits, leading to changes in the composition and size of banks' balance sheets. Moreover, CBDCs may enable direct peer-to-peer transactions without the need for traditional banks, potentially reducing banks' role as intermediaries in the payments system. However, banks can adapt to the rise of CBDCs by offering value-added services, such as financial advice, lending, and investment management, leveraging their expertise and customer relationships to remain competitive in a digital economy.</w:t>
      </w:r>
    </w:p>
    <w:p w14:paraId="7934D77E" w14:textId="77777777" w:rsidR="00124FFC" w:rsidRDefault="0028711A" w:rsidP="00E538F4">
      <w:pPr>
        <w:pStyle w:val="Heading3"/>
      </w:pPr>
      <w:r w:rsidRPr="0028711A">
        <w:t>What technological infrastructure and security measures are necessary for the successful deployment of CBDCs on a large scale?</w:t>
      </w:r>
    </w:p>
    <w:p w14:paraId="7B3BFABA" w14:textId="77777777" w:rsidR="00301B78" w:rsidRDefault="00124FFC" w:rsidP="00E538F4">
      <w:r>
        <w:t xml:space="preserve">Successful deployment of CBDCs on a large scale requires robust technological infrastructure and security measures to ensure reliability, scalability, and resilience of the digital currency system. This includes leveraging distributed ledger technology (DLT) or blockchain to enable secure and transparent transactions, implementing encryption and cryptographic techniques to protect user data and transaction privacy, and designing resilient network architectures to prevent </w:t>
      </w:r>
      <w:proofErr w:type="spellStart"/>
      <w:r>
        <w:t>cyber attacks</w:t>
      </w:r>
      <w:proofErr w:type="spellEnd"/>
      <w:r>
        <w:t xml:space="preserve"> and system failures. Moreover, interoperability with existing payment systems, regulatory compliance, and user-friendly interfaces are essential considerations for the adoption and acceptance of CBDCs by businesses and consumers.</w:t>
      </w:r>
    </w:p>
    <w:p w14:paraId="470E9872" w14:textId="77777777" w:rsidR="00124FFC" w:rsidRDefault="0028711A" w:rsidP="00E538F4">
      <w:pPr>
        <w:pStyle w:val="Heading3"/>
      </w:pPr>
      <w:r w:rsidRPr="0028711A">
        <w:t>How can governments address privacy concerns and ensure user data protection in CBDC transactions?</w:t>
      </w:r>
    </w:p>
    <w:p w14:paraId="15FB3664" w14:textId="77777777" w:rsidR="00301B78" w:rsidRDefault="00124FFC" w:rsidP="00E538F4">
      <w:r>
        <w:t>Governments can address privacy concerns and ensure user data protection in CBDC transactions by implementing privacy-enhancing technologies, such as zero-knowledge proofs, anonymous credentials, and privacy-preserving protocols, to enable confidential transactions while maintaining transaction traceability for regulatory purposes. Moreover, clear legal frameworks and regulatory safeguards can protect user rights, establish data protection standards, and prevent unauthorized access or misuse of personal information by central banks or third parties. Transparency, accountability, and user consent are essential principles to guide the design and operation of CBDCs to build trust and confidence among users.</w:t>
      </w:r>
    </w:p>
    <w:p w14:paraId="61626029" w14:textId="77777777" w:rsidR="00124FFC" w:rsidRDefault="0028711A" w:rsidP="00E538F4">
      <w:pPr>
        <w:pStyle w:val="Heading3"/>
      </w:pPr>
      <w:r w:rsidRPr="0028711A">
        <w:lastRenderedPageBreak/>
        <w:t>What are the implications of CBDCs on cross-border payments and international monetary systems?</w:t>
      </w:r>
    </w:p>
    <w:p w14:paraId="507D1630" w14:textId="77777777" w:rsidR="005D53DB" w:rsidRDefault="00124FFC" w:rsidP="00E538F4">
      <w:pPr>
        <w:sectPr w:rsidR="005D53DB" w:rsidSect="00AB7BCB">
          <w:type w:val="continuous"/>
          <w:pgSz w:w="11907" w:h="16840" w:code="9"/>
          <w:pgMar w:top="1701" w:right="1701" w:bottom="1134" w:left="1701" w:header="680" w:footer="567" w:gutter="0"/>
          <w:cols w:num="2" w:sep="1" w:space="720"/>
          <w:docGrid w:linePitch="360"/>
        </w:sectPr>
      </w:pPr>
      <w:r>
        <w:t xml:space="preserve">CBDCs have significant implications for cross-border payments and international monetary systems by potentially reducing costs, improving efficiency, and increasing accessibility of cross-border transactions. CBDCs can facilitate real-time settlements, eliminate intermediaries, and reduce reliance on correspondent banking networks, leading to faster and cheaper cross-border </w:t>
      </w:r>
      <w:r>
        <w:t>payments. Moreover, CBDCs can enhance financial inclusion by providing unbanked populations with access to digital payment services and reducing remittance costs for migrant workers. However, CBDCs also raise challenges related to interoperability, regulatory coordination, and currency competition, requiring international cooperation and standardization efforts to address cross-border payment frictions and ensure stability and resilience of the international monetary system.</w:t>
      </w:r>
    </w:p>
    <w:p w14:paraId="69C9036E" w14:textId="77777777" w:rsidR="005D53DB" w:rsidRDefault="001427DE" w:rsidP="00E538F4">
      <w:pPr>
        <w:pStyle w:val="Heading2"/>
        <w:sectPr w:rsidR="005D53DB" w:rsidSect="005D53DB">
          <w:type w:val="continuous"/>
          <w:pgSz w:w="11907" w:h="16840" w:code="9"/>
          <w:pgMar w:top="1701" w:right="1701" w:bottom="1134" w:left="1701" w:header="680" w:footer="567" w:gutter="0"/>
          <w:cols w:space="708"/>
          <w:docGrid w:linePitch="360"/>
        </w:sectPr>
      </w:pPr>
      <w:r>
        <w:lastRenderedPageBreak/>
        <w:t>4</w:t>
      </w:r>
      <w:r w:rsidR="00124FFC">
        <w:t>: Financial Technology (Fintech) Regulation</w:t>
      </w:r>
    </w:p>
    <w:p w14:paraId="7791D35A" w14:textId="77777777" w:rsidR="00124FFC" w:rsidRDefault="0028711A" w:rsidP="00E71B9A">
      <w:pPr>
        <w:pStyle w:val="Heading3"/>
        <w:numPr>
          <w:ilvl w:val="0"/>
          <w:numId w:val="27"/>
        </w:numPr>
      </w:pPr>
      <w:r w:rsidRPr="0028711A">
        <w:t>How can regulators adapt to the rapid pace of technological innovation in the fintech sector while ensuring adequate oversight?</w:t>
      </w:r>
    </w:p>
    <w:p w14:paraId="30662CBE" w14:textId="77777777" w:rsidR="00301B78" w:rsidRDefault="00124FFC" w:rsidP="00E538F4">
      <w:r>
        <w:t>Regulators can adapt to the rapid pace of technological innovation in the fintech sector by adopting principles-based regulations that are technology-neutral and flexible enough to accommodate evolving business models and technological advancements. Moreover, regulators can engage in proactive dialogue with industry stakeholders, establish specialized fintech units or innovation hubs to facilitate communication and collaboration, and leverage regulatory sandboxes to pilot new regulatory approaches in a controlled environment. Continuous monitoring, risk assessment, and knowledge-sharing among regulators can enhance their understanding of emerging technologies and their implications for financial stability, consumer protection, and market integrity.</w:t>
      </w:r>
    </w:p>
    <w:p w14:paraId="5ACF310A" w14:textId="77777777" w:rsidR="00124FFC" w:rsidRDefault="0028711A" w:rsidP="00E538F4">
      <w:pPr>
        <w:pStyle w:val="Heading3"/>
      </w:pPr>
      <w:r w:rsidRPr="0028711A">
        <w:t>What are the potential risks and benefits of regulatory sandboxes in fostering fintech innovation and managing associated risks?</w:t>
      </w:r>
    </w:p>
    <w:p w14:paraId="5999396D" w14:textId="77777777" w:rsidR="00301B78" w:rsidRDefault="00124FFC" w:rsidP="00E538F4">
      <w:r>
        <w:t xml:space="preserve">Regulatory sandboxes offer benefits such as providing fintech startups with a safe space to test innovative products and services, reducing time-to-market, and fostering collaboration between regulators and industry participants to identify and address regulatory challenges. Sandboxes can also facilitate knowledge-sharing, promote regulatory compliance, and enhance regulatory efficiency by streamlining approval processes and reducing regulatory burdens. However, sandboxes also entail risks such as regulatory arbitrage, market distortions, and potential harm to consumers or market integrity if adequate safeguards and exit </w:t>
      </w:r>
      <w:r>
        <w:t>strategies are not in place. Moreover, scalability and interoperability challenges may arise when transitioning from sandbox testing to full-scale implementation, requiring careful monitoring and evaluation by regulators.</w:t>
      </w:r>
    </w:p>
    <w:p w14:paraId="663D00E8" w14:textId="77777777" w:rsidR="00124FFC" w:rsidRDefault="0028711A" w:rsidP="00E538F4">
      <w:pPr>
        <w:pStyle w:val="Heading3"/>
      </w:pPr>
      <w:r w:rsidRPr="0028711A">
        <w:t>How can regulations encourage collaboration between traditional financial institutions and fintech startups to enhance financial inclusion and innovation?</w:t>
      </w:r>
    </w:p>
    <w:p w14:paraId="4D58BD37" w14:textId="77777777" w:rsidR="00301B78" w:rsidRDefault="00124FFC" w:rsidP="00E538F4">
      <w:r>
        <w:t>Regulations can encourage collaboration between traditional financial institutions and fintech startups by promoting open banking frameworks, fostering interoperability and data sharing, and facilitating partnerships through regulatory sandboxes or innovation hubs. Moreover, regulatory incentives such as regulatory relief, tax incentives, or funding support can incentivize collaboration and experimentation between incumbents and innovators. Clear regulatory guidance, streamlined approval processes, and standardized application programming interfaces (APIs) can also facilitate integration and collaboration between legacy systems and fintech solutions, enabling incumbents to leverage fintech innovations to enhance customer experience, reduce costs, and expand access to financial services for underserved populations.</w:t>
      </w:r>
    </w:p>
    <w:p w14:paraId="605FC743" w14:textId="77777777" w:rsidR="00124FFC" w:rsidRDefault="0028711A" w:rsidP="00E538F4">
      <w:pPr>
        <w:pStyle w:val="Heading3"/>
      </w:pPr>
      <w:r w:rsidRPr="0028711A">
        <w:t>What challenges do regulators face in addressing potential systemic risks posed by fintech firms operating at the intersection of finance and technology?</w:t>
      </w:r>
    </w:p>
    <w:p w14:paraId="556C3ED7" w14:textId="77777777" w:rsidR="00301B78" w:rsidRDefault="00124FFC" w:rsidP="00E538F4">
      <w:r>
        <w:t xml:space="preserve">Regulators face challenges in addressing potential systemic risks posed by fintech firms operating at the intersection of finance and technology due to the complex and rapidly evolving nature of fintech activities, interconnectedness with traditional financial institutions, and cross-border operations. Fintech firms may introduce new </w:t>
      </w:r>
      <w:r>
        <w:lastRenderedPageBreak/>
        <w:t>risks such as cyber risks, data privacy breaches, algorithmic biases, and market manipulation that could pose systemic threats to financial stability if not adequately managed. Regulators must enhance their capabilities in risk assessment, monitoring, and supervision of fintech activities, collaborate with industry stakeholders and international counterparts to develop regulatory standards and best practices, and ensure effective crisis management and resolution frameworks to address potential disruptions or failures in fintech markets or infrastructure.</w:t>
      </w:r>
    </w:p>
    <w:p w14:paraId="34B38E5B" w14:textId="60FE566E" w:rsidR="00124FFC" w:rsidRDefault="00D27E01" w:rsidP="00E538F4">
      <w:pPr>
        <w:pStyle w:val="Heading3"/>
      </w:pPr>
      <w:r>
        <w:br w:type="column"/>
      </w:r>
      <w:r w:rsidR="0028711A" w:rsidRPr="0028711A">
        <w:t>How can regulatory approaches to fintech differ across jurisdictions, and what are the implications for cross-border fintech activities?</w:t>
      </w:r>
    </w:p>
    <w:p w14:paraId="5F95848D" w14:textId="77777777" w:rsidR="005D53DB" w:rsidRDefault="00124FFC" w:rsidP="00E538F4">
      <w:pPr>
        <w:sectPr w:rsidR="005D53DB" w:rsidSect="00AB7BCB">
          <w:type w:val="continuous"/>
          <w:pgSz w:w="11907" w:h="16840" w:code="9"/>
          <w:pgMar w:top="1701" w:right="1701" w:bottom="1134" w:left="1701" w:header="680" w:footer="567" w:gutter="0"/>
          <w:cols w:num="2" w:sep="1" w:space="720"/>
          <w:docGrid w:linePitch="360"/>
        </w:sectPr>
      </w:pPr>
      <w:r>
        <w:t>Regulatory approaches to fintech can differ across jurisdictions due to variations in legal frameworks, regulatory objectives, risk appetites, and market structures. Some jurisdictions may adopt a principles-based approach focused on outcomes and consumer protection, while others may opt for prescriptive regulations tailored to specific fintech activities or business models. These differences in regulatory approaches can create regulatory arbitrage opportunities, compliance challenges, and barriers to entry for fintech firms operating across borders. Moreover, regulatory fragmentation can hinder cross-border fintech activities, increase compliance costs, and limit market access, prompting calls for regulatory harmonization, mutual recognition agreements, and international cooperation to promote consistency, interoperability, and regulatory convergence across jurisdictions.</w:t>
      </w:r>
    </w:p>
    <w:p w14:paraId="060AFD27" w14:textId="77777777" w:rsidR="005D53DB" w:rsidRDefault="001427DE" w:rsidP="00E538F4">
      <w:pPr>
        <w:pStyle w:val="Heading2"/>
        <w:sectPr w:rsidR="005D53DB" w:rsidSect="005D53DB">
          <w:type w:val="continuous"/>
          <w:pgSz w:w="11907" w:h="16840" w:code="9"/>
          <w:pgMar w:top="1701" w:right="1701" w:bottom="1134" w:left="1701" w:header="680" w:footer="567" w:gutter="0"/>
          <w:cols w:space="708"/>
          <w:docGrid w:linePitch="360"/>
        </w:sectPr>
      </w:pPr>
      <w:r>
        <w:lastRenderedPageBreak/>
        <w:t>5</w:t>
      </w:r>
      <w:r w:rsidR="00124FFC">
        <w:t>: Anti-Money Laundering (AML) Regulations</w:t>
      </w:r>
    </w:p>
    <w:p w14:paraId="3FEA0A09" w14:textId="77777777" w:rsidR="00124FFC" w:rsidRDefault="0028711A" w:rsidP="00E71B9A">
      <w:pPr>
        <w:pStyle w:val="Heading3"/>
        <w:numPr>
          <w:ilvl w:val="0"/>
          <w:numId w:val="28"/>
        </w:numPr>
      </w:pPr>
      <w:r w:rsidRPr="0028711A">
        <w:t>How effective are current AML regulations in combating increasingly sophisticated money laundering schemes, particularly those involving cryptocurrencies and online platforms?</w:t>
      </w:r>
    </w:p>
    <w:p w14:paraId="108FE406" w14:textId="77777777" w:rsidR="00301B78" w:rsidRDefault="00124FFC" w:rsidP="00E538F4">
      <w:r>
        <w:t>Current AML regulations have made significant strides in combating money laundering, but they face challenges in addressing increasingly sophisticated schemes, especially those leveraging cryptocurrencies and online platforms. While traditional AML measures such as customer due diligence and transaction monitoring remain relevant, they may not fully capture the unique characteristics and risks associated with crypto-assets and virtual currencies. Regulators are working to enhance AML frameworks by expanding regulatory coverage to include cryptocurrency exchanges, wallet providers, and other virtual asset service providers (VASPs), implementing risk-based approaches tailored to the crypto sector, and promoting international cooperation and information sharing to detect and disrupt cross-border money laundering activities.</w:t>
      </w:r>
    </w:p>
    <w:p w14:paraId="7B2B6B1B" w14:textId="77777777" w:rsidR="00124FFC" w:rsidRDefault="0028711A" w:rsidP="00E538F4">
      <w:pPr>
        <w:pStyle w:val="Heading3"/>
      </w:pPr>
      <w:r w:rsidRPr="0028711A">
        <w:t>What challenges do financial institutions face in implementing AML compliance measures, and how can regulators support them in this endeavor?</w:t>
      </w:r>
    </w:p>
    <w:p w14:paraId="4BB8DC1A" w14:textId="77777777" w:rsidR="00301B78" w:rsidRDefault="00124FFC" w:rsidP="00E538F4">
      <w:r>
        <w:t xml:space="preserve">Financial institutions face various challenges in implementing AML compliance measures, including resource constraints, evolving regulatory requirements, technological complexities, and the proliferation of financial crime typologies. Moreover, the rapid digitization of financial services and the emergence of new payment methods and channels further complicate AML efforts. Regulators can support financial institutions by providing clear and consistent guidance on AML regulations, conducting </w:t>
      </w:r>
      <w:r>
        <w:t>outreach and training programs to enhance AML awareness and capabilities, fostering public-private partnerships to share intelligence and best practices, and leveraging technology such as regulatory technology (</w:t>
      </w:r>
      <w:proofErr w:type="spellStart"/>
      <w:r>
        <w:t>RegTech</w:t>
      </w:r>
      <w:proofErr w:type="spellEnd"/>
      <w:r>
        <w:t>) solutions to automate and streamline AML processes.</w:t>
      </w:r>
    </w:p>
    <w:p w14:paraId="0DE09D80" w14:textId="77777777" w:rsidR="00124FFC" w:rsidRDefault="0028711A" w:rsidP="00E538F4">
      <w:pPr>
        <w:pStyle w:val="Heading3"/>
      </w:pPr>
      <w:r w:rsidRPr="0028711A">
        <w:t>How can governments balance the need for robust AML controls with concerns about financial inclusion and privacy rights?</w:t>
      </w:r>
    </w:p>
    <w:p w14:paraId="7D06F8FC" w14:textId="77777777" w:rsidR="00301B78" w:rsidRDefault="00124FFC" w:rsidP="00E538F4">
      <w:r>
        <w:t>Governments can balance the need for robust AML controls with concerns about financial inclusion and privacy rights by adopting risk-based approaches that prioritize resources and efforts on high-risk areas while minimizing burdens on low-risk individuals and businesses. This involves conducting thorough risk assessments to identify and mitigate AML risks effectively, implementing proportional and targeted AML measures tailored to specific risk profiles, and promoting financial inclusion through innovative approaches such as tiered due diligence and simplified customer verification procedures. Moreover, governments can enhance data protection and privacy safeguards, ensure transparency and accountability in AML processes, and provide avenues for individuals to exercise their rights and seek redress in cases of misuse or abuse of personal information.</w:t>
      </w:r>
    </w:p>
    <w:p w14:paraId="0F8AD250" w14:textId="77777777" w:rsidR="00124FFC" w:rsidRDefault="0028711A" w:rsidP="00E538F4">
      <w:pPr>
        <w:pStyle w:val="Heading3"/>
      </w:pPr>
      <w:r w:rsidRPr="0028711A">
        <w:t>What role can technology, such as artificial intelligence and blockchain analytics, play in enhancing AML compliance and detection capabilities?</w:t>
      </w:r>
    </w:p>
    <w:p w14:paraId="5BB2F6CA" w14:textId="77777777" w:rsidR="00301B78" w:rsidRDefault="00124FFC" w:rsidP="00E538F4">
      <w:r>
        <w:t xml:space="preserve">Technology, such as artificial intelligence (AI) and blockchain analytics, can play a significant role in enhancing AML compliance and detection capabilities by automating manual processes, analyzing large volumes of data in real-time, and identifying patterns </w:t>
      </w:r>
      <w:r>
        <w:lastRenderedPageBreak/>
        <w:t>and anomalies indicative of money laundering activities. AI-powered solutions can enhance transaction monitoring, customer due diligence, and risk scoring processes, enabling financial institutions to detect suspicious activities more efficiently and accurately. Similarly, blockchain analytics can enhance transparency and traceability in cryptocurrency transactions, facilitate the identification of illicit activities on the blockchain, and support law enforcement efforts in investigating and prosecuting money laundering cases.</w:t>
      </w:r>
    </w:p>
    <w:p w14:paraId="7BB29845" w14:textId="77777777" w:rsidR="00124FFC" w:rsidRDefault="0028711A" w:rsidP="00E538F4">
      <w:pPr>
        <w:pStyle w:val="Heading3"/>
      </w:pPr>
      <w:r w:rsidRPr="0028711A">
        <w:t>How can international coordination and information sharing among regulatory authorities be improved to combat cross-border money laundering threats effectively?</w:t>
      </w:r>
    </w:p>
    <w:p w14:paraId="6E9E722B" w14:textId="77777777" w:rsidR="005D53DB" w:rsidRDefault="00124FFC" w:rsidP="00E538F4">
      <w:pPr>
        <w:sectPr w:rsidR="005D53DB" w:rsidSect="00AB7BCB">
          <w:type w:val="continuous"/>
          <w:pgSz w:w="11907" w:h="16840" w:code="9"/>
          <w:pgMar w:top="1701" w:right="1701" w:bottom="1134" w:left="1701" w:header="680" w:footer="567" w:gutter="0"/>
          <w:cols w:num="2" w:sep="1" w:space="720"/>
          <w:docGrid w:linePitch="360"/>
        </w:sectPr>
      </w:pPr>
      <w:r>
        <w:t xml:space="preserve">International coordination and information sharing among regulatory authorities can </w:t>
      </w:r>
      <w:r>
        <w:t>be improved to combat cross-border money laundering threats effectively through enhanced cooperation mechanisms, standardized data formats, and interoperable systems for exchanging information securely and efficiently. This involves establishing bilateral and multilateral agreements, mutual assistance frameworks, and information-sharing platforms to facilitate the timely exchange of intelligence and investigative leads across jurisdictions. Moreover, promoting the adoption of common standards and best practices for AML/CFT (Combating the Financing of Terrorism) compliance, enhancing the interoperability of regulatory regimes, and strengthening international supervision and enforcement cooperation can further enhance the effectiveness of cross-border AML efforts and disrupt illicit financial flows.</w:t>
      </w:r>
    </w:p>
    <w:p w14:paraId="4F8ED3E1" w14:textId="77777777" w:rsidR="005D53DB" w:rsidRDefault="001427DE" w:rsidP="00E538F4">
      <w:pPr>
        <w:pStyle w:val="Heading2"/>
        <w:sectPr w:rsidR="005D53DB" w:rsidSect="005D53DB">
          <w:type w:val="continuous"/>
          <w:pgSz w:w="11907" w:h="16840" w:code="9"/>
          <w:pgMar w:top="1701" w:right="1701" w:bottom="1134" w:left="1701" w:header="680" w:footer="567" w:gutter="0"/>
          <w:cols w:space="708"/>
          <w:docGrid w:linePitch="360"/>
        </w:sectPr>
      </w:pPr>
      <w:r>
        <w:lastRenderedPageBreak/>
        <w:t>6</w:t>
      </w:r>
      <w:r w:rsidR="00124FFC">
        <w:t>: Data Privacy and Protection</w:t>
      </w:r>
    </w:p>
    <w:p w14:paraId="50249755" w14:textId="77777777" w:rsidR="00124FFC" w:rsidRDefault="0028711A" w:rsidP="00E71B9A">
      <w:pPr>
        <w:pStyle w:val="Heading3"/>
        <w:numPr>
          <w:ilvl w:val="0"/>
          <w:numId w:val="29"/>
        </w:numPr>
      </w:pPr>
      <w:r w:rsidRPr="0028711A">
        <w:t>How can governments balance the need for robust data protection measures with the imperative to foster innovation and competitiveness in the financial sector?</w:t>
      </w:r>
    </w:p>
    <w:p w14:paraId="26CE6834" w14:textId="77777777" w:rsidR="00301B78" w:rsidRDefault="00124FFC" w:rsidP="00E538F4">
      <w:r>
        <w:t>Governments can balance the need for robust data protection measures with fostering innovation and competitiveness in the financial sector by implementing regulations that promote a risk-based approach to data protection. This involves tailoring regulatory requirements to the specific risks posed by different types of data processing activities, allowing organizations to innovate while ensuring adequate safeguards for sensitive information. Additionally, governments can incentivize the adoption of privacy-enhancing technologies and best practices through grants, tax incentives, and regulatory sandboxes, encouraging financial institutions to invest in cutting-edge security measures without stifling innovation.</w:t>
      </w:r>
    </w:p>
    <w:p w14:paraId="578061F0" w14:textId="77777777" w:rsidR="00124FFC" w:rsidRDefault="0028711A" w:rsidP="00E538F4">
      <w:pPr>
        <w:pStyle w:val="Heading3"/>
      </w:pPr>
      <w:r w:rsidRPr="0028711A">
        <w:t>What are the potential consequences of data breaches and privacy violations for both financial institutions and their customers, and how can they be mitigated?</w:t>
      </w:r>
    </w:p>
    <w:p w14:paraId="733A263A" w14:textId="77777777" w:rsidR="00301B78" w:rsidRDefault="00124FFC" w:rsidP="00E538F4">
      <w:r>
        <w:t xml:space="preserve">Data breaches and privacy violations can have severe consequences for both financial institutions and their customers. For financial institutions, data breaches can result in reputational damage, financial losses due to regulatory fines and legal liabilities, and erosion of customer trust. For customers, data breaches can lead to identity theft, fraudulent transactions, and financial fraud, causing emotional distress and financial hardship. To mitigate these risks, financial institutions should implement robust cybersecurity measures, conduct regular security audits and penetration testing, encrypt sensitive data both at rest and in transit, and </w:t>
      </w:r>
      <w:r>
        <w:t>provide timely and transparent communication to affected customers in the event of a breach. Additionally, customers should be educated about cybersecurity best practices and empowered to take proactive steps to protect their personal information.</w:t>
      </w:r>
    </w:p>
    <w:p w14:paraId="18D96A72" w14:textId="77777777" w:rsidR="00124FFC" w:rsidRDefault="0028711A" w:rsidP="00E538F4">
      <w:pPr>
        <w:pStyle w:val="Heading3"/>
      </w:pPr>
      <w:r w:rsidRPr="0028711A">
        <w:t>What role should regulators play in overseeing the collection, storage, and use of financial data by banks, fintech firms, and other stakeholders?</w:t>
      </w:r>
    </w:p>
    <w:p w14:paraId="67D55620" w14:textId="77777777" w:rsidR="00124FFC" w:rsidRDefault="00124FFC" w:rsidP="00E538F4">
      <w:r>
        <w:t>Regulators play a crucial role in overseeing the collection, storage, and use of financial data by banks, fintech firms, and other stakeholders by setting clear and enforceable rules and standards for data protection. This includes establishing regulatory frameworks such as the GDPR and CCPA, which outline the rights and obligations of organizations regarding the collection, processing, and sharing of personal data. Regulators should conduct regular audits and inspections to ensure compliance with data protection laws, investigate complaints and reports of data breaches, and impose sanctions and penalties on entities found to be in violation of regulatory requirements. Moreover, regulators should collaborate with industry stakeholders to develop guidelines and best practices for data protection, facilitate information sharing and coordination among regulatory authorities, and stay abreast of technological advancements and emerging risks in data privacy and security.</w:t>
      </w:r>
    </w:p>
    <w:p w14:paraId="7E560B19" w14:textId="77777777" w:rsidR="00124FFC" w:rsidRDefault="0028711A" w:rsidP="00E538F4">
      <w:pPr>
        <w:pStyle w:val="Heading3"/>
      </w:pPr>
      <w:r w:rsidRPr="0028711A">
        <w:t>How can emerging technologies like encryption, differential privacy, and homomorphic encryption be leveraged to enhance data security and privacy in financial services?</w:t>
      </w:r>
    </w:p>
    <w:p w14:paraId="45F4B97D" w14:textId="77777777" w:rsidR="00301B78" w:rsidRDefault="00124FFC" w:rsidP="00E538F4">
      <w:r>
        <w:t xml:space="preserve">Emerging technologies like encryption, differential privacy, and homomorphic encryption can be leveraged to enhance data </w:t>
      </w:r>
      <w:r>
        <w:lastRenderedPageBreak/>
        <w:t>security and privacy in financial services by providing robust cryptographic techniques for protecting sensitive information. Encryption ensures that data is encrypted while at rest and in transit, preventing unauthorized access even if the data is intercepted or compromised. Differential privacy adds noise to datasets to preserve privacy while still allowing for meaningful analysis and insights to be extracted. Homomorphic encryption allows computations to be performed on encrypted data without decrypting it, enabling secure data processing and analysis while preserving privacy. By leveraging these technologies, financial institutions can strengthen their data protection measures, comply with regulatory requirements, and build trust with customers by demonstrating a commitment to safeguarding their personal information.</w:t>
      </w:r>
    </w:p>
    <w:p w14:paraId="587CD08B" w14:textId="1846965A" w:rsidR="00124FFC" w:rsidRDefault="00D27E01" w:rsidP="00E538F4">
      <w:pPr>
        <w:pStyle w:val="Heading3"/>
      </w:pPr>
      <w:r>
        <w:br w:type="column"/>
      </w:r>
      <w:r w:rsidR="0028711A" w:rsidRPr="0028711A">
        <w:t>How can international cooperation and harmonization of data protection laws facilitate cross-border data flows while safeguarding consumer privacy?</w:t>
      </w:r>
    </w:p>
    <w:p w14:paraId="35634D1C" w14:textId="77777777" w:rsidR="005D53DB" w:rsidRDefault="00124FFC" w:rsidP="00E538F4">
      <w:pPr>
        <w:sectPr w:rsidR="005D53DB" w:rsidSect="00AB7BCB">
          <w:type w:val="continuous"/>
          <w:pgSz w:w="11907" w:h="16840" w:code="9"/>
          <w:pgMar w:top="1701" w:right="1701" w:bottom="1134" w:left="1701" w:header="680" w:footer="567" w:gutter="0"/>
          <w:cols w:num="2" w:sep="1" w:space="720"/>
          <w:docGrid w:linePitch="360"/>
        </w:sectPr>
      </w:pPr>
      <w:r>
        <w:t>International cooperation and harmonization of data protection laws can facilitate cross-border data flows while safeguarding consumer privacy by promoting consistency and interoperability in regulatory frameworks. This involves aligning data protection laws and standards across jurisdictions to ensure a level playing field for businesses operating globally and to provide clarity and certainty for consumers regarding their rights and protections. International agreements and mechanisms for mutual recognition of data protection regimes can streamline cross-border data transfers, reduce compliance burdens for multinational companies, and enhance consumer trust in the global digital economy. Moreover, establishing cross-border data transfer mechanisms such as standard contractual clauses (SCCs), binding corporate rules (BCRs), and adequacy decisions can provide legal certainty and assurance for organizations transferring personal data across borders, ensuring that data flows are conducted in a transparent, accountable, and privacy-respecting manner.</w:t>
      </w:r>
    </w:p>
    <w:p w14:paraId="3D91F401" w14:textId="77777777" w:rsidR="005D53DB" w:rsidRDefault="001427DE" w:rsidP="00E538F4">
      <w:pPr>
        <w:pStyle w:val="Heading2"/>
        <w:sectPr w:rsidR="005D53DB" w:rsidSect="005D53DB">
          <w:type w:val="continuous"/>
          <w:pgSz w:w="11907" w:h="16840" w:code="9"/>
          <w:pgMar w:top="1701" w:right="1701" w:bottom="1134" w:left="1701" w:header="680" w:footer="567" w:gutter="0"/>
          <w:cols w:space="708"/>
          <w:docGrid w:linePitch="360"/>
        </w:sectPr>
      </w:pPr>
      <w:r>
        <w:lastRenderedPageBreak/>
        <w:t>7</w:t>
      </w:r>
      <w:r w:rsidR="00F40FF8">
        <w:t>: Infrastructure Investment</w:t>
      </w:r>
    </w:p>
    <w:p w14:paraId="285BD7F2" w14:textId="77777777" w:rsidR="00F40FF8" w:rsidRDefault="0028711A" w:rsidP="00E71B9A">
      <w:pPr>
        <w:pStyle w:val="Heading3"/>
        <w:numPr>
          <w:ilvl w:val="0"/>
          <w:numId w:val="30"/>
        </w:numPr>
      </w:pPr>
      <w:r w:rsidRPr="0028711A">
        <w:t>What criteria should governments use to prioritize infrastructure projects and allocate funds effectively to address critical needs?</w:t>
      </w:r>
    </w:p>
    <w:p w14:paraId="66782665" w14:textId="77777777" w:rsidR="00301B78" w:rsidRDefault="00F40FF8" w:rsidP="00E538F4">
      <w:r>
        <w:t>Governments should consider several criteria to prioritize infrastructure projects and allocate funds effectively. These include the project's potential economic impact, such as its contribution to GDP growth, job creation, and productivity enhancement. Additionally, governments should assess the project's social benefits, such as improved access to essential services, reduced inequality, and enhanced quality of life for communities. Environmental sustainability should also be a key consideration, with projects evaluated based on their alignment with climate goals, mitigation of environmental risks, and promotion of green infrastructure. Moreover, governments should prioritize projects that address critical infrastructure gaps, such as transportation bottlenecks, energy deficiencies, and digital connectivity barriers, to support long-term economic development and competitiveness.</w:t>
      </w:r>
    </w:p>
    <w:p w14:paraId="2A65D579" w14:textId="77777777" w:rsidR="00F40FF8" w:rsidRDefault="0028711A" w:rsidP="00E538F4">
      <w:pPr>
        <w:pStyle w:val="Heading3"/>
      </w:pPr>
      <w:r w:rsidRPr="0028711A">
        <w:t>How can public-private partnerships (PPPs) be structured to attract private investment and expertise while ensuring public accountability and value for money?</w:t>
      </w:r>
    </w:p>
    <w:p w14:paraId="1FBB4233" w14:textId="77777777" w:rsidR="00301B78" w:rsidRDefault="00F40FF8" w:rsidP="00E538F4">
      <w:r>
        <w:t xml:space="preserve">Public-private partnerships (PPPs) can be structured to attract private investment and expertise while ensuring public accountability and value for money by establishing clear contractual arrangements, risk-sharing mechanisms, and performance incentives. Governments should conduct rigorous feasibility studies and cost-benefit analyses to assess the viability of PPP projects, identify risks, and allocate responsibilities between public and private partners. </w:t>
      </w:r>
      <w:r>
        <w:t>Transparent procurement processes, competitive bidding, and regulatory oversight are essential to ensure fairness, integrity, and accountability in PPP transactions. Moreover, PPP contracts should include robust performance metrics, quality standards, and dispute resolution mechanisms to safeguard public interests and ensure that private partners deliver value for money. Regular monitoring, evaluation, and disclosure of project outcomes are critical to building public trust and confidence in PPPs and promoting transparency and accountability throughout the project lifecycle.</w:t>
      </w:r>
    </w:p>
    <w:p w14:paraId="6DE75DB0" w14:textId="77777777" w:rsidR="00F40FF8" w:rsidRDefault="0028711A" w:rsidP="00E538F4">
      <w:pPr>
        <w:pStyle w:val="Heading3"/>
      </w:pPr>
      <w:r w:rsidRPr="0028711A">
        <w:t>What are the potential environmental and social impacts of infrastructure development, and how can governments mitigate negative externalities through sustainable planning and design?</w:t>
      </w:r>
    </w:p>
    <w:p w14:paraId="60022DDC" w14:textId="77777777" w:rsidR="00301B78" w:rsidRDefault="00F40FF8" w:rsidP="00E538F4">
      <w:r>
        <w:t xml:space="preserve">Infrastructure development can have various environmental and social impacts, including habitat destruction, air and water pollution, displacement of communities, and disruption of ecosystems. To mitigate these negative externalities, governments should prioritize sustainable planning and design principles in infrastructure projects. This involves conducting environmental and social impact assessments to identify potential risks and develop mitigation measures. Sustainable infrastructure design practices, such as incorporating green technologies, minimizing land use, and preserving biodiversity, can help minimize environmental degradation and promote ecological resilience. Moreover, governments should engage with affected communities, indigenous groups, and other stakeholders to ensure their participation in decision-making processes, respect their rights, and address their concerns through inclusive consultation, grievance mechanisms, and benefit-sharing arrangements. By adopting </w:t>
      </w:r>
      <w:r>
        <w:lastRenderedPageBreak/>
        <w:t>a holistic approach to sustainable infrastructure development, governments can achieve environmental protection, social inclusion, and economic development goals simultaneously.</w:t>
      </w:r>
    </w:p>
    <w:p w14:paraId="4EA633C0" w14:textId="77777777" w:rsidR="00F40FF8" w:rsidRDefault="0028711A" w:rsidP="00E538F4">
      <w:pPr>
        <w:pStyle w:val="Heading3"/>
      </w:pPr>
      <w:r w:rsidRPr="0028711A">
        <w:t>How can infrastructure investment contribute to regional development and reduce disparities in access to essential services and economic opportunities?</w:t>
      </w:r>
    </w:p>
    <w:p w14:paraId="591C3CFE" w14:textId="77777777" w:rsidR="00301B78" w:rsidRDefault="00F40FF8" w:rsidP="00E538F4">
      <w:r>
        <w:t>Infrastructure investment can contribute to regional development and reduce disparities in access to essential services and economic opportunities by improving connectivity, enhancing mobility, and fostering economic growth in underserved areas. Strategic investments in transportation networks, such as roads, railways, and airports, can reduce transportation costs, expand market access, and attract investments to remote regions. Similarly, investments in energy infrastructure, digital connectivity, and social infrastructure, such as schools and healthcare facilities, can strengthen human capital, promote entrepreneurship, and enhance productivity in marginalized communities. Moreover, targeted infrastructure projects aimed at addressing specific regional challenges, such as water scarcity, sanitation deficiencies, and housing shortages, can improve living standards and quality of life for vulnerable populations. By prioritizing inclusive and equitable infrastructure investments, governments can promote balanced regional development, reduce spatial inequalities, and create opportunities for sustainable and inclusive growth.</w:t>
      </w:r>
    </w:p>
    <w:p w14:paraId="2B5CB9DC" w14:textId="6702C3C0" w:rsidR="00F40FF8" w:rsidRDefault="00D27E01" w:rsidP="00E538F4">
      <w:pPr>
        <w:pStyle w:val="Heading3"/>
      </w:pPr>
      <w:r>
        <w:br w:type="column"/>
      </w:r>
      <w:r w:rsidR="0028711A" w:rsidRPr="0028711A">
        <w:t>What role can innovative financing mechanisms such as green bonds, infrastructure banks, and infrastructure-as-a-service (IaaS) models play in mobilizing capital for infrastructure projects?</w:t>
      </w:r>
    </w:p>
    <w:p w14:paraId="234A931F" w14:textId="77777777" w:rsidR="005D53DB" w:rsidRDefault="00F40FF8" w:rsidP="00E538F4">
      <w:pPr>
        <w:sectPr w:rsidR="005D53DB" w:rsidSect="00AB7BCB">
          <w:type w:val="continuous"/>
          <w:pgSz w:w="11907" w:h="16840" w:code="9"/>
          <w:pgMar w:top="1701" w:right="1701" w:bottom="1134" w:left="1701" w:header="680" w:footer="567" w:gutter="0"/>
          <w:cols w:num="2" w:sep="1" w:space="720"/>
          <w:docGrid w:linePitch="360"/>
        </w:sectPr>
      </w:pPr>
      <w:r>
        <w:t>Innovative financing mechanisms such as green bonds, infrastructure banks, and infrastructure-as-a-service (IaaS) models can play a crucial role in mobilizing capital for infrastructure projects by diversifying funding sources, reducing financing costs, and aligning investments with sustainable development objectives. Green bonds allow investors to finance environmentally sustainable projects, such as renewable energy, energy efficiency, and climate adaptation, while providing transparency and accountability through rigorous impact reporting and verification. Infrastructure banks, such as national development banks or multilateral development banks, can leverage public funds to attract private co-investment, provide credit enhancement, and offer concessional financing to infrastructure projects with high social and environmental benefits. Infrastructure-as-a-service (IaaS) models, including public-private partnerships (PPPs) and asset recycling schemes, allow governments to monetize existing infrastructure assets, leverage private sector expertise, and transfer operational risks to private partners while retaining ownership and oversight of critical public infrastructure. By harnessing these innovative financing mechanisms, governments can bridge the infrastructure investment gap, unlock new sources of capital, and accelerate the delivery of sustainable infrastructure solutions to address pressing societal challenges.</w:t>
      </w:r>
    </w:p>
    <w:p w14:paraId="7EFACE0C" w14:textId="77777777" w:rsidR="005D53DB" w:rsidRDefault="001427DE" w:rsidP="00E538F4">
      <w:pPr>
        <w:pStyle w:val="Heading2"/>
        <w:sectPr w:rsidR="005D53DB" w:rsidSect="005D53DB">
          <w:type w:val="continuous"/>
          <w:pgSz w:w="11907" w:h="16840" w:code="9"/>
          <w:pgMar w:top="1701" w:right="1701" w:bottom="1134" w:left="1701" w:header="680" w:footer="567" w:gutter="0"/>
          <w:cols w:space="708"/>
          <w:docGrid w:linePitch="360"/>
        </w:sectPr>
      </w:pPr>
      <w:r>
        <w:lastRenderedPageBreak/>
        <w:t>8</w:t>
      </w:r>
      <w:r w:rsidR="00F40FF8">
        <w:t>: Trade Policies and Tariffs</w:t>
      </w:r>
    </w:p>
    <w:p w14:paraId="29D4B7D3" w14:textId="77777777" w:rsidR="00F40FF8" w:rsidRDefault="0028711A" w:rsidP="00E71B9A">
      <w:pPr>
        <w:pStyle w:val="Heading3"/>
        <w:numPr>
          <w:ilvl w:val="0"/>
          <w:numId w:val="31"/>
        </w:numPr>
      </w:pPr>
      <w:r w:rsidRPr="0028711A">
        <w:t>How do changes in trade policies and tariffs affect investor sentiment, market volatility, and asset prices in global financial markets?</w:t>
      </w:r>
    </w:p>
    <w:p w14:paraId="609CEB2C" w14:textId="77777777" w:rsidR="00301B78" w:rsidRDefault="00F40FF8" w:rsidP="00E538F4">
      <w:r>
        <w:t>Changes in trade policies and tariffs can significantly impact investor sentiment, market volatility, and asset prices in global financial markets. Uncertainty surrounding trade policy decisions, such as the imposition of tariffs or the renegotiation of trade agreements, can lead to heightened investor anxiety and market volatility as investors adjust their expectations and risk assessments. Negative trade policy developments, such as the escalation of trade tensions or the threat of trade wars, can erode investor confidence, increase market uncertainty, and trigger selloffs in affected assets. Conversely, positive trade policy developments, such as the removal of trade barriers or the signing of trade agreements, can boost investor optimism, reduce uncertainty, and stimulate capital inflows into affected markets, driving up asset prices. Overall, changes in trade policies and tariffs can have profound implications for market dynamics, investor behavior, and asset valuations in global financial markets.</w:t>
      </w:r>
    </w:p>
    <w:p w14:paraId="7EF6E8CC" w14:textId="77777777" w:rsidR="00F40FF8" w:rsidRDefault="0028711A" w:rsidP="00E538F4">
      <w:pPr>
        <w:pStyle w:val="Heading3"/>
      </w:pPr>
      <w:r w:rsidRPr="0028711A">
        <w:t>What are the potential consequences of trade tensions and protectionist measures for economic growth, supply chains, and consumer prices?</w:t>
      </w:r>
    </w:p>
    <w:p w14:paraId="614DD6F0" w14:textId="77777777" w:rsidR="00301B78" w:rsidRDefault="00F40FF8" w:rsidP="00E538F4">
      <w:r>
        <w:t xml:space="preserve">Trade tensions and protectionist measures can have several adverse consequences for economic growth, supply chains, and consumer prices. Firstly, trade tensions can disrupt global supply chains, increase input costs for businesses, and reduce efficiency in production processes, leading to lower productivity and economic output. Secondly, protectionist measures such as tariffs and import quotas can raise the cost of </w:t>
      </w:r>
      <w:r>
        <w:t>imported goods and intermediate inputs, increasing production costs for domestic industries and reducing their competitiveness in international markets. This can result in reduced exports, job losses, and lower economic growth. Thirdly, trade tensions and protectionism can lead to retaliatory measures from trading partners, further exacerbating trade disputes and escalating into trade wars, which can have widespread negative impacts on global economic activity. Finally, higher import prices due to tariffs can translate into higher consumer prices, leading to inflationary pressures and reduced purchasing power for households. Overall, trade tensions and protectionist measures pose significant risks to economic stability, supply chain resilience, and consumer welfare.</w:t>
      </w:r>
    </w:p>
    <w:p w14:paraId="023BA6B5" w14:textId="77777777" w:rsidR="00F40FF8" w:rsidRDefault="0028711A" w:rsidP="00E538F4">
      <w:pPr>
        <w:pStyle w:val="Heading3"/>
      </w:pPr>
      <w:r w:rsidRPr="0028711A">
        <w:t>How can governments strike a balance between protecting domestic industries and promoting free trade and globalization?</w:t>
      </w:r>
    </w:p>
    <w:p w14:paraId="45772859" w14:textId="77777777" w:rsidR="00301B78" w:rsidRDefault="00F40FF8" w:rsidP="00E538F4">
      <w:r>
        <w:t xml:space="preserve">Governments can strike a balance between protecting domestic industries and promoting free trade and globalization by adopting a nuanced approach to trade policy that considers both domestic economic interests and international trade obligations. Firstly, governments can implement targeted trade measures, such as temporary safeguards or antidumping duties, to protect vulnerable domestic industries from unfair competition while minimizing negative spillovers on trade partners and global supply chains. Secondly, governments can pursue trade liberalization initiatives, such as negotiating free trade agreements (FTAs) and joining regional trade blocs, to expand market access for domestic exporters, attract foreign investment, and enhance competitiveness in global markets. Thirdly, governments can support domestic industries </w:t>
      </w:r>
      <w:r>
        <w:lastRenderedPageBreak/>
        <w:t>through investment in innovation, infrastructure, and skills development to enhance productivity and competitiveness, enabling them to compete effectively in global markets without resorting to protectionist measures. Finally, governments can engage in multilateral trade negotiations and cooperation through forums such as the World Trade Organization (WTO) to resolve trade disputes, uphold international trade rules, and promote a rules-based trading system that fosters fair and equitable trade relations among nations.</w:t>
      </w:r>
    </w:p>
    <w:p w14:paraId="0753B9D3" w14:textId="77777777" w:rsidR="00F40FF8" w:rsidRDefault="0028711A" w:rsidP="00E538F4">
      <w:pPr>
        <w:pStyle w:val="Heading3"/>
      </w:pPr>
      <w:r w:rsidRPr="0028711A">
        <w:t>What role can multilateral trade agreements and organizations like the World Trade Organization (WTO) play in resolving trade disputes and fostering cooperation among nations?</w:t>
      </w:r>
    </w:p>
    <w:p w14:paraId="320C95D1" w14:textId="77777777" w:rsidR="00301B78" w:rsidRDefault="00F40FF8" w:rsidP="00E538F4">
      <w:r>
        <w:t xml:space="preserve">Multilateral trade agreements and organizations like the World Trade Organization (WTO) play a crucial role in resolving trade disputes and fostering cooperation among nations by providing a forum for negotiations, dispute settlement, and rule-making in international trade. Firstly, multilateral trade agreements, such as the WTO agreements, establish a set of rules, principles, and commitments that govern international trade relations, providing a common framework for resolving disputes and addressing trade barriers. The WTO's dispute settlement mechanism allows member countries to seek resolution of trade disputes through adjudication and arbitration, providing a transparent and rules-based process for resolving conflicts and enforcing compliance with trade rules. Secondly, multilateral trade agreements promote cooperation among nations by facilitating trade negotiations, reducing trade barriers, and harmonizing regulations, thereby creating a more open, predictable, and stable trading environment that fosters economic growth and development. Finally, multilateral trade agreements and organizations like the WTO promote </w:t>
      </w:r>
      <w:r>
        <w:t>inclusivity and equity in global trade by ensuring that all member countries, regardless of size or economic power, have a voice and representation in shaping international trade rules and policies.</w:t>
      </w:r>
    </w:p>
    <w:p w14:paraId="27DC3550" w14:textId="77777777" w:rsidR="00F40FF8" w:rsidRDefault="0028711A" w:rsidP="00E538F4">
      <w:pPr>
        <w:pStyle w:val="Heading3"/>
      </w:pPr>
      <w:r w:rsidRPr="0028711A">
        <w:t>How do geopolitical considerations, such as strategic alliances and regional conflicts, influence trade policies and trade negotiations between countries?</w:t>
      </w:r>
    </w:p>
    <w:p w14:paraId="76BF8EA1" w14:textId="77777777" w:rsidR="005D53DB" w:rsidRDefault="00F40FF8" w:rsidP="00E538F4">
      <w:pPr>
        <w:sectPr w:rsidR="005D53DB" w:rsidSect="00AB7BCB">
          <w:type w:val="continuous"/>
          <w:pgSz w:w="11907" w:h="16840" w:code="9"/>
          <w:pgMar w:top="1701" w:right="1701" w:bottom="1134" w:left="1701" w:header="680" w:footer="567" w:gutter="0"/>
          <w:cols w:num="2" w:sep="1" w:space="720"/>
          <w:docGrid w:linePitch="360"/>
        </w:sectPr>
      </w:pPr>
      <w:r>
        <w:t>Geopolitical considerations, such as strategic alliances and regional conflicts, can significantly influence trade policies and trade negotiations between countries by shaping their geopolitical interests, security concerns, and foreign policy objectives. Strategic alliances, such as military alliances or economic partnerships, can create shared interests and mutual dependencies among countries, leading to closer cooperation and coordination in trade negotiations to achieve common objectives. For example, countries belonging to regional trade blocs or economic unions may prioritize intra-regional trade integration and cooperation to enhance regional stability, economic prosperity, and geopolitical influence. Conversely, regional conflicts or geopolitical tensions can disrupt trade relations, increase trade barriers, and undermine trust and confidence among trading partners, leading to trade disputes, retaliatory measures, and trade disruptions. Moreover, geopolitical considerations can influence countries' trade policies and strategies, leading them to prioritize certain industries or sectors deemed critical for national security or strategic interests, such as defense, energy, or technology. Overall, geopolitical considerations play a significant role in shaping the dynamics of international trade, influencing countries' trade policies, and shaping the outcomes of trade negotiations in an increasingly interconnected and interdependent world.</w:t>
      </w:r>
    </w:p>
    <w:p w14:paraId="2DCFA276" w14:textId="77777777" w:rsidR="005D53DB" w:rsidRDefault="001427DE" w:rsidP="00E538F4">
      <w:pPr>
        <w:pStyle w:val="Heading2"/>
        <w:sectPr w:rsidR="005D53DB" w:rsidSect="005D53DB">
          <w:type w:val="continuous"/>
          <w:pgSz w:w="11907" w:h="16840" w:code="9"/>
          <w:pgMar w:top="1701" w:right="1701" w:bottom="1134" w:left="1701" w:header="680" w:footer="567" w:gutter="0"/>
          <w:cols w:space="708"/>
          <w:docGrid w:linePitch="360"/>
        </w:sectPr>
      </w:pPr>
      <w:r>
        <w:lastRenderedPageBreak/>
        <w:t>9</w:t>
      </w:r>
      <w:r w:rsidR="00F40FF8">
        <w:t>: Sovereign Debt Management</w:t>
      </w:r>
    </w:p>
    <w:p w14:paraId="0DEA8439" w14:textId="77777777" w:rsidR="00F40FF8" w:rsidRDefault="0028711A" w:rsidP="00E71B9A">
      <w:pPr>
        <w:pStyle w:val="Heading3"/>
        <w:numPr>
          <w:ilvl w:val="0"/>
          <w:numId w:val="32"/>
        </w:numPr>
      </w:pPr>
      <w:r w:rsidRPr="0028711A">
        <w:t>What factors determine a government's borrowing strategy and its choice between domestic and external sources of financing?</w:t>
      </w:r>
    </w:p>
    <w:p w14:paraId="78DF28BD" w14:textId="77777777" w:rsidR="00301B78" w:rsidRDefault="00F40FF8" w:rsidP="00E538F4">
      <w:r>
        <w:t>Several factors influence a government's borrowing strategy and its choice between domestic and external sources of financing. These factors include the government's fiscal policy objectives, budgetary constraints, funding requirements, and debt sustainability considerations. Governments may choose to borrow domestically if they have a well-developed domestic bond market, stable investor base, and sufficient liquidity in the local currency. Domestic borrowing can help mitigate currency and interest rate risks associated with external borrowing and enhance the government's ability to control monetary conditions and yield curves. Conversely, governments may resort to external borrowing, such as issuing sovereign bonds in international markets, to tap into a broader investor base, access lower borrowing costs, and diversify funding sources. The choice between domestic and external financing depends on a careful assessment of various factors, including market conditions, investor preferences, exchange rate dynamics, and regulatory constraints.</w:t>
      </w:r>
    </w:p>
    <w:p w14:paraId="242AD70B" w14:textId="77777777" w:rsidR="00F40FF8" w:rsidRDefault="0028711A" w:rsidP="00E538F4">
      <w:pPr>
        <w:pStyle w:val="Heading3"/>
      </w:pPr>
      <w:r w:rsidRPr="0028711A">
        <w:t>How do credit ratings, market perceptions, and global economic conditions influence sovereign borrowing costs and investor demand for government bonds?</w:t>
      </w:r>
    </w:p>
    <w:p w14:paraId="1A88888E" w14:textId="77777777" w:rsidR="00301B78" w:rsidRDefault="00F40FF8" w:rsidP="00E538F4">
      <w:r>
        <w:t xml:space="preserve">Credit ratings, market perceptions, and global economic conditions play a significant role in determining sovereign borrowing costs and investor demand for government bonds. Credit ratings assigned by rating agencies assess the creditworthiness of sovereign borrowers based on factors such as fiscal discipline, economic stability, and </w:t>
      </w:r>
      <w:r>
        <w:t>political risk. Higher credit ratings indicate lower credit risk and typically result in lower borrowing costs for governments as investors demand lower yields to compensate for lower perceived risk. Conversely, lower credit ratings may lead to higher borrowing costs and reduced investor demand for government bonds, reflecting higher perceived credit risk and uncertainty. Market perceptions, including investor sentiment, risk appetite, and market liquidity, can also influence sovereign borrowing costs and investor demand, particularly during periods of heightened market volatility or uncertainty. Global economic conditions, such as interest rate trends, inflation expectations, and economic growth prospects, can affect sovereign borrowing costs and investor demand for government bonds by influencing central bank policies, monetary conditions, and capital flows across borders.</w:t>
      </w:r>
    </w:p>
    <w:p w14:paraId="02EB74F9" w14:textId="77777777" w:rsidR="00F40FF8" w:rsidRDefault="0028711A" w:rsidP="00E538F4">
      <w:pPr>
        <w:pStyle w:val="Heading3"/>
      </w:pPr>
      <w:r w:rsidRPr="0028711A">
        <w:t>What are the implications of high levels of public debt for macroeconomic stability, fiscal policy flexibility, and intergenerational equity?</w:t>
      </w:r>
    </w:p>
    <w:p w14:paraId="1DF32F94" w14:textId="77777777" w:rsidR="00301B78" w:rsidRDefault="00F40FF8" w:rsidP="00E538F4">
      <w:r>
        <w:t xml:space="preserve">High levels of public debt can have several implications for macroeconomic stability, fiscal policy flexibility, and intergenerational equity. Firstly, excessive public debt can undermine macroeconomic stability by increasing sovereign default risks, crowding out private investment, and leading to higher borrowing costs, inflationary pressures, and currency depreciation. Secondly, high public debt levels can limit fiscal policy flexibility by constraining government spending and investment choices, reducing fiscal space for countercyclical measures during economic downturns, and increasing vulnerability to external shocks. Thirdly, high public debt burdens can raise concerns about intergenerational equity by passing on the burden of debt servicing and </w:t>
      </w:r>
      <w:r>
        <w:lastRenderedPageBreak/>
        <w:t>repayment to future generations, potentially limiting their economic opportunities, welfare, and standard of living. Moreover, high public debt levels may lead to higher taxes or lower public spending in the future, placing a disproportionate burden on younger generations who will bear the costs of servicing and repaying the debt incurred by previous generations.</w:t>
      </w:r>
    </w:p>
    <w:p w14:paraId="1575004F" w14:textId="77777777" w:rsidR="00F40FF8" w:rsidRDefault="0028711A" w:rsidP="00E538F4">
      <w:pPr>
        <w:pStyle w:val="Heading3"/>
      </w:pPr>
      <w:r w:rsidRPr="0028711A">
        <w:t>How can governments mitigate sovereign debt risks, such as currency depreciation, interest rate volatility, and rollover risk, through prudent debt management practices?</w:t>
      </w:r>
    </w:p>
    <w:p w14:paraId="4499A260" w14:textId="77777777" w:rsidR="00301B78" w:rsidRDefault="00F40FF8" w:rsidP="00E538F4">
      <w:r>
        <w:t>Governments can mitigate sovereign debt risks, such as currency depreciation, interest rate volatility, and rollover risk, through prudent debt management practices. Firstly, governments can diversify their funding sources and currency composition by issuing debt in multiple currencies and maturities to reduce reliance on any single market or investor base. Secondly, governments can implement risk management strategies, such as using derivatives to hedge against currency and interest rate risks, to protect against adverse market movements and volatility. Thirdly, governments can establish contingency funds or reserve buffers to provide liquidity and mitigate rollover risk in case of market disruptions or sudden changes in investor sentiment. Fourthly, governments can pursue fiscal consolidation and debt reduction measures to improve debt sustainability, strengthen market confidence, and reduce refinancing risks over the long term. Finally, governments can enhance transparency, communication, and investor relations to build trust and credibility in debt management operations, thereby reducing uncertainty and risk premiums in sovereign bond markets.</w:t>
      </w:r>
    </w:p>
    <w:p w14:paraId="54F7283F" w14:textId="77777777" w:rsidR="00F40FF8" w:rsidRDefault="0028711A" w:rsidP="00E538F4">
      <w:pPr>
        <w:pStyle w:val="Heading3"/>
      </w:pPr>
      <w:r w:rsidRPr="0028711A">
        <w:t>What policy options are available to governments facing debt distress or sovereign default, and what are the implications for financial markets and international investors?</w:t>
      </w:r>
    </w:p>
    <w:p w14:paraId="119858F8" w14:textId="77777777" w:rsidR="005D53DB" w:rsidRDefault="00F40FF8" w:rsidP="00E538F4">
      <w:pPr>
        <w:sectPr w:rsidR="005D53DB" w:rsidSect="00AB7BCB">
          <w:type w:val="continuous"/>
          <w:pgSz w:w="11907" w:h="16840" w:code="9"/>
          <w:pgMar w:top="1701" w:right="1701" w:bottom="1134" w:left="1701" w:header="680" w:footer="567" w:gutter="0"/>
          <w:cols w:num="2" w:sep="1" w:space="720"/>
          <w:docGrid w:linePitch="360"/>
        </w:sectPr>
      </w:pPr>
      <w:r>
        <w:t>Governments facing debt distress or sovereign default have several policy options available to manage the crisis and restore fiscal sustainability. These options may include debt restructuring, debt rescheduling, debt forgiveness, or seeking financial assistance from international financial institutions or creditor nations. Debt restructuring involves negotiating with creditors to modify the terms of existing debt contracts, such as extending maturities, reducing interest rates, or writing down principal amounts, to alleviate debt burdens and restore solvency. Debt rescheduling involves deferring or reorganizing debt payments to provide temporary relief and breathing space for fiscal adjustment measures. Debt forgiveness involves outright cancellation or reduction of debt obligations by creditors, usually in exchange for policy reforms or commitments to ensure debt sustainability and economic recovery. The implications of debt distress or sovereign default for financial markets and international investors can be significant, leading to market disruptions, credit rating downgrades, increased risk premiums, and capital outflows from affected countries. Moreover, debt distress can undermine investor confidence, raise concerns about systemic risks, and trigger contagion effects in global financial markets, particularly if it involves large, systemically important economies. Therefore, timely and effective resolution of debt crises is essential to restore market confidence, stabilize financial conditions, and prevent broader economic contagion.</w:t>
      </w:r>
    </w:p>
    <w:p w14:paraId="7C889AAA" w14:textId="77777777" w:rsidR="005D53DB" w:rsidRDefault="001427DE" w:rsidP="00E538F4">
      <w:pPr>
        <w:pStyle w:val="Heading2"/>
        <w:sectPr w:rsidR="005D53DB" w:rsidSect="005D53DB">
          <w:type w:val="continuous"/>
          <w:pgSz w:w="11907" w:h="16840" w:code="9"/>
          <w:pgMar w:top="1701" w:right="1701" w:bottom="1134" w:left="1701" w:header="680" w:footer="567" w:gutter="0"/>
          <w:cols w:space="708"/>
          <w:docGrid w:linePitch="360"/>
        </w:sectPr>
      </w:pPr>
      <w:r>
        <w:lastRenderedPageBreak/>
        <w:t>1</w:t>
      </w:r>
      <w:r w:rsidR="00F40FF8">
        <w:t>0: Financial Inclusion Initiatives</w:t>
      </w:r>
    </w:p>
    <w:p w14:paraId="51965772" w14:textId="77777777" w:rsidR="00F40FF8" w:rsidRDefault="0028711A" w:rsidP="00E71B9A">
      <w:pPr>
        <w:pStyle w:val="Heading3"/>
        <w:numPr>
          <w:ilvl w:val="0"/>
          <w:numId w:val="33"/>
        </w:numPr>
      </w:pPr>
      <w:r w:rsidRPr="0028711A">
        <w:t>What barriers prevent marginalized groups from accessing mainstream financial services, and how can governments address these barriers through targeted policies and programs?</w:t>
      </w:r>
    </w:p>
    <w:p w14:paraId="0FA58888" w14:textId="77777777" w:rsidR="00301B78" w:rsidRDefault="00F40FF8" w:rsidP="00E538F4">
      <w:r>
        <w:t>Marginalized groups face various barriers to accessing mainstream financial services, including lack of proximity to bank branches, documentation requirements, affordability issues, and cultural or social barriers. Additionally, financial institutions may perceive these groups as risky or unprofitable, further limiting access. Governments can address these barriers through targeted policies and programs such as establishing financial inclusion mandates, incentivizing banks to reach underserved populations, promoting alternative delivery channels like mobile banking and agent banking, simplifying know-your-customer (KYC) requirements, and providing financial literacy and consumer protection initiatives tailored to the needs of marginalized communities. Moreover, partnerships between governments, financial institutions, civil society organizations, and technology providers can help overcome barriers and expand access to financial services for marginalized groups.</w:t>
      </w:r>
    </w:p>
    <w:p w14:paraId="5C739442" w14:textId="77777777" w:rsidR="00F40FF8" w:rsidRDefault="0028711A" w:rsidP="00E538F4">
      <w:pPr>
        <w:pStyle w:val="Heading3"/>
      </w:pPr>
      <w:r w:rsidRPr="0028711A">
        <w:t>How can innovative technologies such as mobile banking, digital payments, and branchless banking platforms promote financial inclusion and empower marginalized communities?</w:t>
      </w:r>
    </w:p>
    <w:p w14:paraId="590B936C" w14:textId="77777777" w:rsidR="00301B78" w:rsidRDefault="00F40FF8" w:rsidP="00E538F4">
      <w:r>
        <w:t xml:space="preserve">Innovative technologies such as mobile banking, digital payments, and branchless banking platforms have the potential to revolutionize financial inclusion by overcoming traditional barriers such as physical distance, infrastructure limitations, and high transaction costs. Mobile banking allows individuals to access financial services using </w:t>
      </w:r>
      <w:r>
        <w:t>basic mobile phones, enabling them to make payments, send remittances, and access savings and credit products remotely. Digital payments platforms offer convenient and cost-effective means of conducting transactions, reducing the reliance on cash and increasing financial access for underserved populations. Branchless banking models leverage agent networks to provide banking services in remote areas where traditional bank branches are not viable, enabling marginalized communities to access basic financial services locally. By harnessing the power of innovative technologies, financial institutions can reach new customer segments, lower operational costs, and improve the efficiency and accessibility of financial services for marginalized communities.</w:t>
      </w:r>
    </w:p>
    <w:p w14:paraId="2C238235" w14:textId="77777777" w:rsidR="00F40FF8" w:rsidRDefault="0028711A" w:rsidP="00E538F4">
      <w:pPr>
        <w:pStyle w:val="Heading3"/>
      </w:pPr>
      <w:r w:rsidRPr="0028711A">
        <w:t>What role can financial education and literacy programs play in enhancing the financial capabilities of underserved populations and promoting responsible financial behavior?</w:t>
      </w:r>
    </w:p>
    <w:p w14:paraId="6946FB46" w14:textId="77777777" w:rsidR="00301B78" w:rsidRDefault="00F40FF8" w:rsidP="00E538F4">
      <w:r>
        <w:t xml:space="preserve">Financial education and literacy programs play a crucial role in enhancing the financial capabilities of underserved populations and promoting responsible financial behavior. These programs provide individuals with the knowledge, skills, and confidence to manage their finances effectively, make informed decisions, and navigate the financial system. Financial education initiatives cover topics such as budgeting, saving, borrowing, investing, and protecting against financial risks, tailored to the needs and preferences of diverse audiences. By improving financial literacy, individuals are better equipped to access and utilize financial products and services, avoid predatory practices, and plan for their financial future. Moreover, financial education programs can empower marginalized communities to </w:t>
      </w:r>
      <w:r>
        <w:lastRenderedPageBreak/>
        <w:t>advocate for their financial rights, engage with financial institutions, and participate more actively in economic opportunities. Governments, schools, employers, and civil society organizations can collaborate to design and implement comprehensive financial education initiatives that reach underserved populations and promote inclusive financial practices.</w:t>
      </w:r>
    </w:p>
    <w:p w14:paraId="6322AC55" w14:textId="77777777" w:rsidR="00F40FF8" w:rsidRDefault="0028711A" w:rsidP="00E538F4">
      <w:pPr>
        <w:pStyle w:val="Heading3"/>
      </w:pPr>
      <w:r w:rsidRPr="0028711A">
        <w:t>How do regulatory frameworks need to evolve to accommodate new financial inclusion models and ensure consumer protection while encouraging innovation?</w:t>
      </w:r>
    </w:p>
    <w:p w14:paraId="443A150A" w14:textId="77777777" w:rsidR="00301B78" w:rsidRDefault="00F40FF8" w:rsidP="00E538F4">
      <w:r>
        <w:t xml:space="preserve">Regulatory frameworks need to evolve to accommodate new financial inclusion models and ensure consumer protection while encouraging innovation. Governments and regulators should adopt a risk-based approach to regulation that balances the need to foster innovation and promote financial inclusion with the imperative to protect consumers and maintain financial stability. This may involve updating regulations and licensing requirements to accommodate new digital and branchless banking models, establishing clear standards for consumer protection, data privacy, and cybersecurity, and implementing regulatory sandboxes or innovation hubs to test new products and services in a controlled environment. Moreover, regulators should collaborate with industry stakeholders to develop inclusive regulatory frameworks that address the unique needs and risks associated with serving underserved populations. By embracing regulatory innovation and adopting a proactive approach to supervision, regulators can support the growth of inclusive </w:t>
      </w:r>
      <w:r>
        <w:t>financial ecosystems while safeguarding the interests of consumers and maintaining trust and confidence in the financial system.</w:t>
      </w:r>
    </w:p>
    <w:p w14:paraId="03460A83" w14:textId="77777777" w:rsidR="00F40FF8" w:rsidRDefault="0028711A" w:rsidP="00E538F4">
      <w:pPr>
        <w:pStyle w:val="Heading3"/>
      </w:pPr>
      <w:r w:rsidRPr="0028711A">
        <w:t>What are the economic and social benefits of greater financial inclusion, and how can governments measure and evaluate the impact of their financial inclusion initiatives?</w:t>
      </w:r>
    </w:p>
    <w:p w14:paraId="55A2E833" w14:textId="77777777" w:rsidR="005D53DB" w:rsidRDefault="00F40FF8" w:rsidP="00E538F4">
      <w:pPr>
        <w:sectPr w:rsidR="005D53DB" w:rsidSect="00AB7BCB">
          <w:type w:val="continuous"/>
          <w:pgSz w:w="11907" w:h="16840" w:code="9"/>
          <w:pgMar w:top="1701" w:right="1701" w:bottom="1134" w:left="1701" w:header="680" w:footer="567" w:gutter="0"/>
          <w:cols w:num="2" w:sep="1" w:space="720"/>
          <w:docGrid w:linePitch="360"/>
        </w:sectPr>
      </w:pPr>
      <w:r>
        <w:t>Greater financial inclusion generates various economic and social benefits for individuals, communities, and economies as a whole. Economically, financial inclusion promotes inclusive growth by expanding access to credit and investment opportunities, fostering entrepreneurship and job creation, and reducing income inequality. Socially, financial inclusion empowers marginalized populations by providing them with financial tools and resources to improve their livelihoods, access essential services such as healthcare and education, and build resilience against economic shocks. Governments can measure and evaluate the impact of their financial inclusion initiatives using a combination of quantitative and qualitative indicators, including the number of individuals or households gaining access to financial services, changes in financial behavior and attitudes, improvements in economic indicators such as poverty rates and income levels, and feedback from stakeholders through surveys and focus groups. By monitoring and assessing the outcomes of financial inclusion interventions, governments can identify areas for improvement, allocate resources effectively, and demonstrate the impact of their policies and programs on promoting inclusive and sustainable development.</w:t>
      </w:r>
    </w:p>
    <w:p w14:paraId="1C99DC3E" w14:textId="77777777" w:rsidR="005D53DB" w:rsidRDefault="001427DE" w:rsidP="00E538F4">
      <w:pPr>
        <w:pStyle w:val="Heading2"/>
        <w:sectPr w:rsidR="005D53DB" w:rsidSect="005D53DB">
          <w:type w:val="continuous"/>
          <w:pgSz w:w="11907" w:h="16840" w:code="9"/>
          <w:pgMar w:top="1701" w:right="1701" w:bottom="1134" w:left="1701" w:header="680" w:footer="567" w:gutter="0"/>
          <w:cols w:space="708"/>
          <w:docGrid w:linePitch="360"/>
        </w:sectPr>
      </w:pPr>
      <w:r>
        <w:lastRenderedPageBreak/>
        <w:t>1</w:t>
      </w:r>
      <w:r w:rsidR="00F40FF8">
        <w:t>1: Regulatory Responses to Market Volatility</w:t>
      </w:r>
    </w:p>
    <w:p w14:paraId="65C2FBD1" w14:textId="77777777" w:rsidR="00F40FF8" w:rsidRDefault="0028711A" w:rsidP="00E71B9A">
      <w:pPr>
        <w:pStyle w:val="Heading3"/>
        <w:numPr>
          <w:ilvl w:val="0"/>
          <w:numId w:val="34"/>
        </w:numPr>
      </w:pPr>
      <w:r w:rsidRPr="0028711A">
        <w:t>What are the root causes of market volatility, and how do different asset classes and market participants contribute to volatility dynamics?</w:t>
      </w:r>
    </w:p>
    <w:p w14:paraId="04437D63" w14:textId="77777777" w:rsidR="00301B78" w:rsidRDefault="00F40FF8" w:rsidP="00E538F4">
      <w:r>
        <w:t>Market volatility can stem from various factors, including economic indicators, geopolitical events, investor sentiment, and market structure. Economic uncertainty, changes in interest rates, inflation expectations, and corporate earnings can all influence asset prices and market volatility. Geopolitical tensions, natural disasters, and global events also contribute to market uncertainty and volatility. Different asset classes, such as equities, bonds, commodities, and currencies, may exhibit varying degrees of volatility based on their underlying fundamentals, liquidity, and market dynamics. Moreover, market participants, including individual investors, institutional traders, hedge funds, and algorithmic trading systems, contribute to volatility dynamics through their trading activities, risk preferences, and market strategies. Understanding the root causes and dynamics of market volatility requires analysis of both macroeconomic factors and micro-level market participant behavior across different asset classes and trading venues.</w:t>
      </w:r>
    </w:p>
    <w:p w14:paraId="2C2DE721" w14:textId="77777777" w:rsidR="00F40FF8" w:rsidRDefault="0028711A" w:rsidP="00E538F4">
      <w:pPr>
        <w:pStyle w:val="Heading3"/>
      </w:pPr>
      <w:r w:rsidRPr="0028711A">
        <w:t>How effective are regulatory measures such as circuit breakers, trading halts, and margin requirements in containing excessive volatility and preventing systemic risks?</w:t>
      </w:r>
    </w:p>
    <w:p w14:paraId="78089E3F" w14:textId="77777777" w:rsidR="00301B78" w:rsidRDefault="00F40FF8" w:rsidP="00E538F4">
      <w:r>
        <w:t xml:space="preserve">Regulatory measures such as circuit breakers, trading halts, and margin requirements play a crucial role in containing excessive volatility and preventing systemic risks in financial markets. Circuit breakers, which temporarily halt trading or impose price limits during periods of extreme volatility, help stabilize markets by providing </w:t>
      </w:r>
      <w:r>
        <w:t>investors with time to reassess information and liquidity conditions. Trading halts allow regulators and market participants to address imbalances in supply and demand, reduce disorderly trading behavior, and prevent panic selling. Margin requirements, which dictate the amount of collateral investors must deposit to trade on margin, help mitigate leverage and speculative trading, reducing the potential for market disruptions and systemic risks. While these regulatory measures are effective in managing short-term volatility and maintaining market stability, regulators must balance intervention with market efficiency and liquidity provision to avoid unintended consequences.</w:t>
      </w:r>
    </w:p>
    <w:p w14:paraId="7DABDF1A" w14:textId="77777777" w:rsidR="00F40FF8" w:rsidRDefault="0028711A" w:rsidP="00E538F4">
      <w:pPr>
        <w:pStyle w:val="Heading3"/>
      </w:pPr>
      <w:r w:rsidRPr="0028711A">
        <w:t>What challenges do regulators face in distinguishing between normal market fluctuations and disorderly market conditions warranting intervention, and how can they enhance their monitoring and surveillance capabilities?</w:t>
      </w:r>
    </w:p>
    <w:p w14:paraId="459AF157" w14:textId="77777777" w:rsidR="00301B78" w:rsidRDefault="00F40FF8" w:rsidP="00E538F4">
      <w:r>
        <w:t xml:space="preserve">Regulators face challenges in distinguishing between normal market fluctuations and disorderly market conditions warranting intervention due to the complexity and interconnectedness of financial markets. Normal market fluctuations reflect the natural ebb and flow of supply and demand, driven by changes in economic fundamentals and investor sentiment. However, disorderly market conditions may arise from excessive speculation, liquidity shortages, market manipulation, or systemic vulnerabilities, posing threats to market integrity and stability. Regulators can enhance their monitoring and surveillance capabilities through the use of advanced data analytics, market surveillance tools, and collaboration with market participants and international counterparts. Real-time monitoring of trading activity, order flow, and market liquidity allows </w:t>
      </w:r>
      <w:r>
        <w:lastRenderedPageBreak/>
        <w:t>regulators to detect abnormal patterns, identify emerging risks, and intervene promptly to maintain market orderliness and investor protection.</w:t>
      </w:r>
    </w:p>
    <w:p w14:paraId="64296B0C" w14:textId="77777777" w:rsidR="00F40FF8" w:rsidRDefault="0028711A" w:rsidP="00E538F4">
      <w:pPr>
        <w:pStyle w:val="Heading3"/>
      </w:pPr>
      <w:r w:rsidRPr="0028711A">
        <w:t>How do automated trading algorithms and high-frequency trading strategies impact market liquidity, price discovery, and the incidence of flash crashes, and what regulatory responses are warranted?</w:t>
      </w:r>
    </w:p>
    <w:p w14:paraId="23FCA066" w14:textId="77777777" w:rsidR="00301B78" w:rsidRDefault="00F40FF8" w:rsidP="00E538F4">
      <w:r>
        <w:t>Automated trading algorithms and high-frequency trading (HFT) strategies have transformed financial markets by increasing trading speed, efficiency, and liquidity provision. However, they also pose risks such as market fragmentation, increased volatility, and the potential for flash crashes. HFT algorithms execute trades at lightning speed, exploiting fleeting price discrepancies and market inefficiencies, which can amplify short-term volatility and exacerbate liquidity disruptions. Moreover, the interconnectedness of algorithmic trading systems can propagate shocks across markets and asset classes, leading to systemic risks. Regulatory responses to address these risks may include implementing circuit breakers specifically tailored to high-frequency trading activity, imposing minimum resting times for orders, enhancing pre-trade risk controls and market surveillance, and promoting transparency and fairness in algorithmic trading practices. Regulators may also consider regulating algorithmic trading firms as market participants, requiring them to meet certain capital, risk management, and compliance standards to mitigate the potential for market abuse and systemic instability.</w:t>
      </w:r>
    </w:p>
    <w:p w14:paraId="2DA23841" w14:textId="701C7A68" w:rsidR="00F40FF8" w:rsidRDefault="00D27E01" w:rsidP="00E538F4">
      <w:pPr>
        <w:pStyle w:val="Heading3"/>
      </w:pPr>
      <w:r>
        <w:br w:type="column"/>
      </w:r>
      <w:r w:rsidR="0028711A" w:rsidRPr="0028711A">
        <w:t>What lessons can be learned from past episodes of market volatility, such as the global financial crisis of 2008 and the COVID-19 pandemic-induced market turmoil, in terms of regulatory effectiveness and policy coordination?</w:t>
      </w:r>
    </w:p>
    <w:p w14:paraId="65B2D6C6" w14:textId="77777777" w:rsidR="005D53DB" w:rsidRDefault="00F40FF8" w:rsidP="00E538F4">
      <w:pPr>
        <w:sectPr w:rsidR="005D53DB" w:rsidSect="00AB7BCB">
          <w:type w:val="continuous"/>
          <w:pgSz w:w="11907" w:h="16840" w:code="9"/>
          <w:pgMar w:top="1701" w:right="1701" w:bottom="1134" w:left="1701" w:header="680" w:footer="567" w:gutter="0"/>
          <w:cols w:num="2" w:sep="1" w:space="720"/>
          <w:docGrid w:linePitch="360"/>
        </w:sectPr>
      </w:pPr>
      <w:r>
        <w:t>Past episodes of market volatility, such as the global financial crisis of 2008 and the COVID-19 pandemic-induced market turmoil, highlight the importance of regulatory effectiveness, policy coordination, and preparedness in safeguarding financial stability and investor confidence. The 2008 financial crisis revealed weaknesses in regulatory oversight, risk management practices, and financial institution resilience, leading to systemic failures and market contagion. In response, regulators implemented reforms such as the Dodd-Frank Act in the United States and Basel III globally to enhance capital requirements, improve risk management standards, and strengthen regulatory oversight of financial institutions and markets. Similarly, the COVID-19 pandemic underscored the need for proactive regulatory measures to address market dislocations, liquidity shortages, and investor uncertainty. Central banks deployed unprecedented monetary stimulus measures, regulators relaxed certain regulatory requirements, and governments implemented fiscal support programs to stabilize markets and mitigate economic fallout. Moving forward, regulators must remain vigilant, adaptable, and forward-looking in anticipating and addressing emerging risks and vulnerabilities in financial markets, while promoting resilience, transparency, and investor protection through effective regulatory frameworks and international cooperation.</w:t>
      </w:r>
    </w:p>
    <w:p w14:paraId="18E65980" w14:textId="77777777" w:rsidR="005D53DB" w:rsidRDefault="001427DE" w:rsidP="00E538F4">
      <w:pPr>
        <w:pStyle w:val="Heading2"/>
        <w:sectPr w:rsidR="005D53DB" w:rsidSect="005D53DB">
          <w:type w:val="continuous"/>
          <w:pgSz w:w="11907" w:h="16840" w:code="9"/>
          <w:pgMar w:top="1701" w:right="1701" w:bottom="1134" w:left="1701" w:header="680" w:footer="567" w:gutter="0"/>
          <w:cols w:space="708"/>
          <w:docGrid w:linePitch="360"/>
        </w:sectPr>
      </w:pPr>
      <w:r>
        <w:lastRenderedPageBreak/>
        <w:t>1</w:t>
      </w:r>
      <w:r w:rsidR="00F40FF8">
        <w:t>2: Pension Reform</w:t>
      </w:r>
    </w:p>
    <w:p w14:paraId="449F9842" w14:textId="77777777" w:rsidR="00F40FF8" w:rsidRDefault="0028711A" w:rsidP="00E71B9A">
      <w:pPr>
        <w:pStyle w:val="Heading3"/>
        <w:numPr>
          <w:ilvl w:val="0"/>
          <w:numId w:val="35"/>
        </w:numPr>
      </w:pPr>
      <w:r w:rsidRPr="0028711A">
        <w:t>What are the key challenges facing traditional pension systems, such as defined benefit plans, and what alternative pension models, such as defined contribution plans and hybrid schemes, are emerging?</w:t>
      </w:r>
    </w:p>
    <w:p w14:paraId="39A0F24B" w14:textId="77777777" w:rsidR="00301B78" w:rsidRDefault="00F40FF8" w:rsidP="00E538F4">
      <w:r>
        <w:t>Traditional pension systems, particularly defined benefit plans, face several challenges, including funding deficits, longevity risks, and demographic pressures. Defined benefit plans guarantee retirees a specific level of benefits based on salary and years of service, placing the financial burden on employers to fund pension obligations. However, longer life expectancies and aging populations have increased pension liabilities, straining corporate balance sheets and government budgets. To address these challenges, many employers and governments are shifting towards defined contribution plans, where employees contribute to individual retirement accounts, and benefits depend on investment returns. Defined contribution plans transfer investment and longevity risks to employees, providing greater flexibility and portability but also requiring individuals to bear investment and longevity risks. Hybrid pension schemes, such as cash balance plans, combine features of defined benefit and defined contribution plans, offering benefits based on a predetermined formula and individual account balances.</w:t>
      </w:r>
    </w:p>
    <w:p w14:paraId="6E7C0AAC" w14:textId="77777777" w:rsidR="00F40FF8" w:rsidRDefault="0028711A" w:rsidP="00E538F4">
      <w:pPr>
        <w:pStyle w:val="Heading3"/>
      </w:pPr>
      <w:r w:rsidRPr="0028711A">
        <w:t>How can governments adjust retirement age, contribution rates, and benefit formulas to address demographic shifts and maintain the financial viability of pension programs?</w:t>
      </w:r>
    </w:p>
    <w:p w14:paraId="27B26A1D" w14:textId="77777777" w:rsidR="00301B78" w:rsidRDefault="00F40FF8" w:rsidP="00E538F4">
      <w:r>
        <w:t xml:space="preserve">Governments can adjust retirement age, contribution rates, and benefit formulas to address demographic shifts and ensure the financial sustainability of pension programs. </w:t>
      </w:r>
      <w:r>
        <w:t>Increasing retirement age in line with rising life expectancies helps mitigate the strain on pension systems by reducing the number of years retirees receive benefits and increasing the size of the working-age population contributing to the system. Adjusting contribution rates, either by increasing employee contributions, employer contributions, or both, helps bolster pension funding by ensuring adequate inflows to cover benefit obligations. Governments may also revise benefit formulas, such as indexing benefits to inflation or average wages rather than final salaries, to contain costs and align pension benefits with economic realities. Additionally, introducing automatic enrollment and contribution escalation features in pension plans encourages higher savings rates and improves retirement readiness among workers.</w:t>
      </w:r>
    </w:p>
    <w:p w14:paraId="029D974E" w14:textId="77777777" w:rsidR="00F40FF8" w:rsidRDefault="0028711A" w:rsidP="00E538F4">
      <w:pPr>
        <w:pStyle w:val="Heading3"/>
      </w:pPr>
      <w:r w:rsidRPr="0028711A">
        <w:t>What role can supplementary retirement savings vehicles, such as individual retirement accounts (IRAs) and voluntary pension schemes, play in supplementing public pension benefits and promoting retirement security?</w:t>
      </w:r>
    </w:p>
    <w:p w14:paraId="72C24AB9" w14:textId="77777777" w:rsidR="00301B78" w:rsidRDefault="00F40FF8" w:rsidP="00E538F4">
      <w:r>
        <w:t xml:space="preserve">Supplementary retirement savings vehicles, such as individual retirement accounts (IRAs) and voluntary pension schemes, play a crucial role in supplementing public pension benefits and enhancing retirement security for individuals. IRAs provide individuals with tax-advantaged savings accounts to accumulate retirement funds outside of employer-sponsored pension plans. These accounts offer flexibility in investment choices and contributions, allowing individuals to tailor their retirement savings strategy to their financial goals and risk tolerance. Voluntary pension schemes, such as personal pension plans and voluntary employer-sponsored retirement plans, offer additional opportunities for individuals to </w:t>
      </w:r>
      <w:r>
        <w:lastRenderedPageBreak/>
        <w:t>save for retirement beyond mandatory contributions to public pension systems. By encouraging private retirement savings and providing incentives such as tax deductions or employer matching contributions, these supplementary schemes help individuals build larger retirement nest eggs and diversify their sources of retirement income.</w:t>
      </w:r>
    </w:p>
    <w:p w14:paraId="22B98EAD" w14:textId="77777777" w:rsidR="00F40FF8" w:rsidRDefault="0028711A" w:rsidP="00E538F4">
      <w:pPr>
        <w:pStyle w:val="Heading3"/>
      </w:pPr>
      <w:r w:rsidRPr="0028711A">
        <w:t>How do pension reforms affect intergenerational equity and the distributional impact on different cohorts of workers and retirees?</w:t>
      </w:r>
    </w:p>
    <w:p w14:paraId="43A349CE" w14:textId="77777777" w:rsidR="00301B78" w:rsidRDefault="00F40FF8" w:rsidP="00E538F4">
      <w:r>
        <w:t>Pension reforms can have implications for intergenerational equity and the distributional impact on different cohorts of workers and retirees. Changes to pension eligibility criteria, benefit formulas, and contribution requirements may affect the retirement prospects and financial well-being of current and future generations differently. For example, raising the retirement age may disadvantage older workers nearing retirement who may have planned their finances based on earlier retirement expectations. However, it may benefit younger workers by extending their working lives and ensuring the long-term sustainability of pension programs. Similarly, altering benefit formulas or introducing means-testing measures may reduce benefits for higher-income retirees while protecting benefits for lower-income retirees, addressing concerns about income inequality and poverty among elderly populations. Pension reforms should strive to balance the interests of different generations and ensure fairness and adequacy in retirement income for all cohorts of workers and retirees.</w:t>
      </w:r>
    </w:p>
    <w:p w14:paraId="6A533E32" w14:textId="77777777" w:rsidR="00F40FF8" w:rsidRDefault="0028711A" w:rsidP="00E538F4">
      <w:pPr>
        <w:pStyle w:val="Heading3"/>
      </w:pPr>
      <w:r w:rsidRPr="0028711A">
        <w:t>How can governments encourage private sector employers to offer retirement savings plans and provide incentives for individuals to save for retirement, particularly among lower-income earners and self-employed workers?</w:t>
      </w:r>
    </w:p>
    <w:p w14:paraId="580448BC" w14:textId="77777777" w:rsidR="005D53DB" w:rsidRDefault="00F40FF8" w:rsidP="00E538F4">
      <w:pPr>
        <w:sectPr w:rsidR="005D53DB" w:rsidSect="00AB7BCB">
          <w:type w:val="continuous"/>
          <w:pgSz w:w="11907" w:h="16840" w:code="9"/>
          <w:pgMar w:top="1701" w:right="1701" w:bottom="1134" w:left="1701" w:header="680" w:footer="567" w:gutter="0"/>
          <w:cols w:num="2" w:sep="1" w:space="720"/>
          <w:docGrid w:linePitch="360"/>
        </w:sectPr>
      </w:pPr>
      <w:r>
        <w:t>Governments can employ various strategies to encourage private sector employers to offer retirement savings plans and incentivize individuals, especially lower-income earners and self-employed workers, to save for retirement. One approach is to provide tax incentives, such as tax deductions or credits, to employers for sponsoring retirement plans and to employees for contributing to these plans. Tax incentives reduce the cost of offering retirement benefits for employers and increase the take-home pay for employees, incentivizing participation in employer-sponsored retirement plans. Additionally, governments can mandate employer contributions or auto-enrollment in retirement plans for certain categories of workers, ensuring broad coverage and participation in retirement savings programs. For self-employed individuals, governments can promote simplified and affordable retirement savings options, such as simplified IRAs or solo 401(k) plans, tailored to their needs and financial circumstances. Moreover, financial education and outreach campaigns can raise awareness about the importance of retirement savings and help individuals, especially those with limited financial literacy, make informed decisions about planning for retirement.</w:t>
      </w:r>
    </w:p>
    <w:p w14:paraId="376727D8" w14:textId="77777777" w:rsidR="005D53DB" w:rsidRDefault="001427DE" w:rsidP="00E538F4">
      <w:pPr>
        <w:pStyle w:val="Heading2"/>
        <w:sectPr w:rsidR="005D53DB" w:rsidSect="005D53DB">
          <w:type w:val="continuous"/>
          <w:pgSz w:w="11907" w:h="16840" w:code="9"/>
          <w:pgMar w:top="1701" w:right="1701" w:bottom="1134" w:left="1701" w:header="680" w:footer="567" w:gutter="0"/>
          <w:cols w:space="708"/>
          <w:docGrid w:linePitch="360"/>
        </w:sectPr>
      </w:pPr>
      <w:r>
        <w:lastRenderedPageBreak/>
        <w:t>1</w:t>
      </w:r>
      <w:r w:rsidR="00F40FF8">
        <w:t>3: Corporate Governance and Accountability</w:t>
      </w:r>
    </w:p>
    <w:p w14:paraId="5EA02784" w14:textId="77777777" w:rsidR="00F40FF8" w:rsidRDefault="0028711A" w:rsidP="00E71B9A">
      <w:pPr>
        <w:pStyle w:val="Heading3"/>
        <w:numPr>
          <w:ilvl w:val="0"/>
          <w:numId w:val="36"/>
        </w:numPr>
      </w:pPr>
      <w:r w:rsidRPr="0028711A">
        <w:t>What are the key principles of good corporate governance, and how do they contribute to shareholder value creation, risk management, and long-term corporate sustainability?</w:t>
      </w:r>
    </w:p>
    <w:p w14:paraId="4118EEA9" w14:textId="77777777" w:rsidR="00301B78" w:rsidRDefault="00F40FF8" w:rsidP="00E538F4">
      <w:r>
        <w:t>Good corporate governance is guided by key principles such as transparency, accountability, fairness, and responsibility. Transparency ensures that stakeholders have access to accurate and timely information about the company's financial performance, operations, and decision-making processes. Accountability holds directors and executives accountable for their actions and decisions, ensuring that they act in the best interests of shareholders. Fairness ensures that all stakeholders, including minority shareholders, employees, and creditors, are treated equitably and have a voice in corporate governance matters. Responsibility entails the ethical and responsible stewardship of corporate resources, including environmental and social considerations. These principles contribute to shareholder value creation by enhancing investor confidence, attracting capital, and reducing the cost of capital. Moreover, they facilitate effective risk management by promoting oversight, internal controls, and risk mitigation strategies. Long-term corporate sustainability is achieved by aligning corporate strategy with environmental, social, and governance (ESG) considerations, fostering innovation, and building trust with stakeholders.</w:t>
      </w:r>
    </w:p>
    <w:p w14:paraId="74889EF6" w14:textId="77777777" w:rsidR="00F40FF8" w:rsidRDefault="0028711A" w:rsidP="00E538F4">
      <w:pPr>
        <w:pStyle w:val="Heading3"/>
      </w:pPr>
      <w:r w:rsidRPr="0028711A">
        <w:t>How can regulatory reforms, such as board independence requirements, executive compensation disclosures, and shareholder activism rules, enhance corporate governance practices and protect shareholder interests?</w:t>
      </w:r>
    </w:p>
    <w:p w14:paraId="38472DD7" w14:textId="77777777" w:rsidR="00301B78" w:rsidRDefault="00F40FF8" w:rsidP="00E538F4">
      <w:r>
        <w:t>Regulatory reforms play a crucial role in enhancing corporate governance practices and protecting shareholder interests by establishing clear standards, requirements, and enforcement mechanisms. Board independence requirements mandate that a majority of board members be independent directors who are not affiliated with the company or its management, ensuring impartial oversight and decision-making. Executive compensation disclosures require companies to disclose detailed information about executive pay packages, including salaries, bonuses, stock options, and other perks, enabling shareholders to assess the alignment of executive incentives with company performance. Shareholder activism rules facilitate shareholder engagement and activism by providing shareholders with avenues to propose resolutions, nominate directors, and voice concerns about corporate governance and performance. These reforms increase transparency, accountability, and responsiveness to shareholder concerns, ultimately enhancing corporate governance practices and protecting shareholder interests.</w:t>
      </w:r>
    </w:p>
    <w:p w14:paraId="1DB66F4B" w14:textId="77777777" w:rsidR="00F40FF8" w:rsidRDefault="0028711A" w:rsidP="00E538F4">
      <w:pPr>
        <w:pStyle w:val="Heading3"/>
      </w:pPr>
      <w:r w:rsidRPr="0028711A">
        <w:t>What challenges do multinational corporations face in maintaining consistent corporate governance standards across different jurisdictions with varying legal, cultural, and regulatory environments?</w:t>
      </w:r>
    </w:p>
    <w:p w14:paraId="7AD85015" w14:textId="77777777" w:rsidR="00301B78" w:rsidRDefault="00F40FF8" w:rsidP="00E538F4">
      <w:r>
        <w:t xml:space="preserve">Multinational corporations face several challenges in maintaining consistent corporate governance standards across different jurisdictions with varying legal, cultural, and regulatory environments. Legal and regulatory frameworks governing corporate governance may differ significantly between countries, leading to compliance complexities and regulatory uncertainties for multinational corporations operating across borders. Cultural differences in business </w:t>
      </w:r>
      <w:r>
        <w:lastRenderedPageBreak/>
        <w:t>practices, ethics, and corporate governance norms may also pose challenges in establishing uniform corporate governance standards and values across diverse subsidiaries and operations. Moreover, corporate governance best practices and expectations may vary among stakeholders, investors, and regulators in different jurisdictions, requiring multinational corporations to navigate competing priorities and expectations. To address these challenges, multinational corporations must develop robust corporate governance frameworks that account for local legal requirements, cultural nuances, and stakeholder expectations while upholding global standards of transparency, accountability, and ethical conduct.</w:t>
      </w:r>
    </w:p>
    <w:p w14:paraId="57852C8A" w14:textId="77777777" w:rsidR="00F40FF8" w:rsidRDefault="0028711A" w:rsidP="00E538F4">
      <w:pPr>
        <w:pStyle w:val="Heading3"/>
      </w:pPr>
      <w:r w:rsidRPr="0028711A">
        <w:t>How can corporate governance failures, such as accounting fraud, insider trading, and boardroom conflicts, be detected, investigated, and remedied effectively by regulators and law enforcement agencies?</w:t>
      </w:r>
    </w:p>
    <w:p w14:paraId="2B0A8E2A" w14:textId="77777777" w:rsidR="00301B78" w:rsidRDefault="00F40FF8" w:rsidP="00E538F4">
      <w:r>
        <w:t xml:space="preserve">Corporate governance failures, such as accounting fraud, insider trading, and boardroom conflicts, can be detected, investigated, and remedied effectively by regulators and law enforcement agencies through various measures. Regulatory agencies, such as securities commissions and financial regulators, conduct regular audits, inspections, and investigations to detect potential violations of corporate governance standards and securities laws. Whistleblower programs enable employees and stakeholders to report misconduct and corporate governance failures confidentially, providing regulators with valuable information for investigations. Law enforcement agencies collaborate with regulatory bodies to investigate allegations of corporate misconduct, gather evidence, and prosecute offenders where necessary. Remedial actions may include fines, sanctions, disgorgement of ill-gotten gains, and legal proceedings against </w:t>
      </w:r>
      <w:r>
        <w:t>culpable individuals and entities. Additionally, regulatory reforms may be implemented to strengthen corporate governance standards, enhance transparency and disclosure requirements, and improve oversight mechanisms to prevent similar failures in the future.</w:t>
      </w:r>
    </w:p>
    <w:p w14:paraId="4EFCA78A" w14:textId="77777777" w:rsidR="00F40FF8" w:rsidRDefault="0028711A" w:rsidP="00E538F4">
      <w:pPr>
        <w:pStyle w:val="Heading3"/>
      </w:pPr>
      <w:r w:rsidRPr="0028711A">
        <w:t>What role should institutional investors, proxy advisory firms, and corporate governance rating agencies play in promoting corporate accountability and responsible investment practices?</w:t>
      </w:r>
    </w:p>
    <w:p w14:paraId="0B705141" w14:textId="77777777" w:rsidR="005D53DB" w:rsidRDefault="00F40FF8" w:rsidP="00E538F4">
      <w:pPr>
        <w:sectPr w:rsidR="005D53DB" w:rsidSect="00AB7BCB">
          <w:type w:val="continuous"/>
          <w:pgSz w:w="11907" w:h="16840" w:code="9"/>
          <w:pgMar w:top="1701" w:right="1701" w:bottom="1134" w:left="1701" w:header="680" w:footer="567" w:gutter="0"/>
          <w:cols w:num="2" w:sep="1" w:space="720"/>
          <w:docGrid w:linePitch="360"/>
        </w:sectPr>
      </w:pPr>
      <w:r>
        <w:t>Institutional investors, proxy advisory firms, and corporate governance rating agencies play a critical role in promoting corporate accountability and responsible investment practices by exerting influence, providing guidance, and holding companies accountable for their governance practices. Institutional investors, such as pension funds, asset managers, and sovereign wealth funds, have significant shareholdings in publicly traded companies and can influence corporate governance decisions through engagement, voting at shareholder meetings, and exercising their rights as shareholders. Proxy advisory firms provide independent research, analysis, and voting recommendations to institutional investors on matters such as executive compensation, board composition, and shareholder resolutions, enabling informed decision-making and shareholder activism. Corporate governance rating agencies evaluate companies based on governance practices, ESG criteria, and ethical standards, providing investors with ratings and rankings to assess the quality of corporate governance and sustainability performance. By promoting transparency, accountability, and responsible stewardship of corporate resources, these stakeholders contribute to the overall improvement of corporate governance practices and the long-term sustainability of companies.</w:t>
      </w:r>
    </w:p>
    <w:p w14:paraId="6EE9DE89" w14:textId="77777777" w:rsidR="005D53DB" w:rsidRDefault="001427DE" w:rsidP="00E538F4">
      <w:pPr>
        <w:pStyle w:val="Heading2"/>
        <w:sectPr w:rsidR="005D53DB" w:rsidSect="005D53DB">
          <w:type w:val="continuous"/>
          <w:pgSz w:w="11907" w:h="16840" w:code="9"/>
          <w:pgMar w:top="1701" w:right="1701" w:bottom="1134" w:left="1701" w:header="680" w:footer="567" w:gutter="0"/>
          <w:cols w:space="708"/>
          <w:docGrid w:linePitch="360"/>
        </w:sectPr>
      </w:pPr>
      <w:r>
        <w:lastRenderedPageBreak/>
        <w:t>1</w:t>
      </w:r>
      <w:r w:rsidR="00F40FF8">
        <w:t>4: Global Economic Recovery Post-COVID</w:t>
      </w:r>
    </w:p>
    <w:p w14:paraId="519489CD" w14:textId="77777777" w:rsidR="00F40FF8" w:rsidRDefault="0028711A" w:rsidP="00E71B9A">
      <w:pPr>
        <w:pStyle w:val="Heading3"/>
        <w:numPr>
          <w:ilvl w:val="0"/>
          <w:numId w:val="37"/>
        </w:numPr>
      </w:pPr>
      <w:r w:rsidRPr="0028711A">
        <w:t>What are the key drivers of economic recovery following the COVID-19 pandemic, and what are the prospects for a sustainable and inclusive recovery?</w:t>
      </w:r>
    </w:p>
    <w:p w14:paraId="4A775091" w14:textId="77777777" w:rsidR="00301B78" w:rsidRDefault="00F40FF8" w:rsidP="00E538F4">
      <w:r>
        <w:t>The key drivers of economic recovery post-COVID include successful vaccination campaigns, fiscal stimulus measures, monetary policy support, resilient supply chains, and pent-up consumer demand. As vaccination rates increase and restrictions ease, economic activity is expected to rebound, leading to GDP growth, job creation, and business investment. However, the prospects for a sustainable and inclusive recovery depend on various factors, such as addressing structural vulnerabilities, promoting green and digital transformation, and addressing social inequalities. Governments and international organizations need to focus on policies that foster inclusive growth, support vulnerable populations, and promote resilience to future shocks to ensure a sustainable and equitable recovery.</w:t>
      </w:r>
    </w:p>
    <w:p w14:paraId="5E5AB55F" w14:textId="77777777" w:rsidR="00F40FF8" w:rsidRDefault="0028711A" w:rsidP="00E538F4">
      <w:pPr>
        <w:pStyle w:val="Heading3"/>
      </w:pPr>
      <w:r w:rsidRPr="0028711A">
        <w:t>How effective have fiscal stimulus measures, monetary policy interventions, and international aid packages been in mitigating the economic impacts of the pandemic and restoring confidence in financial markets?</w:t>
      </w:r>
    </w:p>
    <w:p w14:paraId="58ECF087" w14:textId="77777777" w:rsidR="00301B78" w:rsidRDefault="00F40FF8" w:rsidP="00E538F4">
      <w:r>
        <w:t xml:space="preserve">Fiscal stimulus measures, monetary policy interventions, and international aid packages have played a crucial role in mitigating the economic impacts of the pandemic and restoring confidence in financial markets. Fiscal stimulus packages, such as direct cash transfers, unemployment benefits, and small business loans, have provided immediate relief to households and businesses, supporting consumption and preventing widespread bankruptcies. Monetary policy interventions, including interest rate cuts, quantitative easing, and liquidity injections, </w:t>
      </w:r>
      <w:r>
        <w:t>have helped stabilize financial markets, lower borrowing costs, and facilitate credit provision to support economic recovery. International aid packages, such as debt relief initiatives and emergency financing facilities, have provided essential support to low-income countries and emerging economies facing liquidity and solvency challenges. While these measures have been effective in containing the economic fallout from the pandemic, policymakers need to remain vigilant and adapt their policy responses as the situation evolves.</w:t>
      </w:r>
    </w:p>
    <w:p w14:paraId="14D43DEB" w14:textId="77777777" w:rsidR="00F40FF8" w:rsidRDefault="0028711A" w:rsidP="00E538F4">
      <w:pPr>
        <w:pStyle w:val="Heading3"/>
      </w:pPr>
      <w:r w:rsidRPr="0028711A">
        <w:t>What are the potential risks and uncertainties surrounding the post-pandemic economic recovery, such as vaccine distribution challenges, inflationary pressures, and debt sustainability concerns?</w:t>
      </w:r>
    </w:p>
    <w:p w14:paraId="2D580FCD" w14:textId="77777777" w:rsidR="00301B78" w:rsidRDefault="00F40FF8" w:rsidP="00E538F4">
      <w:r>
        <w:t>The post-pandemic economic recovery faces several risks and uncertainties, including challenges related to vaccine distribution, inflationary pressures, and debt sustainability concerns. Vaccine distribution challenges, such as vaccine hesitancy, supply chain disruptions, and unequal access to vaccines, could prolong the pandemic and delay the reopening of economies, hindering the recovery process. Inflationary pressures may arise from supply chain disruptions, pent-up consumer demand, and expansionary fiscal and monetary policies, leading to higher prices and reduced purchasing power. Debt sustainability concerns may emerge from elevated public debt levels, particularly in countries that have implemented large-scale fiscal stimulus measures, raising questions about fiscal sustainability and sovereign creditworthiness. Policymakers need to carefully monitor these risks and implement measures to address them, such as targeted support for vaccine distribution, inflation targeting policies, and fiscal consolidation efforts.</w:t>
      </w:r>
    </w:p>
    <w:p w14:paraId="2663047D" w14:textId="77777777" w:rsidR="00F40FF8" w:rsidRDefault="0028711A" w:rsidP="00E538F4">
      <w:pPr>
        <w:pStyle w:val="Heading3"/>
      </w:pPr>
      <w:r w:rsidRPr="0028711A">
        <w:lastRenderedPageBreak/>
        <w:t>How can governments support vulnerable populations, industries, and regions disproportionately affected by the pandemic through targeted assistance programs, job training initiatives, and sectoral reforms?</w:t>
      </w:r>
    </w:p>
    <w:p w14:paraId="3FB00128" w14:textId="77777777" w:rsidR="00301B78" w:rsidRDefault="00F40FF8" w:rsidP="00E538F4">
      <w:r>
        <w:t>Governments can support vulnerable populations, industries, and regions disproportionately affected by the pandemic through targeted assistance programs, job training initiatives, and sectoral reforms. Targeted assistance programs, such as cash transfers, food aid, and housing assistance, can provide immediate relief to individuals and families facing financial hardship. Job training initiatives and reskilling programs can help displaced workers transition to new employment opportunities in growing sectors, such as healthcare, technology, and renewable energy. Sectoral reforms, including investment in healthcare infrastructure, digitalization of services, and support for small and medium-sized enterprises (SMEs), can promote long-term economic resilience and competitiveness. Moreover, governments need to ensure that recovery efforts are inclusive and address the needs of marginalized groups, such as women, youth, and informal workers, who have been disproportionately impacted by the pandemic.</w:t>
      </w:r>
    </w:p>
    <w:p w14:paraId="5E293BE3" w14:textId="0F90E9EF" w:rsidR="00F40FF8" w:rsidRDefault="00D27E01" w:rsidP="00E538F4">
      <w:pPr>
        <w:pStyle w:val="Heading3"/>
      </w:pPr>
      <w:r>
        <w:br w:type="column"/>
      </w:r>
      <w:r w:rsidR="0028711A" w:rsidRPr="0028711A">
        <w:t>What lessons can policymakers learn from past crises, such as the global financial crisis of 2008, in terms of crisis management, economic resilience, and building back better?</w:t>
      </w:r>
    </w:p>
    <w:p w14:paraId="1D0B2941" w14:textId="77777777" w:rsidR="005D53DB" w:rsidRDefault="00F40FF8" w:rsidP="00E538F4">
      <w:pPr>
        <w:sectPr w:rsidR="005D53DB" w:rsidSect="00AB7BCB">
          <w:type w:val="continuous"/>
          <w:pgSz w:w="11907" w:h="16840" w:code="9"/>
          <w:pgMar w:top="1701" w:right="1701" w:bottom="1134" w:left="1701" w:header="680" w:footer="567" w:gutter="0"/>
          <w:cols w:num="2" w:sep="1" w:space="720"/>
          <w:docGrid w:linePitch="360"/>
        </w:sectPr>
      </w:pPr>
      <w:r>
        <w:t>Policymakers can learn several lessons from past crises, such as the global financial crisis of 2008, in terms of crisis management, economic resilience, and building back better. First, timely and coordinated policy responses are essential to contain the crisis and support recovery efforts. Central banks and governments need to act decisively to provide liquidity support, stabilize financial markets, and implement fiscal stimulus measures to stimulate demand and restore confidence. Second, addressing structural vulnerabilities and imbalances in the economy, such as excessive debt, financial market speculation, and income inequality, is crucial to building resilience and reducing the likelihood of future crises. Third, investing in sustainable and inclusive growth strategies, such as green infrastructure projects, social safety nets, and education and healthcare systems, can lay the foundation for a more resilient and equitable economy. Finally, strengthening international cooperation and coordination is essential to address global challenges, such as pandemics, climate change, and financial instability, and foster a more stable and prosperous world.</w:t>
      </w:r>
    </w:p>
    <w:p w14:paraId="503A6347" w14:textId="77777777" w:rsidR="005D53DB" w:rsidRDefault="001427DE" w:rsidP="00E538F4">
      <w:pPr>
        <w:pStyle w:val="Heading2"/>
        <w:sectPr w:rsidR="005D53DB" w:rsidSect="005D53DB">
          <w:type w:val="continuous"/>
          <w:pgSz w:w="11907" w:h="16840" w:code="9"/>
          <w:pgMar w:top="1701" w:right="1701" w:bottom="1134" w:left="1701" w:header="680" w:footer="567" w:gutter="0"/>
          <w:cols w:space="708"/>
          <w:docGrid w:linePitch="360"/>
        </w:sectPr>
      </w:pPr>
      <w:r>
        <w:t>1</w:t>
      </w:r>
      <w:r w:rsidR="00F40FF8">
        <w:t>5: Wealth Inequality and Redistribution Policies</w:t>
      </w:r>
    </w:p>
    <w:p w14:paraId="187B4B5D" w14:textId="77777777" w:rsidR="00F40FF8" w:rsidRDefault="0028711A" w:rsidP="00E71B9A">
      <w:pPr>
        <w:pStyle w:val="Heading3"/>
        <w:numPr>
          <w:ilvl w:val="0"/>
          <w:numId w:val="38"/>
        </w:numPr>
      </w:pPr>
      <w:r w:rsidRPr="0028711A">
        <w:lastRenderedPageBreak/>
        <w:t>What are the drivers of wealth inequality, including factors such as intergenerational wealth transfers, income disparities, and differential access to education and opportunities?</w:t>
      </w:r>
    </w:p>
    <w:p w14:paraId="4D06DEF7" w14:textId="77777777" w:rsidR="00F40FF8" w:rsidRDefault="00F40FF8" w:rsidP="00D27E01">
      <w:pPr>
        <w:spacing w:after="120"/>
      </w:pPr>
      <w:r>
        <w:t>Wealth inequality is driven by various factors, including:</w:t>
      </w:r>
    </w:p>
    <w:p w14:paraId="1BA47BB4" w14:textId="77777777" w:rsidR="00F40FF8" w:rsidRDefault="0028711A" w:rsidP="00E538F4">
      <w:pPr>
        <w:pStyle w:val="ListParagraph"/>
        <w:numPr>
          <w:ilvl w:val="0"/>
          <w:numId w:val="21"/>
        </w:numPr>
      </w:pPr>
      <w:r w:rsidRPr="00301B78">
        <w:t>Intergenerational wealth transfers:</w:t>
      </w:r>
      <w:r w:rsidR="00F40FF8">
        <w:t xml:space="preserve"> Inheritances and gifts passed down through generations contribute to wealth concentration among affluent families.</w:t>
      </w:r>
    </w:p>
    <w:p w14:paraId="102A774B" w14:textId="77777777" w:rsidR="00F40FF8" w:rsidRDefault="0028711A" w:rsidP="00E538F4">
      <w:pPr>
        <w:pStyle w:val="ListParagraph"/>
        <w:numPr>
          <w:ilvl w:val="0"/>
          <w:numId w:val="21"/>
        </w:numPr>
      </w:pPr>
      <w:r w:rsidRPr="00301B78">
        <w:t>Income disparities:</w:t>
      </w:r>
      <w:r w:rsidR="00F40FF8">
        <w:t xml:space="preserve"> Disparities in earnings and wages, often stemming from differences in education, skills, and occupational opportunities, contribute to wealth inequality.</w:t>
      </w:r>
    </w:p>
    <w:p w14:paraId="482F35FD" w14:textId="77777777" w:rsidR="00301B78" w:rsidRDefault="0028711A" w:rsidP="00E538F4">
      <w:pPr>
        <w:pStyle w:val="ListParagraph"/>
        <w:numPr>
          <w:ilvl w:val="0"/>
          <w:numId w:val="21"/>
        </w:numPr>
      </w:pPr>
      <w:r w:rsidRPr="00301B78">
        <w:t>Differential access to education and opportunities:</w:t>
      </w:r>
      <w:r w:rsidR="00F40FF8">
        <w:t xml:space="preserve"> Unequal access to quality education, job opportunities, and financial resources perpetuates wealth disparities, as individuals from disadvantaged backgrounds face barriers to wealth accumulation.</w:t>
      </w:r>
    </w:p>
    <w:p w14:paraId="5636F829" w14:textId="77777777" w:rsidR="00F40FF8" w:rsidRDefault="0028711A" w:rsidP="00E538F4">
      <w:pPr>
        <w:pStyle w:val="Heading3"/>
      </w:pPr>
      <w:r w:rsidRPr="0028711A">
        <w:t>How effective are progressive taxation systems, estate taxes, and wealth transfer taxes in reducing wealth concentration and promoting social mobility?</w:t>
      </w:r>
    </w:p>
    <w:p w14:paraId="15DB2127" w14:textId="77777777" w:rsidR="00301B78" w:rsidRDefault="00F40FF8" w:rsidP="00E538F4">
      <w:r>
        <w:t>Progressive taxation systems, estate taxes, and wealth transfer taxes can be effective in reducing wealth concentration by redistributing resources from high-income individuals and wealthy households to fund public services and social welfare programs. By imposing higher tax rates on individuals with higher incomes and larger estates, these policies help mitigate wealth inequality and promote social mobility by leveling the playing field and providing opportunities for those with fewer resources.</w:t>
      </w:r>
    </w:p>
    <w:p w14:paraId="129389FF" w14:textId="456B3CEE" w:rsidR="00F40FF8" w:rsidRDefault="00D27E01" w:rsidP="00E538F4">
      <w:pPr>
        <w:pStyle w:val="Heading3"/>
      </w:pPr>
      <w:r>
        <w:br w:type="column"/>
      </w:r>
      <w:r w:rsidR="0028711A" w:rsidRPr="0028711A">
        <w:t>What are the trade-offs between wealth redistribution policies aimed at reducing inequality and potential adverse effects on economic incentives, investment, and innovation?</w:t>
      </w:r>
    </w:p>
    <w:p w14:paraId="4121B149" w14:textId="77777777" w:rsidR="00301B78" w:rsidRDefault="00F40FF8" w:rsidP="00E538F4">
      <w:r>
        <w:t>Wealth redistribution policies may face trade-offs in terms of their impact on economic incentives, investment, and innovation. High tax rates on wealth and income could discourage entrepreneurship, risk-taking, and investment, potentially dampening economic growth and innovation. Moreover, excessive redistribution may disincentivize individuals from working hard or pursuing higher education if they perceive that their efforts will be heavily taxed. Policymakers must strike a balance between addressing inequality and maintaining incentives for economic productivity and innovation to ensure sustainable economic growth and prosperity.</w:t>
      </w:r>
    </w:p>
    <w:p w14:paraId="449B1975" w14:textId="77777777" w:rsidR="00F40FF8" w:rsidRDefault="0028711A" w:rsidP="00E538F4">
      <w:pPr>
        <w:pStyle w:val="Heading3"/>
      </w:pPr>
      <w:r w:rsidRPr="0028711A">
        <w:t>How can governments design targeted social welfare programs, such as universal basic income (UBI) schemes and means-tested benefits, to provide a safety net for the most vulnerable while minimizing welfare dependency?</w:t>
      </w:r>
    </w:p>
    <w:p w14:paraId="0D2C727A" w14:textId="77777777" w:rsidR="00F40FF8" w:rsidRDefault="00F40FF8" w:rsidP="00D27E01">
      <w:pPr>
        <w:spacing w:after="120"/>
      </w:pPr>
      <w:r>
        <w:t>Governments can design targeted social welfare programs to provide a safety net for the most vulnerable while minimizing welfare dependency by:</w:t>
      </w:r>
    </w:p>
    <w:p w14:paraId="7D30650B" w14:textId="77777777" w:rsidR="00F40FF8" w:rsidRPr="00D27E01" w:rsidRDefault="0028711A" w:rsidP="00E71B9A">
      <w:pPr>
        <w:pStyle w:val="ListParagraph"/>
        <w:numPr>
          <w:ilvl w:val="0"/>
          <w:numId w:val="21"/>
        </w:numPr>
        <w:rPr>
          <w:bCs/>
        </w:rPr>
      </w:pPr>
      <w:r w:rsidRPr="00D27E01">
        <w:rPr>
          <w:bCs/>
        </w:rPr>
        <w:t>Means-testing:</w:t>
      </w:r>
      <w:r w:rsidR="00F40FF8" w:rsidRPr="00D27E01">
        <w:rPr>
          <w:bCs/>
        </w:rPr>
        <w:t xml:space="preserve"> Targeting benefits to those in need based on income, assets, or other eligibility criteria helps ensure that assistance reaches those who require it most.</w:t>
      </w:r>
    </w:p>
    <w:p w14:paraId="44A15613" w14:textId="77777777" w:rsidR="00F40FF8" w:rsidRDefault="0028711A" w:rsidP="00E538F4">
      <w:pPr>
        <w:pStyle w:val="ListParagraph"/>
        <w:numPr>
          <w:ilvl w:val="0"/>
          <w:numId w:val="21"/>
        </w:numPr>
      </w:pPr>
      <w:r w:rsidRPr="00301B78">
        <w:t>Conditional cash transfers:</w:t>
      </w:r>
      <w:r w:rsidR="00F40FF8">
        <w:t xml:space="preserve"> Linking benefits to specific conditions, such as education enrollment or job training, can promote self-sufficiency and human capital development while providing financial support.</w:t>
      </w:r>
    </w:p>
    <w:p w14:paraId="7C6FF323" w14:textId="77777777" w:rsidR="00F40FF8" w:rsidRDefault="0028711A" w:rsidP="00E538F4">
      <w:pPr>
        <w:pStyle w:val="ListParagraph"/>
        <w:numPr>
          <w:ilvl w:val="0"/>
          <w:numId w:val="21"/>
        </w:numPr>
      </w:pPr>
      <w:r w:rsidRPr="00301B78">
        <w:lastRenderedPageBreak/>
        <w:t>Gradual phase-outs:</w:t>
      </w:r>
      <w:r w:rsidR="00F40FF8">
        <w:t xml:space="preserve"> Designing benefit programs with gradual phase-out mechanisms ensures that recipients are not abruptly penalized for increasing their income or improving their financial situation, thereby encouraging upward mobility.</w:t>
      </w:r>
    </w:p>
    <w:p w14:paraId="6DCF768E" w14:textId="77777777" w:rsidR="00301B78" w:rsidRDefault="0028711A" w:rsidP="00E538F4">
      <w:pPr>
        <w:pStyle w:val="ListParagraph"/>
        <w:numPr>
          <w:ilvl w:val="0"/>
          <w:numId w:val="21"/>
        </w:numPr>
      </w:pPr>
      <w:r w:rsidRPr="00301B78">
        <w:t>Complementary support services:</w:t>
      </w:r>
      <w:r w:rsidR="00F40FF8">
        <w:t xml:space="preserve"> Providing access to support services, such as job placement assistance, childcare, and healthcare, alongside financial assistance, can help address the root causes of poverty and reduce long-term dependence on welfare.</w:t>
      </w:r>
    </w:p>
    <w:p w14:paraId="4B0414B4" w14:textId="77777777" w:rsidR="00F40FF8" w:rsidRDefault="0028711A" w:rsidP="00E538F4">
      <w:pPr>
        <w:pStyle w:val="Heading3"/>
      </w:pPr>
      <w:r w:rsidRPr="0028711A">
        <w:t>What role can philanthropy, impact investing, and corporate social responsibility initiatives play in addressing social inequalities and promoting sustainable development goals?</w:t>
      </w:r>
    </w:p>
    <w:p w14:paraId="769B259D" w14:textId="77777777" w:rsidR="00F40FF8" w:rsidRDefault="00F40FF8" w:rsidP="00D27E01">
      <w:pPr>
        <w:spacing w:after="120"/>
      </w:pPr>
      <w:r>
        <w:t xml:space="preserve">Philanthropy, impact investing, and corporate social responsibility (CSR) initiatives can play a crucial role in addressing social </w:t>
      </w:r>
      <w:r>
        <w:t>inequalities and promoting sustainable development goals by:</w:t>
      </w:r>
    </w:p>
    <w:p w14:paraId="38FEEB47" w14:textId="77777777" w:rsidR="00F40FF8" w:rsidRDefault="0028711A" w:rsidP="00E538F4">
      <w:pPr>
        <w:pStyle w:val="ListParagraph"/>
        <w:numPr>
          <w:ilvl w:val="0"/>
          <w:numId w:val="21"/>
        </w:numPr>
      </w:pPr>
      <w:r w:rsidRPr="00D27E01">
        <w:rPr>
          <w:bCs/>
        </w:rPr>
        <w:t>Funding social programs:</w:t>
      </w:r>
      <w:r w:rsidR="00F40FF8">
        <w:t xml:space="preserve"> Philanthropic organizations and impact investors can finance initiatives aimed at addressing poverty, improving access to education and healthcare, and fostering economic empowerment among marginalized communities.</w:t>
      </w:r>
    </w:p>
    <w:p w14:paraId="2694C45B" w14:textId="77777777" w:rsidR="00F40FF8" w:rsidRDefault="0028711A" w:rsidP="00E71B9A">
      <w:pPr>
        <w:pStyle w:val="ListParagraph"/>
        <w:numPr>
          <w:ilvl w:val="0"/>
          <w:numId w:val="21"/>
        </w:numPr>
      </w:pPr>
      <w:r w:rsidRPr="00301B78">
        <w:t>Promoting ethical business practices:</w:t>
      </w:r>
      <w:r w:rsidR="00F40FF8">
        <w:t xml:space="preserve"> CSR initiatives encourage companies to adopt socially responsible business practices, such as fair labor standards, environmental sustainability, and community engagement, thereby contributing to inclusive growth and shared prosperity.</w:t>
      </w:r>
    </w:p>
    <w:p w14:paraId="6AFF6B43" w14:textId="77777777" w:rsidR="005D53DB" w:rsidRDefault="0028711A" w:rsidP="00E71B9A">
      <w:pPr>
        <w:pStyle w:val="ListParagraph"/>
        <w:numPr>
          <w:ilvl w:val="0"/>
          <w:numId w:val="21"/>
        </w:numPr>
        <w:sectPr w:rsidR="005D53DB" w:rsidSect="00AB7BCB">
          <w:type w:val="continuous"/>
          <w:pgSz w:w="11907" w:h="16840" w:code="9"/>
          <w:pgMar w:top="1701" w:right="1701" w:bottom="1134" w:left="1701" w:header="680" w:footer="567" w:gutter="0"/>
          <w:cols w:num="2" w:sep="1" w:space="720"/>
          <w:docGrid w:linePitch="360"/>
        </w:sectPr>
      </w:pPr>
      <w:r w:rsidRPr="00301B78">
        <w:t>Mobilizing resources:</w:t>
      </w:r>
      <w:r w:rsidR="00F40FF8">
        <w:t xml:space="preserve"> By leveraging their financial resources, expertise, and networks, philanthropists, impact investors, and socially responsible businesses can mobilize resources and catalyze collective action to address complex social challenges and achieve sustainable development goals.</w:t>
      </w:r>
    </w:p>
    <w:p w14:paraId="63C2ECB0" w14:textId="77777777" w:rsidR="005D53DB" w:rsidRDefault="001427DE" w:rsidP="00E538F4">
      <w:pPr>
        <w:pStyle w:val="Heading2"/>
        <w:sectPr w:rsidR="005D53DB" w:rsidSect="005D53DB">
          <w:type w:val="continuous"/>
          <w:pgSz w:w="11907" w:h="16840" w:code="9"/>
          <w:pgMar w:top="1701" w:right="1701" w:bottom="1134" w:left="1701" w:header="680" w:footer="567" w:gutter="0"/>
          <w:cols w:space="708"/>
          <w:docGrid w:linePitch="360"/>
        </w:sectPr>
      </w:pPr>
      <w:r>
        <w:lastRenderedPageBreak/>
        <w:t>1</w:t>
      </w:r>
      <w:r w:rsidR="00F40FF8">
        <w:t>6: Financial Literacy Programs</w:t>
      </w:r>
    </w:p>
    <w:p w14:paraId="36510967" w14:textId="77777777" w:rsidR="00F40FF8" w:rsidRDefault="0028711A" w:rsidP="00E71B9A">
      <w:pPr>
        <w:pStyle w:val="Heading3"/>
        <w:numPr>
          <w:ilvl w:val="0"/>
          <w:numId w:val="39"/>
        </w:numPr>
      </w:pPr>
      <w:r w:rsidRPr="0028711A">
        <w:t>What are the key components of effective financial literacy programs, and how can they be tailored to different demographic groups, educational levels, and socio-economic backgrounds?</w:t>
      </w:r>
    </w:p>
    <w:p w14:paraId="5DE2814B" w14:textId="77777777" w:rsidR="00F40FF8" w:rsidRDefault="00F40FF8" w:rsidP="00D27E01">
      <w:pPr>
        <w:spacing w:after="120"/>
      </w:pPr>
      <w:r>
        <w:t>Key components of effective financial literacy programs include:</w:t>
      </w:r>
    </w:p>
    <w:p w14:paraId="55870205" w14:textId="77777777" w:rsidR="00F40FF8" w:rsidRDefault="0028711A" w:rsidP="00E71B9A">
      <w:pPr>
        <w:pStyle w:val="ListParagraph"/>
        <w:numPr>
          <w:ilvl w:val="0"/>
          <w:numId w:val="21"/>
        </w:numPr>
      </w:pPr>
      <w:r w:rsidRPr="00D27E01">
        <w:rPr>
          <w:bCs/>
        </w:rPr>
        <w:t>Basic financial concepts:</w:t>
      </w:r>
      <w:r w:rsidR="00F40FF8" w:rsidRPr="00D27E01">
        <w:rPr>
          <w:bCs/>
        </w:rPr>
        <w:t xml:space="preserve"> Covering</w:t>
      </w:r>
      <w:r w:rsidR="00F40FF8">
        <w:t xml:space="preserve"> topics such as budgeting, saving, investing, debt management, and retirement planning.</w:t>
      </w:r>
    </w:p>
    <w:p w14:paraId="3765699C" w14:textId="77777777" w:rsidR="00F40FF8" w:rsidRDefault="0028711A" w:rsidP="00E71B9A">
      <w:pPr>
        <w:pStyle w:val="ListParagraph"/>
        <w:numPr>
          <w:ilvl w:val="0"/>
          <w:numId w:val="21"/>
        </w:numPr>
      </w:pPr>
      <w:r w:rsidRPr="00301B78">
        <w:t>Interactive learning:</w:t>
      </w:r>
      <w:r w:rsidR="00F40FF8">
        <w:t xml:space="preserve"> Incorporating hands-on activities, case studies, and simulations to engage participants and reinforce learning.</w:t>
      </w:r>
    </w:p>
    <w:p w14:paraId="48915FCF" w14:textId="77777777" w:rsidR="00F40FF8" w:rsidRDefault="0028711A" w:rsidP="00E71B9A">
      <w:pPr>
        <w:pStyle w:val="ListParagraph"/>
        <w:numPr>
          <w:ilvl w:val="0"/>
          <w:numId w:val="21"/>
        </w:numPr>
      </w:pPr>
      <w:r w:rsidRPr="00301B78">
        <w:t>Tailored content:</w:t>
      </w:r>
      <w:r w:rsidR="00F40FF8">
        <w:t xml:space="preserve"> Customizing program content and delivery methods to cater to the needs, preferences, and cultural sensitivities of diverse demographic groups.</w:t>
      </w:r>
    </w:p>
    <w:p w14:paraId="0C1575BF" w14:textId="77777777" w:rsidR="00F40FF8" w:rsidRDefault="0028711A" w:rsidP="00E71B9A">
      <w:pPr>
        <w:pStyle w:val="ListParagraph"/>
        <w:numPr>
          <w:ilvl w:val="0"/>
          <w:numId w:val="21"/>
        </w:numPr>
      </w:pPr>
      <w:r w:rsidRPr="00301B78">
        <w:t>Accessible resources:</w:t>
      </w:r>
      <w:r w:rsidR="00F40FF8">
        <w:t xml:space="preserve"> Providing educational materials in multiple formats, languages, and channels to reach individuals with varying levels of literacy and accessibility.</w:t>
      </w:r>
    </w:p>
    <w:p w14:paraId="2E52E94B" w14:textId="77777777" w:rsidR="00F40FF8" w:rsidRDefault="0028711A" w:rsidP="00E71B9A">
      <w:pPr>
        <w:pStyle w:val="ListParagraph"/>
        <w:numPr>
          <w:ilvl w:val="0"/>
          <w:numId w:val="21"/>
        </w:numPr>
      </w:pPr>
      <w:r w:rsidRPr="00301B78">
        <w:t>Life stage relevance:</w:t>
      </w:r>
      <w:r w:rsidR="00F40FF8">
        <w:t xml:space="preserve"> Addressing financial challenges and decisions relevant to specific life stages, such as youth transitioning to adulthood, working professionals, and retirees.</w:t>
      </w:r>
    </w:p>
    <w:p w14:paraId="3DCCB1F8" w14:textId="77777777" w:rsidR="00301B78" w:rsidRDefault="0028711A" w:rsidP="00E71B9A">
      <w:pPr>
        <w:pStyle w:val="ListParagraph"/>
        <w:numPr>
          <w:ilvl w:val="0"/>
          <w:numId w:val="21"/>
        </w:numPr>
      </w:pPr>
      <w:r w:rsidRPr="00301B78">
        <w:t>Peer support:</w:t>
      </w:r>
      <w:r w:rsidR="00F40FF8">
        <w:t xml:space="preserve"> Facilitating peer learning, group discussions, and mentorship opportunities to foster collaboration, accountability, and social support among participants.</w:t>
      </w:r>
    </w:p>
    <w:p w14:paraId="70D45B1F" w14:textId="77777777" w:rsidR="00F40FF8" w:rsidRDefault="0028711A" w:rsidP="00E538F4">
      <w:pPr>
        <w:pStyle w:val="Heading3"/>
      </w:pPr>
      <w:r w:rsidRPr="0028711A">
        <w:t>How can financial education initiatives be integrated into formal education curricula, workplace training programs, and community outreach efforts to reach a broader audience?</w:t>
      </w:r>
    </w:p>
    <w:p w14:paraId="1DB8A0E9" w14:textId="77777777" w:rsidR="00F40FF8" w:rsidRDefault="00F40FF8" w:rsidP="00E538F4">
      <w:r>
        <w:t>Financial education initiatives can be integrated into various settings to reach a broader audience:</w:t>
      </w:r>
    </w:p>
    <w:p w14:paraId="4F01CCCE" w14:textId="77777777" w:rsidR="00F40FF8" w:rsidRDefault="0028711A" w:rsidP="00E71B9A">
      <w:pPr>
        <w:pStyle w:val="ListParagraph"/>
        <w:numPr>
          <w:ilvl w:val="0"/>
          <w:numId w:val="21"/>
        </w:numPr>
      </w:pPr>
      <w:r w:rsidRPr="00D27E01">
        <w:rPr>
          <w:bCs/>
        </w:rPr>
        <w:t>Formal education:</w:t>
      </w:r>
      <w:r w:rsidR="00F40FF8" w:rsidRPr="00D27E01">
        <w:rPr>
          <w:bCs/>
        </w:rPr>
        <w:t xml:space="preserve"> Incorporating</w:t>
      </w:r>
      <w:r w:rsidR="00F40FF8">
        <w:t xml:space="preserve"> financial literacy modules into school curricula at different grade levels, from elementary to higher education, to equip students with essential money management skills.</w:t>
      </w:r>
    </w:p>
    <w:p w14:paraId="131AE397" w14:textId="77777777" w:rsidR="00F40FF8" w:rsidRDefault="0028711A" w:rsidP="00E71B9A">
      <w:pPr>
        <w:pStyle w:val="ListParagraph"/>
        <w:numPr>
          <w:ilvl w:val="0"/>
          <w:numId w:val="21"/>
        </w:numPr>
      </w:pPr>
      <w:r w:rsidRPr="00301B78">
        <w:t>Workplace training:</w:t>
      </w:r>
      <w:r w:rsidR="00F40FF8">
        <w:t xml:space="preserve"> Offering employer-sponsored financial wellness programs, workshops, and seminars to educate employees on financial planning, benefits enrollment, and retirement saving options.</w:t>
      </w:r>
    </w:p>
    <w:p w14:paraId="0999C8CA" w14:textId="77777777" w:rsidR="00301B78" w:rsidRDefault="0028711A" w:rsidP="00E71B9A">
      <w:pPr>
        <w:pStyle w:val="ListParagraph"/>
        <w:numPr>
          <w:ilvl w:val="0"/>
          <w:numId w:val="21"/>
        </w:numPr>
      </w:pPr>
      <w:r w:rsidRPr="00301B78">
        <w:t>Community outreach:</w:t>
      </w:r>
      <w:r w:rsidR="00F40FF8">
        <w:t xml:space="preserve"> Partnering with community organizations, libraries, and faith-based groups to deliver financial literacy workshops, counseling services, and resource fairs in local neighborhoods and underserved communities.</w:t>
      </w:r>
    </w:p>
    <w:p w14:paraId="6BB891F2" w14:textId="77777777" w:rsidR="00F40FF8" w:rsidRDefault="0028711A" w:rsidP="00E538F4">
      <w:pPr>
        <w:pStyle w:val="Heading3"/>
      </w:pPr>
      <w:r w:rsidRPr="0028711A">
        <w:t>What are the behavioral biases and cognitive limitations that impede financial decision-making, and how can financial literacy interventions address these behavioral barriers?</w:t>
      </w:r>
    </w:p>
    <w:p w14:paraId="22C3E355" w14:textId="77777777" w:rsidR="00F40FF8" w:rsidRDefault="00F40FF8" w:rsidP="00D27E01">
      <w:pPr>
        <w:spacing w:after="120"/>
      </w:pPr>
      <w:r>
        <w:t>Behavioral biases and cognitive limitations that impede financial decision-making include:</w:t>
      </w:r>
    </w:p>
    <w:p w14:paraId="4FF4F571" w14:textId="77777777" w:rsidR="00F40FF8" w:rsidRDefault="0028711A" w:rsidP="00E71B9A">
      <w:pPr>
        <w:pStyle w:val="ListParagraph"/>
        <w:numPr>
          <w:ilvl w:val="0"/>
          <w:numId w:val="21"/>
        </w:numPr>
      </w:pPr>
      <w:r w:rsidRPr="00D27E01">
        <w:rPr>
          <w:bCs/>
        </w:rPr>
        <w:t>Loss aversion</w:t>
      </w:r>
      <w:r w:rsidRPr="00301B78">
        <w:t>:</w:t>
      </w:r>
      <w:r w:rsidR="00F40FF8">
        <w:t xml:space="preserve"> The tendency to fear losses more than equivalent gains, leading individuals to avoid taking necessary risks or making investment decisions that could improve their financial outcomes.</w:t>
      </w:r>
    </w:p>
    <w:p w14:paraId="0378C76C" w14:textId="77777777" w:rsidR="00F40FF8" w:rsidRDefault="0028711A" w:rsidP="00E538F4">
      <w:pPr>
        <w:pStyle w:val="ListParagraph"/>
        <w:numPr>
          <w:ilvl w:val="0"/>
          <w:numId w:val="21"/>
        </w:numPr>
      </w:pPr>
      <w:r w:rsidRPr="00301B78">
        <w:t>Present bias:</w:t>
      </w:r>
      <w:r w:rsidR="00F40FF8">
        <w:t xml:space="preserve"> The preference for immediate gratification over long-term rewards, resulting in impulsive spending, inadequate savings, and underestimation of future financial needs.</w:t>
      </w:r>
    </w:p>
    <w:p w14:paraId="4B8725C4" w14:textId="77777777" w:rsidR="00F40FF8" w:rsidRDefault="0028711A" w:rsidP="00E538F4">
      <w:pPr>
        <w:pStyle w:val="ListParagraph"/>
        <w:numPr>
          <w:ilvl w:val="0"/>
          <w:numId w:val="21"/>
        </w:numPr>
      </w:pPr>
      <w:r w:rsidRPr="00301B78">
        <w:t>Overconfidence:</w:t>
      </w:r>
      <w:r w:rsidR="00F40FF8">
        <w:t xml:space="preserve"> Excessive belief in one's ability to predict financial outcomes or beat the market, leading to speculative investments, excessive risk-taking, and poor portfolio diversification.</w:t>
      </w:r>
    </w:p>
    <w:p w14:paraId="1AC0BE80" w14:textId="77777777" w:rsidR="00F40FF8" w:rsidRDefault="0028711A" w:rsidP="00E538F4">
      <w:pPr>
        <w:pStyle w:val="ListParagraph"/>
        <w:numPr>
          <w:ilvl w:val="0"/>
          <w:numId w:val="21"/>
        </w:numPr>
      </w:pPr>
      <w:r w:rsidRPr="00301B78">
        <w:t>Confirmation bias:</w:t>
      </w:r>
      <w:r w:rsidR="00F40FF8">
        <w:t xml:space="preserve"> Seeking out information that confirms pre-existing beliefs </w:t>
      </w:r>
      <w:r w:rsidR="00F40FF8">
        <w:lastRenderedPageBreak/>
        <w:t>or biases, while ignoring or discounting contradictory evidence, which can lead to poor decision-making and financial mistakes.</w:t>
      </w:r>
    </w:p>
    <w:p w14:paraId="6F58F65C" w14:textId="77777777" w:rsidR="00F40FF8" w:rsidRDefault="00F40FF8" w:rsidP="00E538F4">
      <w:pPr>
        <w:pStyle w:val="ListParagraph"/>
        <w:numPr>
          <w:ilvl w:val="0"/>
          <w:numId w:val="21"/>
        </w:numPr>
      </w:pPr>
      <w:r>
        <w:t>Financial literacy interventions can address these behavioral barriers by:</w:t>
      </w:r>
    </w:p>
    <w:p w14:paraId="42F01AA9" w14:textId="77777777" w:rsidR="00F40FF8" w:rsidRDefault="0028711A" w:rsidP="00E538F4">
      <w:pPr>
        <w:pStyle w:val="ListParagraph"/>
        <w:numPr>
          <w:ilvl w:val="0"/>
          <w:numId w:val="21"/>
        </w:numPr>
      </w:pPr>
      <w:r w:rsidRPr="00301B78">
        <w:t>Raising awareness:</w:t>
      </w:r>
      <w:r w:rsidR="00F40FF8">
        <w:t xml:space="preserve"> Educating individuals about common biases and cognitive errors in decision-making to help them recognize and mitigate their impact on financial choices.</w:t>
      </w:r>
    </w:p>
    <w:p w14:paraId="103BAD53" w14:textId="77777777" w:rsidR="00F40FF8" w:rsidRDefault="0028711A" w:rsidP="00E538F4">
      <w:pPr>
        <w:pStyle w:val="ListParagraph"/>
        <w:numPr>
          <w:ilvl w:val="0"/>
          <w:numId w:val="21"/>
        </w:numPr>
      </w:pPr>
      <w:r w:rsidRPr="00301B78">
        <w:t>Providing tools and frameworks:</w:t>
      </w:r>
      <w:r w:rsidR="00F40FF8">
        <w:t xml:space="preserve"> Equipping individuals with decision-making tools, rules of thumb, and decision aids to simplify complex financial decisions and encourage more deliberative and rational choices.</w:t>
      </w:r>
    </w:p>
    <w:p w14:paraId="5C74FA27" w14:textId="77777777" w:rsidR="00301B78" w:rsidRDefault="0028711A" w:rsidP="00E538F4">
      <w:pPr>
        <w:pStyle w:val="ListParagraph"/>
        <w:numPr>
          <w:ilvl w:val="0"/>
          <w:numId w:val="21"/>
        </w:numPr>
      </w:pPr>
      <w:r w:rsidRPr="00301B78">
        <w:t>Behavioral nudges:</w:t>
      </w:r>
      <w:r w:rsidR="00F40FF8">
        <w:t xml:space="preserve"> Designing interventions that leverage behavioral insights, such as default options, reminders, and incentives, to steer individuals towards more favorable financial behaviors and outcomes.</w:t>
      </w:r>
    </w:p>
    <w:p w14:paraId="0EADA26E" w14:textId="77777777" w:rsidR="00F40FF8" w:rsidRDefault="0028711A" w:rsidP="00E538F4">
      <w:pPr>
        <w:pStyle w:val="Heading3"/>
      </w:pPr>
      <w:r w:rsidRPr="0028711A">
        <w:t>How can governments measure the impact and effectiveness of financial literacy programs in terms of improved financial knowledge, attitudes, and behaviors among participants?</w:t>
      </w:r>
    </w:p>
    <w:p w14:paraId="363D1DE5" w14:textId="77777777" w:rsidR="00F40FF8" w:rsidRDefault="00F40FF8" w:rsidP="00D27E01">
      <w:pPr>
        <w:spacing w:after="120"/>
      </w:pPr>
      <w:r>
        <w:t>Governments can measure the impact and effectiveness of financial literacy programs through:</w:t>
      </w:r>
    </w:p>
    <w:p w14:paraId="61B09C0D" w14:textId="77777777" w:rsidR="00F40FF8" w:rsidRDefault="0028711A" w:rsidP="00E538F4">
      <w:pPr>
        <w:pStyle w:val="ListParagraph"/>
        <w:numPr>
          <w:ilvl w:val="0"/>
          <w:numId w:val="21"/>
        </w:numPr>
      </w:pPr>
      <w:r w:rsidRPr="00E71B9A">
        <w:rPr>
          <w:bCs/>
        </w:rPr>
        <w:t>Pre-and post</w:t>
      </w:r>
      <w:r w:rsidRPr="00301B78">
        <w:t>-assessments:</w:t>
      </w:r>
      <w:r w:rsidR="00F40FF8">
        <w:t xml:space="preserve"> Administering surveys or quizzes to participants before and after completing the program to evaluate changes in financial knowledge, attitudes, and behaviors.</w:t>
      </w:r>
    </w:p>
    <w:p w14:paraId="4F5F91F6" w14:textId="77777777" w:rsidR="00F40FF8" w:rsidRDefault="0028711A" w:rsidP="00E538F4">
      <w:pPr>
        <w:pStyle w:val="ListParagraph"/>
        <w:numPr>
          <w:ilvl w:val="0"/>
          <w:numId w:val="21"/>
        </w:numPr>
      </w:pPr>
      <w:r w:rsidRPr="00301B78">
        <w:t>Longitudinal studies:</w:t>
      </w:r>
      <w:r w:rsidR="00F40FF8">
        <w:t xml:space="preserve"> Tracking participants over time to assess the sustained impact of financial education interventions on their financial outcomes, such as savings behavior, debt management, and retirement planning.</w:t>
      </w:r>
    </w:p>
    <w:p w14:paraId="206F7225" w14:textId="77777777" w:rsidR="00F40FF8" w:rsidRDefault="0028711A" w:rsidP="00E71B9A">
      <w:pPr>
        <w:pStyle w:val="ListParagraph"/>
        <w:numPr>
          <w:ilvl w:val="0"/>
          <w:numId w:val="21"/>
        </w:numPr>
      </w:pPr>
      <w:r w:rsidRPr="00301B78">
        <w:t>Behavioral metrics:</w:t>
      </w:r>
      <w:r w:rsidR="00F40FF8">
        <w:t xml:space="preserve"> Using behavioral indicators, such as account balances, savings </w:t>
      </w:r>
      <w:r w:rsidR="00F40FF8">
        <w:t>rates, and credit scores, to gauge changes in financial behaviors and outcomes among program participants.</w:t>
      </w:r>
    </w:p>
    <w:p w14:paraId="6E7ABEDE" w14:textId="77777777" w:rsidR="00301B78" w:rsidRDefault="0028711A" w:rsidP="00E538F4">
      <w:r w:rsidRPr="00D27E01">
        <w:rPr>
          <w:bCs/>
        </w:rPr>
        <w:t>Qualitative feedback:</w:t>
      </w:r>
      <w:r w:rsidR="00F40FF8">
        <w:t xml:space="preserve"> Gathering qualitative feedback through focus groups, interviews, or participant testimonials to understand the perceived value, relevance, and effectiveness of financial literacy programs from the participants' perspective.</w:t>
      </w:r>
    </w:p>
    <w:p w14:paraId="75F94B26" w14:textId="77777777" w:rsidR="00F40FF8" w:rsidRDefault="0028711A" w:rsidP="00E538F4">
      <w:pPr>
        <w:pStyle w:val="Heading3"/>
      </w:pPr>
      <w:r w:rsidRPr="0028711A">
        <w:t>What role can financial institutions, consumer advocacy groups, and government agencies play in collaborating on financial education initiatives and promoting a culture of financial responsibility?</w:t>
      </w:r>
    </w:p>
    <w:p w14:paraId="77C4DE6C" w14:textId="77777777" w:rsidR="00F40FF8" w:rsidRDefault="00F40FF8" w:rsidP="00D27E01">
      <w:pPr>
        <w:spacing w:after="120"/>
      </w:pPr>
      <w:r>
        <w:t>Financial institutions, consumer advocacy groups, and government agencies can collaborate on financial education initiatives by:</w:t>
      </w:r>
    </w:p>
    <w:p w14:paraId="5695CB8C" w14:textId="77777777" w:rsidR="00F40FF8" w:rsidRPr="00E71B9A" w:rsidRDefault="0028711A" w:rsidP="00E71B9A">
      <w:pPr>
        <w:pStyle w:val="ListParagraph"/>
        <w:numPr>
          <w:ilvl w:val="0"/>
          <w:numId w:val="21"/>
        </w:numPr>
        <w:rPr>
          <w:bCs/>
        </w:rPr>
      </w:pPr>
      <w:r w:rsidRPr="00E71B9A">
        <w:rPr>
          <w:bCs/>
        </w:rPr>
        <w:t>Sharing resources:</w:t>
      </w:r>
      <w:r w:rsidR="00F40FF8" w:rsidRPr="00E71B9A">
        <w:rPr>
          <w:bCs/>
        </w:rPr>
        <w:t xml:space="preserve"> Pooling expertise, funding, and educational materials to develop comprehensive financial literacy programs and reach a broader audience.</w:t>
      </w:r>
    </w:p>
    <w:p w14:paraId="4BAE8C81" w14:textId="77777777" w:rsidR="00F40FF8" w:rsidRDefault="0028711A" w:rsidP="00E538F4">
      <w:pPr>
        <w:pStyle w:val="ListParagraph"/>
        <w:numPr>
          <w:ilvl w:val="0"/>
          <w:numId w:val="21"/>
        </w:numPr>
      </w:pPr>
      <w:r w:rsidRPr="00301B78">
        <w:t>Coordinating outreach:</w:t>
      </w:r>
      <w:r w:rsidR="00F40FF8">
        <w:t xml:space="preserve"> Collaborating on outreach campaigns, events, and workshops to promote financial education and awareness among consumers, employees, and community members.</w:t>
      </w:r>
    </w:p>
    <w:p w14:paraId="0251181E" w14:textId="77777777" w:rsidR="00F40FF8" w:rsidRDefault="0028711A" w:rsidP="00E538F4">
      <w:pPr>
        <w:pStyle w:val="ListParagraph"/>
        <w:numPr>
          <w:ilvl w:val="0"/>
          <w:numId w:val="21"/>
        </w:numPr>
      </w:pPr>
      <w:r w:rsidRPr="00301B78">
        <w:t>Providing incentives:</w:t>
      </w:r>
      <w:r w:rsidR="00F40FF8">
        <w:t xml:space="preserve"> Offering incentives, such as grants, tax incentives, or recognition awards, to encourage participation and engagement in financial education programs.</w:t>
      </w:r>
    </w:p>
    <w:p w14:paraId="7C16F5E9" w14:textId="77777777" w:rsidR="00F40FF8" w:rsidRDefault="0028711A" w:rsidP="00E71B9A">
      <w:pPr>
        <w:pStyle w:val="ListParagraph"/>
        <w:numPr>
          <w:ilvl w:val="0"/>
          <w:numId w:val="21"/>
        </w:numPr>
      </w:pPr>
      <w:r w:rsidRPr="00301B78">
        <w:t>Advocating for policy reforms:</w:t>
      </w:r>
      <w:r w:rsidR="00F40FF8">
        <w:t xml:space="preserve"> Advocating for policy reforms, regulations, and incentives that support financial education and consumer protection, such as mandating financial literacy education in schools or incentivizing employer-sponsored financial wellness programs.</w:t>
      </w:r>
    </w:p>
    <w:p w14:paraId="47FF05D0" w14:textId="77777777" w:rsidR="005D53DB" w:rsidRDefault="0028711A" w:rsidP="00E71B9A">
      <w:pPr>
        <w:pStyle w:val="ListParagraph"/>
        <w:numPr>
          <w:ilvl w:val="0"/>
          <w:numId w:val="21"/>
        </w:numPr>
        <w:sectPr w:rsidR="005D53DB" w:rsidSect="00AB7BCB">
          <w:type w:val="continuous"/>
          <w:pgSz w:w="11907" w:h="16840" w:code="9"/>
          <w:pgMar w:top="1701" w:right="1701" w:bottom="1134" w:left="1701" w:header="680" w:footer="567" w:gutter="0"/>
          <w:cols w:num="2" w:sep="1" w:space="720"/>
          <w:docGrid w:linePitch="360"/>
        </w:sectPr>
      </w:pPr>
      <w:r w:rsidRPr="00301B78">
        <w:t>Monitoring and evaluation:</w:t>
      </w:r>
      <w:r w:rsidR="00F40FF8">
        <w:t xml:space="preserve"> Establishing mechanisms for monitoring and evaluating the impact of financial education initiatives and sharing best practices to </w:t>
      </w:r>
      <w:r w:rsidR="00F40FF8">
        <w:lastRenderedPageBreak/>
        <w:t>inform future program design and implementation.</w:t>
      </w:r>
    </w:p>
    <w:p w14:paraId="1D8EC94B" w14:textId="77777777" w:rsidR="005D53DB" w:rsidRDefault="001427DE" w:rsidP="00E538F4">
      <w:pPr>
        <w:pStyle w:val="Heading2"/>
        <w:sectPr w:rsidR="005D53DB" w:rsidSect="005D53DB">
          <w:type w:val="continuous"/>
          <w:pgSz w:w="11907" w:h="16840" w:code="9"/>
          <w:pgMar w:top="1701" w:right="1701" w:bottom="1134" w:left="1701" w:header="680" w:footer="567" w:gutter="0"/>
          <w:cols w:space="708"/>
          <w:docGrid w:linePitch="360"/>
        </w:sectPr>
      </w:pPr>
      <w:r>
        <w:lastRenderedPageBreak/>
        <w:t>1</w:t>
      </w:r>
      <w:r w:rsidR="00F40FF8">
        <w:t>7: Credit Rating Agencies Oversight</w:t>
      </w:r>
    </w:p>
    <w:p w14:paraId="4CCF3C39" w14:textId="77777777" w:rsidR="00F40FF8" w:rsidRDefault="0028711A" w:rsidP="00E71B9A">
      <w:pPr>
        <w:pStyle w:val="Heading3"/>
        <w:numPr>
          <w:ilvl w:val="0"/>
          <w:numId w:val="40"/>
        </w:numPr>
      </w:pPr>
      <w:r w:rsidRPr="0028711A">
        <w:t>How do credit rating agencies influence investor perceptions, market liquidity, and borrowing costs for sovereigns, corporations, and structured finance products?</w:t>
      </w:r>
    </w:p>
    <w:p w14:paraId="45462DEC" w14:textId="77777777" w:rsidR="00F40FF8" w:rsidRDefault="00F40FF8" w:rsidP="00E538F4">
      <w:pPr>
        <w:pStyle w:val="ListParagraph"/>
        <w:numPr>
          <w:ilvl w:val="0"/>
          <w:numId w:val="21"/>
        </w:numPr>
      </w:pPr>
      <w:r>
        <w:t>Credit rating agencies influence investor perceptions by providing assessments of credit risk, which investors use to evaluate the creditworthiness of issuers and securities.</w:t>
      </w:r>
    </w:p>
    <w:p w14:paraId="305CA10F" w14:textId="77777777" w:rsidR="00301B78" w:rsidRDefault="00F40FF8" w:rsidP="00E538F4">
      <w:pPr>
        <w:pStyle w:val="ListParagraph"/>
        <w:numPr>
          <w:ilvl w:val="0"/>
          <w:numId w:val="21"/>
        </w:numPr>
      </w:pPr>
      <w:r>
        <w:t>Higher credit ratings can enhance market liquidity by attracting a broader investor base and reducing the cost of capital for issuers, while lower ratings may lead to higher borrowing costs and reduced market demand for securities.</w:t>
      </w:r>
    </w:p>
    <w:p w14:paraId="6C9B8C9F" w14:textId="77777777" w:rsidR="00F40FF8" w:rsidRDefault="0028711A" w:rsidP="00E538F4">
      <w:pPr>
        <w:pStyle w:val="Heading3"/>
      </w:pPr>
      <w:r w:rsidRPr="0028711A">
        <w:t>What conflicts of interest and informational asymmetries exist in the credit rating industry, and how can regulatory reforms mitigate these conflicts and enhance rating agency accountability?</w:t>
      </w:r>
    </w:p>
    <w:p w14:paraId="266E973D" w14:textId="77777777" w:rsidR="00F40FF8" w:rsidRDefault="00F40FF8" w:rsidP="00E538F4">
      <w:pPr>
        <w:pStyle w:val="ListParagraph"/>
        <w:numPr>
          <w:ilvl w:val="0"/>
          <w:numId w:val="21"/>
        </w:numPr>
      </w:pPr>
      <w:r>
        <w:t>Conflicts of interest may arise when credit rating agencies are paid by issuers to rate their securities, potentially leading to biased ratings.</w:t>
      </w:r>
    </w:p>
    <w:p w14:paraId="7BACD327" w14:textId="77777777" w:rsidR="00F40FF8" w:rsidRDefault="00F40FF8" w:rsidP="00E538F4">
      <w:pPr>
        <w:pStyle w:val="ListParagraph"/>
        <w:numPr>
          <w:ilvl w:val="0"/>
          <w:numId w:val="21"/>
        </w:numPr>
      </w:pPr>
      <w:r>
        <w:t>Informational asymmetries occur when rating agencies have access to more information than investors, which can affect the accuracy and reliability of ratings.</w:t>
      </w:r>
    </w:p>
    <w:p w14:paraId="302D70C3" w14:textId="77777777" w:rsidR="00F40FF8" w:rsidRDefault="00F40FF8" w:rsidP="00E538F4">
      <w:pPr>
        <w:pStyle w:val="ListParagraph"/>
        <w:numPr>
          <w:ilvl w:val="0"/>
          <w:numId w:val="21"/>
        </w:numPr>
      </w:pPr>
      <w:r>
        <w:t>Regulatory reforms can mitigate these conflicts by:</w:t>
      </w:r>
    </w:p>
    <w:p w14:paraId="5A4BAA67" w14:textId="77777777" w:rsidR="00F40FF8" w:rsidRDefault="00F40FF8" w:rsidP="00E538F4">
      <w:pPr>
        <w:pStyle w:val="ListParagraph"/>
        <w:numPr>
          <w:ilvl w:val="0"/>
          <w:numId w:val="21"/>
        </w:numPr>
      </w:pPr>
      <w:r>
        <w:t>Implementing rules to enhance independence, such as prohibiting consulting services for rated entities.</w:t>
      </w:r>
    </w:p>
    <w:p w14:paraId="23D508C9" w14:textId="77777777" w:rsidR="00F40FF8" w:rsidRDefault="00F40FF8" w:rsidP="00E538F4">
      <w:pPr>
        <w:pStyle w:val="ListParagraph"/>
        <w:numPr>
          <w:ilvl w:val="0"/>
          <w:numId w:val="21"/>
        </w:numPr>
      </w:pPr>
      <w:r>
        <w:t>Requiring disclosure of rating methodologies, assumptions, and conflicts of interest.</w:t>
      </w:r>
    </w:p>
    <w:p w14:paraId="3EBED8EB" w14:textId="77777777" w:rsidR="00F40FF8" w:rsidRDefault="00F40FF8" w:rsidP="00E538F4">
      <w:pPr>
        <w:pStyle w:val="ListParagraph"/>
        <w:numPr>
          <w:ilvl w:val="0"/>
          <w:numId w:val="21"/>
        </w:numPr>
      </w:pPr>
      <w:r>
        <w:t>Increasing transparency in rating processes and methodologies.</w:t>
      </w:r>
    </w:p>
    <w:p w14:paraId="3A94774E" w14:textId="77777777" w:rsidR="00301B78" w:rsidRDefault="00F40FF8" w:rsidP="00E538F4">
      <w:pPr>
        <w:pStyle w:val="ListParagraph"/>
        <w:numPr>
          <w:ilvl w:val="0"/>
          <w:numId w:val="21"/>
        </w:numPr>
      </w:pPr>
      <w:r>
        <w:t>Promoting competition in the credit rating industry to reduce reliance on a few dominant agencies.</w:t>
      </w:r>
    </w:p>
    <w:p w14:paraId="6CB1AD32" w14:textId="77777777" w:rsidR="00F40FF8" w:rsidRDefault="0028711A" w:rsidP="00E538F4">
      <w:pPr>
        <w:pStyle w:val="Heading3"/>
      </w:pPr>
      <w:r w:rsidRPr="0028711A">
        <w:t>How effective are regulatory disclosure requirements, rating agency registration, and ongoing supervision in promoting transparency and competition in the credit rating market?</w:t>
      </w:r>
    </w:p>
    <w:p w14:paraId="774E4A67" w14:textId="77777777" w:rsidR="00F40FF8" w:rsidRDefault="00F40FF8" w:rsidP="00E71B9A">
      <w:pPr>
        <w:pStyle w:val="ListParagraph"/>
        <w:numPr>
          <w:ilvl w:val="0"/>
          <w:numId w:val="21"/>
        </w:numPr>
      </w:pPr>
      <w:r>
        <w:t>Regulatory disclosure requirements and registration of rating agencies help improve transparency by ensuring that rating methodologies and conflicts of interest are disclosed to investors.</w:t>
      </w:r>
    </w:p>
    <w:p w14:paraId="11893959" w14:textId="77777777" w:rsidR="00F40FF8" w:rsidRDefault="00F40FF8" w:rsidP="00E71B9A">
      <w:pPr>
        <w:pStyle w:val="ListParagraph"/>
        <w:numPr>
          <w:ilvl w:val="0"/>
          <w:numId w:val="21"/>
        </w:numPr>
      </w:pPr>
      <w:r>
        <w:t>Ongoing supervision by regulatory authorities can help detect and address issues such as rating accuracy, conflicts of interest, and compliance with regulatory standards.</w:t>
      </w:r>
    </w:p>
    <w:p w14:paraId="5869BC69" w14:textId="77777777" w:rsidR="00301B78" w:rsidRDefault="00F40FF8" w:rsidP="00E71B9A">
      <w:pPr>
        <w:pStyle w:val="ListParagraph"/>
        <w:numPr>
          <w:ilvl w:val="0"/>
          <w:numId w:val="21"/>
        </w:numPr>
      </w:pPr>
      <w:r>
        <w:t>However, the effectiveness of these measures depends on the rigor of supervision and enforcement by regulatory authorities.</w:t>
      </w:r>
    </w:p>
    <w:p w14:paraId="6B6DE102" w14:textId="77777777" w:rsidR="00F40FF8" w:rsidRDefault="0028711A" w:rsidP="00E538F4">
      <w:pPr>
        <w:pStyle w:val="Heading3"/>
      </w:pPr>
      <w:r w:rsidRPr="0028711A">
        <w:t>What are the potential implications of credit rating agency failures, such as inaccurate ratings and rating shopping, for financial stability, investor protection, and regulatory credibility?</w:t>
      </w:r>
    </w:p>
    <w:p w14:paraId="715DF3E6" w14:textId="77777777" w:rsidR="00F40FF8" w:rsidRDefault="00F40FF8" w:rsidP="00E71B9A">
      <w:pPr>
        <w:pStyle w:val="ListParagraph"/>
        <w:numPr>
          <w:ilvl w:val="0"/>
          <w:numId w:val="21"/>
        </w:numPr>
      </w:pPr>
      <w:r>
        <w:t>Credit rating agency failures can undermine financial stability by mispricing risk and contributing to the misallocation of capital.</w:t>
      </w:r>
    </w:p>
    <w:p w14:paraId="3C62A73B" w14:textId="77777777" w:rsidR="00F40FF8" w:rsidRDefault="00F40FF8" w:rsidP="00E71B9A">
      <w:pPr>
        <w:pStyle w:val="ListParagraph"/>
        <w:numPr>
          <w:ilvl w:val="0"/>
          <w:numId w:val="21"/>
        </w:numPr>
      </w:pPr>
      <w:r>
        <w:t>Inaccurate ratings can harm investor confidence and lead to losses for investors who rely on credit ratings in their investment decisions.</w:t>
      </w:r>
    </w:p>
    <w:p w14:paraId="2FB652D5" w14:textId="77777777" w:rsidR="00F40FF8" w:rsidRDefault="00F40FF8" w:rsidP="00E538F4">
      <w:pPr>
        <w:pStyle w:val="ListParagraph"/>
        <w:numPr>
          <w:ilvl w:val="0"/>
          <w:numId w:val="21"/>
        </w:numPr>
      </w:pPr>
      <w:r>
        <w:t>Rating shopping, where issuers seek ratings from agencies likely to provide favorable ratings, can distort market perceptions and reduce the reliability of credit ratings.</w:t>
      </w:r>
    </w:p>
    <w:p w14:paraId="00948B67" w14:textId="77777777" w:rsidR="00301B78" w:rsidRDefault="00F40FF8" w:rsidP="00E71B9A">
      <w:pPr>
        <w:pStyle w:val="ListParagraph"/>
        <w:numPr>
          <w:ilvl w:val="0"/>
          <w:numId w:val="21"/>
        </w:numPr>
      </w:pPr>
      <w:r>
        <w:t>Such failures can erode regulatory credibility and highlight the need for stronger oversight and reforms in the credit rating industry.</w:t>
      </w:r>
    </w:p>
    <w:p w14:paraId="5DB48F9C" w14:textId="77777777" w:rsidR="00F40FF8" w:rsidRDefault="0028711A" w:rsidP="00E538F4">
      <w:pPr>
        <w:pStyle w:val="Heading3"/>
      </w:pPr>
      <w:r w:rsidRPr="0028711A">
        <w:t xml:space="preserve">How can alternative credit assessment </w:t>
      </w:r>
      <w:r w:rsidRPr="0028711A">
        <w:lastRenderedPageBreak/>
        <w:t>methodologies, such as market-based indicators, issuer-pays models, and investor-driven ratings, complement traditional credit ratings and enhance risk assessment practices?</w:t>
      </w:r>
    </w:p>
    <w:p w14:paraId="72F63F6B" w14:textId="77777777" w:rsidR="00F40FF8" w:rsidRDefault="00F40FF8" w:rsidP="00E71B9A">
      <w:pPr>
        <w:pStyle w:val="ListParagraph"/>
        <w:numPr>
          <w:ilvl w:val="0"/>
          <w:numId w:val="21"/>
        </w:numPr>
      </w:pPr>
      <w:r>
        <w:t>Alternative credit assessment methodologies can provide additional insights and perspectives on credit risk, supplementing traditional credit ratings.</w:t>
      </w:r>
    </w:p>
    <w:p w14:paraId="6BEBD8D1" w14:textId="77777777" w:rsidR="00F40FF8" w:rsidRDefault="00F40FF8" w:rsidP="00E538F4">
      <w:pPr>
        <w:pStyle w:val="ListParagraph"/>
        <w:numPr>
          <w:ilvl w:val="0"/>
          <w:numId w:val="21"/>
        </w:numPr>
      </w:pPr>
      <w:r>
        <w:t>Market-based indicators, such as credit spreads and credit default swap prices, reflect investors' collective assessments of credit risk and can offer real-time information on market sentiment.</w:t>
      </w:r>
    </w:p>
    <w:p w14:paraId="51E9A7F6" w14:textId="77777777" w:rsidR="00F40FF8" w:rsidRDefault="00F40FF8" w:rsidP="00E538F4">
      <w:pPr>
        <w:pStyle w:val="ListParagraph"/>
        <w:numPr>
          <w:ilvl w:val="0"/>
          <w:numId w:val="21"/>
        </w:numPr>
      </w:pPr>
      <w:r>
        <w:t>Issuer-pays models, where issuers directly pay for ratings, can reduce conflicts of interest associated with the issuer-pays model.</w:t>
      </w:r>
    </w:p>
    <w:p w14:paraId="0BDD60B6" w14:textId="77777777" w:rsidR="00F40FF8" w:rsidRDefault="00F40FF8" w:rsidP="00E538F4">
      <w:pPr>
        <w:pStyle w:val="ListParagraph"/>
        <w:numPr>
          <w:ilvl w:val="0"/>
          <w:numId w:val="21"/>
        </w:numPr>
      </w:pPr>
      <w:r>
        <w:t>Investor-driven ratings, where investors commission ratings for their own analysis, can provide independent assessments of credit risk from the investor's perspective.</w:t>
      </w:r>
    </w:p>
    <w:p w14:paraId="09CCF5BA" w14:textId="77777777" w:rsidR="005D53DB" w:rsidRDefault="00F40FF8" w:rsidP="00E538F4">
      <w:pPr>
        <w:pStyle w:val="ListParagraph"/>
        <w:numPr>
          <w:ilvl w:val="0"/>
          <w:numId w:val="21"/>
        </w:numPr>
        <w:sectPr w:rsidR="005D53DB" w:rsidSect="00AB7BCB">
          <w:type w:val="continuous"/>
          <w:pgSz w:w="11907" w:h="16840" w:code="9"/>
          <w:pgMar w:top="1701" w:right="1701" w:bottom="1134" w:left="1701" w:header="680" w:footer="567" w:gutter="0"/>
          <w:cols w:num="2" w:sep="1" w:space="720"/>
          <w:docGrid w:linePitch="360"/>
        </w:sectPr>
      </w:pPr>
      <w:r>
        <w:t>By incorporating multiple sources of information and diverse methodologies, financial institutions can enhance their risk assessment practices and make more informed investment decisions.</w:t>
      </w:r>
    </w:p>
    <w:p w14:paraId="5AA19036" w14:textId="1FA25509" w:rsidR="005D53DB" w:rsidRDefault="005D53DB" w:rsidP="00E538F4">
      <w:pPr>
        <w:pStyle w:val="Heading2"/>
        <w:sectPr w:rsidR="005D53DB" w:rsidSect="005D53DB">
          <w:type w:val="continuous"/>
          <w:pgSz w:w="11907" w:h="16840" w:code="9"/>
          <w:pgMar w:top="1701" w:right="1701" w:bottom="1134" w:left="1701" w:header="680" w:footer="567" w:gutter="0"/>
          <w:cols w:space="708"/>
          <w:docGrid w:linePitch="360"/>
        </w:sectPr>
      </w:pPr>
      <w:r>
        <w:lastRenderedPageBreak/>
        <w:tab/>
      </w:r>
      <w:r w:rsidR="001427DE">
        <w:t>1</w:t>
      </w:r>
      <w:r w:rsidR="00F40FF8">
        <w:t>8: Insurance Market Regulation</w:t>
      </w:r>
    </w:p>
    <w:p w14:paraId="3723FB97" w14:textId="77777777" w:rsidR="00F40FF8" w:rsidRDefault="0028711A" w:rsidP="00E71B9A">
      <w:pPr>
        <w:pStyle w:val="Heading3"/>
        <w:numPr>
          <w:ilvl w:val="0"/>
          <w:numId w:val="41"/>
        </w:numPr>
      </w:pPr>
      <w:r w:rsidRPr="0028711A">
        <w:t>How do insurance regulations balance the need for consumer protection with the goal of promoting market efficiency, innovation, and risk-taking by insurers?</w:t>
      </w:r>
    </w:p>
    <w:p w14:paraId="7A7791F0" w14:textId="77777777" w:rsidR="00F40FF8" w:rsidRDefault="00F40FF8" w:rsidP="00E71B9A">
      <w:pPr>
        <w:pStyle w:val="ListParagraph"/>
        <w:numPr>
          <w:ilvl w:val="0"/>
          <w:numId w:val="21"/>
        </w:numPr>
      </w:pPr>
      <w:r>
        <w:t>Insurance regulations aim to strike a balance between protecting consumers from unfair practices and ensuring that insurers can operate efficiently and innovate to meet evolving customer needs.</w:t>
      </w:r>
    </w:p>
    <w:p w14:paraId="5826AC55" w14:textId="77777777" w:rsidR="00F40FF8" w:rsidRDefault="00F40FF8" w:rsidP="00E71B9A">
      <w:pPr>
        <w:pStyle w:val="ListParagraph"/>
        <w:numPr>
          <w:ilvl w:val="0"/>
          <w:numId w:val="21"/>
        </w:numPr>
      </w:pPr>
      <w:r>
        <w:t>Regulations may require insurers to disclose policy terms and pricing clearly to consumers, maintain adequate reserves to fulfill obligations, and treat customers fairly during claims processes.</w:t>
      </w:r>
    </w:p>
    <w:p w14:paraId="5EAE145D" w14:textId="77777777" w:rsidR="00301B78" w:rsidRDefault="00F40FF8" w:rsidP="00E71B9A">
      <w:pPr>
        <w:pStyle w:val="ListParagraph"/>
        <w:numPr>
          <w:ilvl w:val="0"/>
          <w:numId w:val="21"/>
        </w:numPr>
      </w:pPr>
      <w:r>
        <w:t>At the same time, regulations may provide insurers with flexibility to design innovative products, price risk accurately, and manage their portfolios effectively to remain competitive and financially viable.</w:t>
      </w:r>
    </w:p>
    <w:p w14:paraId="57502BAB" w14:textId="77777777" w:rsidR="00F40FF8" w:rsidRDefault="0028711A" w:rsidP="00E538F4">
      <w:pPr>
        <w:pStyle w:val="Heading3"/>
      </w:pPr>
      <w:r w:rsidRPr="0028711A">
        <w:t>What are the key regulatory requirements governing insurance solvency, capital adequacy, and risk management, and how do they vary across different types of insurance products and jurisdictions?</w:t>
      </w:r>
    </w:p>
    <w:p w14:paraId="39A830F0" w14:textId="77777777" w:rsidR="00F40FF8" w:rsidRDefault="00F40FF8" w:rsidP="00E71B9A">
      <w:pPr>
        <w:pStyle w:val="ListParagraph"/>
        <w:numPr>
          <w:ilvl w:val="0"/>
          <w:numId w:val="21"/>
        </w:numPr>
      </w:pPr>
      <w:r>
        <w:t>Regulatory requirements for insurance solvency typically include minimum capital requirements, reserve adequacy standards, and risk-based solvency frameworks to ensure that insurers can meet their obligations to policyholders.</w:t>
      </w:r>
    </w:p>
    <w:p w14:paraId="046A3DA9" w14:textId="77777777" w:rsidR="00F40FF8" w:rsidRDefault="00F40FF8" w:rsidP="00E538F4">
      <w:pPr>
        <w:pStyle w:val="ListParagraph"/>
        <w:numPr>
          <w:ilvl w:val="0"/>
          <w:numId w:val="21"/>
        </w:numPr>
      </w:pPr>
      <w:r>
        <w:t>Capital and solvency requirements may vary based on the type of insurance product, with more complex and riskier products requiring higher capital buffers and more stringent risk management practices.</w:t>
      </w:r>
    </w:p>
    <w:p w14:paraId="7ACC2108" w14:textId="77777777" w:rsidR="00301B78" w:rsidRDefault="00F40FF8" w:rsidP="00E71B9A">
      <w:pPr>
        <w:pStyle w:val="ListParagraph"/>
        <w:numPr>
          <w:ilvl w:val="0"/>
          <w:numId w:val="21"/>
        </w:numPr>
      </w:pPr>
      <w:r>
        <w:t xml:space="preserve">Regulations also mandate risk management processes, such as underwriting standards, investment diversification, and reinsurance arrangements, to mitigate insurance companies' exposure to </w:t>
      </w:r>
      <w:r>
        <w:t>adverse events and ensure financial stability.</w:t>
      </w:r>
    </w:p>
    <w:p w14:paraId="041C294B" w14:textId="77777777" w:rsidR="00F40FF8" w:rsidRDefault="0028711A" w:rsidP="00E538F4">
      <w:pPr>
        <w:pStyle w:val="Heading3"/>
      </w:pPr>
      <w:r w:rsidRPr="0028711A">
        <w:t>How can regulators address market conduct issues, such as unfair claims practices, discriminatory pricing, and deceptive advertising, to enhance consumer trust and confidence in the insurance industry?</w:t>
      </w:r>
    </w:p>
    <w:p w14:paraId="4768DF9D" w14:textId="77777777" w:rsidR="00F40FF8" w:rsidRDefault="00F40FF8" w:rsidP="00E71B9A">
      <w:pPr>
        <w:pStyle w:val="ListParagraph"/>
        <w:numPr>
          <w:ilvl w:val="0"/>
          <w:numId w:val="21"/>
        </w:numPr>
      </w:pPr>
      <w:r>
        <w:t>Regulators can address market conduct issues through enforcement of laws and regulations that prohibit unfair or deceptive practices, such as misrepresentation of policy terms, unjustified claim denials, or discriminatory pricing based on protected characteristics.</w:t>
      </w:r>
    </w:p>
    <w:p w14:paraId="1D575ACF" w14:textId="77777777" w:rsidR="00F40FF8" w:rsidRDefault="00F40FF8" w:rsidP="00E71B9A">
      <w:pPr>
        <w:pStyle w:val="ListParagraph"/>
        <w:numPr>
          <w:ilvl w:val="0"/>
          <w:numId w:val="21"/>
        </w:numPr>
      </w:pPr>
      <w:r>
        <w:t>Regulatory authorities may conduct market conduct examinations, investigate consumer complaints, and impose penalties or sanctions on insurers found to engage in misconduct.</w:t>
      </w:r>
    </w:p>
    <w:p w14:paraId="3B4389B2" w14:textId="77777777" w:rsidR="00301B78" w:rsidRDefault="00F40FF8" w:rsidP="00E71B9A">
      <w:pPr>
        <w:pStyle w:val="ListParagraph"/>
        <w:numPr>
          <w:ilvl w:val="0"/>
          <w:numId w:val="21"/>
        </w:numPr>
      </w:pPr>
      <w:r>
        <w:t>Transparency requirements, consumer education initiatives, and complaint resolution mechanisms can also empower consumers to make informed choices and hold insurers accountable for their actions.</w:t>
      </w:r>
    </w:p>
    <w:p w14:paraId="29064AFB" w14:textId="77777777" w:rsidR="00F40FF8" w:rsidRDefault="0028711A" w:rsidP="00E538F4">
      <w:pPr>
        <w:pStyle w:val="Heading3"/>
      </w:pPr>
      <w:r w:rsidRPr="0028711A">
        <w:t>What challenges do regulators face in supervising global insurance groups operating across multiple jurisdictions, and how can international cooperation and supervisory coordination be improved?</w:t>
      </w:r>
    </w:p>
    <w:p w14:paraId="71774670" w14:textId="77777777" w:rsidR="00F40FF8" w:rsidRDefault="00F40FF8" w:rsidP="00E538F4">
      <w:pPr>
        <w:pStyle w:val="ListParagraph"/>
        <w:numPr>
          <w:ilvl w:val="0"/>
          <w:numId w:val="21"/>
        </w:numPr>
      </w:pPr>
      <w:r>
        <w:t>Regulators face challenges in coordinating supervision of global insurance groups due to differences in regulatory frameworks, legal systems, and supervisory practices across jurisdictions.</w:t>
      </w:r>
    </w:p>
    <w:p w14:paraId="07D62CEE" w14:textId="77777777" w:rsidR="00F40FF8" w:rsidRDefault="00F40FF8" w:rsidP="00E538F4">
      <w:pPr>
        <w:pStyle w:val="ListParagraph"/>
        <w:numPr>
          <w:ilvl w:val="0"/>
          <w:numId w:val="21"/>
        </w:numPr>
      </w:pPr>
      <w:r>
        <w:t xml:space="preserve">International cooperation forums, such as the International Association of Insurance Supervisors (IAIS) and bilateral agreements between regulatory authorities, facilitate information sharing, mutual </w:t>
      </w:r>
      <w:r>
        <w:lastRenderedPageBreak/>
        <w:t>recognition of regulatory standards, and coordination of supervisory activities.</w:t>
      </w:r>
    </w:p>
    <w:p w14:paraId="3E864BDA" w14:textId="77777777" w:rsidR="00301B78" w:rsidRDefault="00F40FF8" w:rsidP="00E71B9A">
      <w:pPr>
        <w:pStyle w:val="ListParagraph"/>
        <w:numPr>
          <w:ilvl w:val="0"/>
          <w:numId w:val="21"/>
        </w:numPr>
      </w:pPr>
      <w:r>
        <w:t>Harmonization of regulatory requirements, development of common supervisory principles, and establishment of supervisory colleges for cross-border insurance groups can enhance supervisory effectiveness and mitigate regulatory arbitrage risks.</w:t>
      </w:r>
    </w:p>
    <w:p w14:paraId="4118B62C" w14:textId="77777777" w:rsidR="00F40FF8" w:rsidRDefault="0028711A" w:rsidP="00E538F4">
      <w:pPr>
        <w:pStyle w:val="Heading3"/>
      </w:pPr>
      <w:r w:rsidRPr="0028711A">
        <w:t>How can regulatory reforms, such as risk-based capital standards, stress testing requirements, and macroprudential supervision, enhance the resilience of insurance companies and mitigate systemic risks in the insurance sector?</w:t>
      </w:r>
    </w:p>
    <w:p w14:paraId="6C1196DD" w14:textId="77777777" w:rsidR="00F40FF8" w:rsidRDefault="00F40FF8" w:rsidP="00E538F4">
      <w:pPr>
        <w:pStyle w:val="ListParagraph"/>
        <w:numPr>
          <w:ilvl w:val="0"/>
          <w:numId w:val="21"/>
        </w:numPr>
      </w:pPr>
      <w:r>
        <w:t xml:space="preserve">Regulatory reforms such as risk-based capital standards and stress testing </w:t>
      </w:r>
      <w:r>
        <w:t>requirements help insurers assess and manage their exposure to various risks, including underwriting, investment, and operational risks.</w:t>
      </w:r>
    </w:p>
    <w:p w14:paraId="79D5972A" w14:textId="77777777" w:rsidR="00F40FF8" w:rsidRDefault="00F40FF8" w:rsidP="00E71B9A">
      <w:pPr>
        <w:pStyle w:val="ListParagraph"/>
        <w:numPr>
          <w:ilvl w:val="0"/>
          <w:numId w:val="21"/>
        </w:numPr>
      </w:pPr>
      <w:r>
        <w:t>Macroprudential supervision focuses on monitoring systemic risks and vulnerabilities in the insurance sector, such as interconnectedness, concentration risks, and pro-cyclical behaviors, to prevent contagion and systemic crises.</w:t>
      </w:r>
    </w:p>
    <w:p w14:paraId="032659BD" w14:textId="77777777" w:rsidR="005D53DB" w:rsidRDefault="00F40FF8" w:rsidP="00E538F4">
      <w:pPr>
        <w:pStyle w:val="ListParagraph"/>
        <w:numPr>
          <w:ilvl w:val="0"/>
          <w:numId w:val="21"/>
        </w:numPr>
        <w:sectPr w:rsidR="005D53DB" w:rsidSect="00AB7BCB">
          <w:type w:val="continuous"/>
          <w:pgSz w:w="11907" w:h="16840" w:code="9"/>
          <w:pgMar w:top="1701" w:right="1701" w:bottom="1134" w:left="1701" w:header="680" w:footer="567" w:gutter="0"/>
          <w:cols w:num="2" w:sep="1" w:space="720"/>
          <w:docGrid w:linePitch="360"/>
        </w:sectPr>
      </w:pPr>
      <w:r>
        <w:t>By aligning regulatory capital requirements with insurers' risk profiles, enhancing risk management practices, and monitoring systemic risks, regulatory reforms can strengthen the resilience of insurance companies and contribute to financial stability.</w:t>
      </w:r>
    </w:p>
    <w:p w14:paraId="714D4D45" w14:textId="77777777" w:rsidR="005D53DB" w:rsidRDefault="001427DE" w:rsidP="00E538F4">
      <w:pPr>
        <w:pStyle w:val="Heading2"/>
        <w:sectPr w:rsidR="005D53DB" w:rsidSect="005D53DB">
          <w:type w:val="continuous"/>
          <w:pgSz w:w="11907" w:h="16840" w:code="9"/>
          <w:pgMar w:top="1701" w:right="1701" w:bottom="1134" w:left="1701" w:header="680" w:footer="567" w:gutter="0"/>
          <w:cols w:space="708"/>
          <w:docGrid w:linePitch="360"/>
        </w:sectPr>
      </w:pPr>
      <w:r>
        <w:lastRenderedPageBreak/>
        <w:t>1</w:t>
      </w:r>
      <w:r w:rsidR="00F40FF8">
        <w:t>9: Stress Testing and Risk Management</w:t>
      </w:r>
    </w:p>
    <w:p w14:paraId="277A0A71" w14:textId="77777777" w:rsidR="00F40FF8" w:rsidRDefault="0028711A" w:rsidP="00E71B9A">
      <w:pPr>
        <w:pStyle w:val="Heading3"/>
        <w:numPr>
          <w:ilvl w:val="0"/>
          <w:numId w:val="42"/>
        </w:numPr>
      </w:pPr>
      <w:r w:rsidRPr="0028711A">
        <w:t>How do stress testing frameworks help identify vulnerabilities, quantify risks, and inform risk management decisions by financial institutions and regulators?</w:t>
      </w:r>
    </w:p>
    <w:p w14:paraId="0FEF6293" w14:textId="77777777" w:rsidR="00F40FF8" w:rsidRDefault="00F40FF8" w:rsidP="00E71B9A">
      <w:pPr>
        <w:pStyle w:val="ListParagraph"/>
        <w:numPr>
          <w:ilvl w:val="0"/>
          <w:numId w:val="21"/>
        </w:numPr>
      </w:pPr>
      <w:r>
        <w:t>Stress testing frameworks help financial institutions and regulators assess the potential impact of adverse scenarios on their financial condition, including capital adequacy, liquidity positions, and profitability.</w:t>
      </w:r>
    </w:p>
    <w:p w14:paraId="6DA56CDA" w14:textId="77777777" w:rsidR="00F40FF8" w:rsidRDefault="00F40FF8" w:rsidP="00E71B9A">
      <w:pPr>
        <w:pStyle w:val="ListParagraph"/>
        <w:numPr>
          <w:ilvl w:val="0"/>
          <w:numId w:val="21"/>
        </w:numPr>
      </w:pPr>
      <w:r>
        <w:t>By subjecting portfolios to severe but plausible stress scenarios, institutions can identify vulnerabilities, model risk concentrations, and quantify potential losses under adverse conditions.</w:t>
      </w:r>
    </w:p>
    <w:p w14:paraId="7E4DE406" w14:textId="77777777" w:rsidR="00301B78" w:rsidRDefault="00F40FF8" w:rsidP="00E71B9A">
      <w:pPr>
        <w:pStyle w:val="ListParagraph"/>
        <w:numPr>
          <w:ilvl w:val="0"/>
          <w:numId w:val="21"/>
        </w:numPr>
      </w:pPr>
      <w:r>
        <w:t>Stress testing results inform risk management decisions by highlighting areas of weakness, guiding capital allocation, and supporting contingency planning to mitigate risks and enhance resilience.</w:t>
      </w:r>
    </w:p>
    <w:p w14:paraId="0D31ABB3" w14:textId="77777777" w:rsidR="00F40FF8" w:rsidRDefault="0028711A" w:rsidP="00E538F4">
      <w:pPr>
        <w:pStyle w:val="Heading3"/>
      </w:pPr>
      <w:r w:rsidRPr="0028711A">
        <w:t>What are the key components of a comprehensive stress testing program, including scenario design, data collection, model validation, and results analysis?</w:t>
      </w:r>
    </w:p>
    <w:p w14:paraId="4594ACB2" w14:textId="77777777" w:rsidR="00F40FF8" w:rsidRDefault="00F40FF8" w:rsidP="00E71B9A">
      <w:pPr>
        <w:pStyle w:val="ListParagraph"/>
        <w:numPr>
          <w:ilvl w:val="0"/>
          <w:numId w:val="21"/>
        </w:numPr>
      </w:pPr>
      <w:r>
        <w:t>Scenario design involves selecting relevant stress scenarios based on historical precedents, forward-looking assessments, and regulatory guidance, considering factors such as economic indicators, market conditions, and systemic risks.</w:t>
      </w:r>
    </w:p>
    <w:p w14:paraId="73B20B1E" w14:textId="77777777" w:rsidR="00F40FF8" w:rsidRDefault="00F40FF8" w:rsidP="00E71B9A">
      <w:pPr>
        <w:pStyle w:val="ListParagraph"/>
        <w:numPr>
          <w:ilvl w:val="0"/>
          <w:numId w:val="21"/>
        </w:numPr>
      </w:pPr>
      <w:r>
        <w:t>Data collection requires gathering accurate and granular data on exposures, positions, and counterparties across various asset classes and business lines to input into stress testing models.</w:t>
      </w:r>
    </w:p>
    <w:p w14:paraId="106171AA" w14:textId="77777777" w:rsidR="00F40FF8" w:rsidRDefault="00F40FF8" w:rsidP="00E71B9A">
      <w:pPr>
        <w:pStyle w:val="ListParagraph"/>
        <w:widowControl w:val="0"/>
        <w:numPr>
          <w:ilvl w:val="0"/>
          <w:numId w:val="21"/>
        </w:numPr>
        <w:ind w:left="335" w:hanging="335"/>
      </w:pPr>
      <w:r>
        <w:t xml:space="preserve">Model validation ensures that stress testing models are robust, accurate, and reliable by assessing model assumptions, limitations, and predictive performance against historical outcomes or </w:t>
      </w:r>
      <w:r>
        <w:t>expert judgments.</w:t>
      </w:r>
    </w:p>
    <w:p w14:paraId="055252AA" w14:textId="77777777" w:rsidR="00301B78" w:rsidRDefault="00F40FF8" w:rsidP="00E71B9A">
      <w:pPr>
        <w:pStyle w:val="ListParagraph"/>
        <w:numPr>
          <w:ilvl w:val="0"/>
          <w:numId w:val="21"/>
        </w:numPr>
      </w:pPr>
      <w:r>
        <w:t>Results analysis involves interpreting stress testing outcomes, identifying key risk drivers, and assessing the implications for capital adequacy, liquidity management, and strategic decision-making.</w:t>
      </w:r>
    </w:p>
    <w:p w14:paraId="4239F74F" w14:textId="77777777" w:rsidR="00F40FF8" w:rsidRDefault="0028711A" w:rsidP="00E538F4">
      <w:pPr>
        <w:pStyle w:val="Heading3"/>
      </w:pPr>
      <w:r w:rsidRPr="0028711A">
        <w:t>How can stress testing results be effectively communicated to stakeholders, including senior management, board of directors, investors, and regulatory authorities, to inform decision-making and enhance risk transparency?</w:t>
      </w:r>
    </w:p>
    <w:p w14:paraId="44D16A57" w14:textId="77777777" w:rsidR="00F40FF8" w:rsidRDefault="00F40FF8" w:rsidP="00E71B9A">
      <w:pPr>
        <w:pStyle w:val="ListParagraph"/>
        <w:numPr>
          <w:ilvl w:val="0"/>
          <w:numId w:val="21"/>
        </w:numPr>
      </w:pPr>
      <w:r>
        <w:t>Effective communication of stress testing results requires clear and concise reporting formats tailored to the needs of different stakeholders, such as summary dashboards for senior management and detailed technical reports for risk managers.</w:t>
      </w:r>
    </w:p>
    <w:p w14:paraId="30E960E0" w14:textId="77777777" w:rsidR="00F40FF8" w:rsidRDefault="00F40FF8" w:rsidP="00E71B9A">
      <w:pPr>
        <w:pStyle w:val="ListParagraph"/>
        <w:numPr>
          <w:ilvl w:val="0"/>
          <w:numId w:val="21"/>
        </w:numPr>
      </w:pPr>
      <w:r>
        <w:t>Presentations should highlight key findings, risk exposures, and potential implications for business strategy, capital planning, and risk appetite to facilitate informed decision-making.</w:t>
      </w:r>
    </w:p>
    <w:p w14:paraId="04363FFB" w14:textId="77777777" w:rsidR="00301B78" w:rsidRDefault="00F40FF8" w:rsidP="00E71B9A">
      <w:pPr>
        <w:pStyle w:val="ListParagraph"/>
        <w:numPr>
          <w:ilvl w:val="0"/>
          <w:numId w:val="21"/>
        </w:numPr>
      </w:pPr>
      <w:r>
        <w:t>Regular dialogue and engagement with stakeholders through meetings, presentations, and Q&amp;A sessions can promote transparency, address concerns, and build confidence in stress testing processes and outcomes.</w:t>
      </w:r>
    </w:p>
    <w:p w14:paraId="3041220D" w14:textId="77777777" w:rsidR="00F40FF8" w:rsidRDefault="0028711A" w:rsidP="00E538F4">
      <w:pPr>
        <w:pStyle w:val="Heading3"/>
      </w:pPr>
      <w:r w:rsidRPr="0028711A">
        <w:t>What challenges do financial institutions face in integrating stress testing into their risk management processes, and how can regulators provide guidance and support to facilitate implementation?</w:t>
      </w:r>
    </w:p>
    <w:p w14:paraId="4DC42A75" w14:textId="77777777" w:rsidR="00F40FF8" w:rsidRDefault="00F40FF8" w:rsidP="00E538F4">
      <w:pPr>
        <w:pStyle w:val="ListParagraph"/>
        <w:numPr>
          <w:ilvl w:val="0"/>
          <w:numId w:val="21"/>
        </w:numPr>
      </w:pPr>
      <w:r>
        <w:t>Challenges in integrating stress testing include data limitations, model complexity, resource constraints, and organizational silos, which may impede effective risk identification, measurement, and management.</w:t>
      </w:r>
    </w:p>
    <w:p w14:paraId="799DAD42" w14:textId="77777777" w:rsidR="00F40FF8" w:rsidRDefault="00F40FF8" w:rsidP="00E71B9A">
      <w:pPr>
        <w:pStyle w:val="ListParagraph"/>
        <w:numPr>
          <w:ilvl w:val="0"/>
          <w:numId w:val="21"/>
        </w:numPr>
      </w:pPr>
      <w:r>
        <w:lastRenderedPageBreak/>
        <w:t>Regulators can provide guidance and support by establishing best practices, setting standards for stress testing methodologies, and offering technical assistance and training programs to enhance institutions' capabilities.</w:t>
      </w:r>
    </w:p>
    <w:p w14:paraId="310CA641" w14:textId="77777777" w:rsidR="00301B78" w:rsidRDefault="00F40FF8" w:rsidP="00E71B9A">
      <w:pPr>
        <w:pStyle w:val="ListParagraph"/>
        <w:numPr>
          <w:ilvl w:val="0"/>
          <w:numId w:val="21"/>
        </w:numPr>
      </w:pPr>
      <w:r>
        <w:t>Collaboration between regulators and industry stakeholders can foster knowledge sharing, facilitate peer benchmarking, and promote consistency in stress testing practices across the financial system.</w:t>
      </w:r>
    </w:p>
    <w:p w14:paraId="4D52C708" w14:textId="77777777" w:rsidR="00F40FF8" w:rsidRDefault="0028711A" w:rsidP="00E538F4">
      <w:pPr>
        <w:pStyle w:val="Heading3"/>
      </w:pPr>
      <w:r w:rsidRPr="0028711A">
        <w:t>How do stress testing practices need to evolve in response to emerging risks, such as cyber threats, climate change, and pandemics, to ensure the resilience and stability of the financial system?</w:t>
      </w:r>
    </w:p>
    <w:p w14:paraId="7BAA5951" w14:textId="77777777" w:rsidR="00F40FF8" w:rsidRDefault="00F40FF8" w:rsidP="00E538F4">
      <w:pPr>
        <w:pStyle w:val="ListParagraph"/>
        <w:numPr>
          <w:ilvl w:val="0"/>
          <w:numId w:val="21"/>
        </w:numPr>
      </w:pPr>
      <w:r>
        <w:t>Stress testing practices need to incorporate emerging risks such as cyber threats, climate change, and pandemics into scenario design, data collection, and model calibration to assess their potential impact on financial institutions and markets.</w:t>
      </w:r>
    </w:p>
    <w:p w14:paraId="51316958" w14:textId="16E24DC7" w:rsidR="00F40FF8" w:rsidRDefault="00F40FF8" w:rsidP="00E71B9A">
      <w:pPr>
        <w:pStyle w:val="ListParagraph"/>
        <w:numPr>
          <w:ilvl w:val="0"/>
          <w:numId w:val="21"/>
        </w:numPr>
      </w:pPr>
      <w:r>
        <w:t xml:space="preserve">Scenario analysis should consider plausible scenarios related to </w:t>
      </w:r>
      <w:r w:rsidR="00E71B9A">
        <w:t>cyber-attacks</w:t>
      </w:r>
      <w:r>
        <w:t>, extreme weather events, and public health emergencies to evaluate their implications for operational resilience, supply chain disruptions, and systemic risks.</w:t>
      </w:r>
    </w:p>
    <w:p w14:paraId="3D9A5751" w14:textId="77777777" w:rsidR="005D53DB" w:rsidRDefault="00F40FF8" w:rsidP="00E538F4">
      <w:pPr>
        <w:pStyle w:val="ListParagraph"/>
        <w:numPr>
          <w:ilvl w:val="0"/>
          <w:numId w:val="21"/>
        </w:numPr>
        <w:sectPr w:rsidR="005D53DB" w:rsidSect="00AB7BCB">
          <w:type w:val="continuous"/>
          <w:pgSz w:w="11907" w:h="16840" w:code="9"/>
          <w:pgMar w:top="1701" w:right="1701" w:bottom="1134" w:left="1701" w:header="680" w:footer="567" w:gutter="0"/>
          <w:cols w:num="2" w:sep="1" w:space="720"/>
          <w:docGrid w:linePitch="360"/>
        </w:sectPr>
      </w:pPr>
      <w:r>
        <w:t>Enhanced collaboration between financial institutions, regulators, and other stakeholders is essential to identify, assess, and mitigate emerging risks through stress testing exercises, scenario planning, and risk mitigation strategies.</w:t>
      </w:r>
    </w:p>
    <w:p w14:paraId="6FA3249D" w14:textId="77777777" w:rsidR="00F40FF8" w:rsidRDefault="00F40FF8" w:rsidP="00E71B9A"/>
    <w:p w14:paraId="65148395" w14:textId="65EF97A6" w:rsidR="005D53DB" w:rsidRPr="00AB7BCB" w:rsidRDefault="001427DE" w:rsidP="00E538F4">
      <w:pPr>
        <w:pStyle w:val="Heading2"/>
        <w:sectPr w:rsidR="005D53DB" w:rsidRPr="00AB7BCB" w:rsidSect="005D53DB">
          <w:type w:val="continuous"/>
          <w:pgSz w:w="11907" w:h="16840" w:code="9"/>
          <w:pgMar w:top="1701" w:right="1701" w:bottom="1134" w:left="1701" w:header="680" w:footer="567" w:gutter="0"/>
          <w:cols w:space="708"/>
          <w:docGrid w:linePitch="360"/>
        </w:sectPr>
      </w:pPr>
      <w:r w:rsidRPr="00AB7BCB">
        <w:lastRenderedPageBreak/>
        <w:t>2</w:t>
      </w:r>
      <w:r w:rsidR="00F40FF8" w:rsidRPr="00AB7BCB">
        <w:t xml:space="preserve">0: Economic Diplomacy </w:t>
      </w:r>
      <w:r w:rsidR="00AB7BCB">
        <w:rPr>
          <w:rFonts w:hint="eastAsia"/>
        </w:rPr>
        <w:t>and</w:t>
      </w:r>
      <w:r w:rsidR="00AB7BCB" w:rsidRPr="00AB7BCB">
        <w:rPr>
          <w:rFonts w:hint="eastAsia"/>
        </w:rPr>
        <w:t xml:space="preserve"> </w:t>
      </w:r>
      <w:r w:rsidR="00F40FF8" w:rsidRPr="00AB7BCB">
        <w:t>International Financial Cooperation</w:t>
      </w:r>
    </w:p>
    <w:p w14:paraId="090701D0" w14:textId="77777777" w:rsidR="00F40FF8" w:rsidRDefault="0028711A" w:rsidP="00E71B9A">
      <w:pPr>
        <w:pStyle w:val="Heading3"/>
        <w:numPr>
          <w:ilvl w:val="0"/>
          <w:numId w:val="43"/>
        </w:numPr>
      </w:pPr>
      <w:r w:rsidRPr="0028711A">
        <w:t>How do economic factors, such as trade imbalances, currency exchange rates, and capital flows, influence diplomatic relations and geopolitical dynamics between countries?</w:t>
      </w:r>
    </w:p>
    <w:p w14:paraId="6CDD384A" w14:textId="77777777" w:rsidR="00F40FF8" w:rsidRDefault="00F40FF8" w:rsidP="00E71B9A">
      <w:pPr>
        <w:pStyle w:val="ListParagraph"/>
        <w:numPr>
          <w:ilvl w:val="0"/>
          <w:numId w:val="21"/>
        </w:numPr>
      </w:pPr>
      <w:r>
        <w:t>Economic factors can influence diplomatic relations by shaping countries' perceptions of each other's economic policies, competitiveness, and strategic interests.</w:t>
      </w:r>
    </w:p>
    <w:p w14:paraId="7DC563C4" w14:textId="77777777" w:rsidR="00F40FF8" w:rsidRDefault="00F40FF8" w:rsidP="00E71B9A">
      <w:pPr>
        <w:pStyle w:val="ListParagraph"/>
        <w:numPr>
          <w:ilvl w:val="0"/>
          <w:numId w:val="21"/>
        </w:numPr>
      </w:pPr>
      <w:r>
        <w:t>Trade imbalances and currency exchange rates may lead to tensions and disputes between trading partners, affecting bilateral relations and trade negotiations.</w:t>
      </w:r>
    </w:p>
    <w:p w14:paraId="18916432" w14:textId="77777777" w:rsidR="00301B78" w:rsidRDefault="00F40FF8" w:rsidP="00E71B9A">
      <w:pPr>
        <w:pStyle w:val="ListParagraph"/>
        <w:numPr>
          <w:ilvl w:val="0"/>
          <w:numId w:val="21"/>
        </w:numPr>
      </w:pPr>
      <w:r>
        <w:t>Capital flows, investment patterns, and financial dependencies can influence countries' strategic alliances, foreign policy alignments, and geopolitical alignments.</w:t>
      </w:r>
    </w:p>
    <w:p w14:paraId="1CBD8DBC" w14:textId="77777777" w:rsidR="00F40FF8" w:rsidRDefault="0028711A" w:rsidP="00E538F4">
      <w:pPr>
        <w:pStyle w:val="Heading3"/>
      </w:pPr>
      <w:r w:rsidRPr="0028711A">
        <w:t>What role do international financial institutions, such as the IMF, World Bank, and regional development banks, play in promoting economic development, financial stability, and poverty reduction worldwide?</w:t>
      </w:r>
    </w:p>
    <w:p w14:paraId="2EF32849" w14:textId="77777777" w:rsidR="00F40FF8" w:rsidRDefault="00F40FF8" w:rsidP="00E71B9A">
      <w:pPr>
        <w:pStyle w:val="ListParagraph"/>
        <w:numPr>
          <w:ilvl w:val="0"/>
          <w:numId w:val="21"/>
        </w:numPr>
      </w:pPr>
      <w:r>
        <w:t>International financial institutions provide financial assistance, technical expertise, and policy advice to member countries to promote economic development, poverty reduction, and financial stability.</w:t>
      </w:r>
    </w:p>
    <w:p w14:paraId="415D3AD5" w14:textId="77777777" w:rsidR="00F40FF8" w:rsidRDefault="00F40FF8" w:rsidP="00E71B9A">
      <w:pPr>
        <w:pStyle w:val="ListParagraph"/>
        <w:numPr>
          <w:ilvl w:val="0"/>
          <w:numId w:val="21"/>
        </w:numPr>
      </w:pPr>
      <w:r>
        <w:t>The IMF helps countries address balance of payments crises, stabilize currencies, and implement macroeconomic reforms to restore fiscal and monetary stability.</w:t>
      </w:r>
    </w:p>
    <w:p w14:paraId="30A6CDB4" w14:textId="77777777" w:rsidR="00301B78" w:rsidRDefault="00F40FF8" w:rsidP="00E538F4">
      <w:pPr>
        <w:pStyle w:val="ListParagraph"/>
        <w:numPr>
          <w:ilvl w:val="0"/>
          <w:numId w:val="21"/>
        </w:numPr>
      </w:pPr>
      <w:r>
        <w:t>The World Bank and regional development banks provide funding for infrastructure projects, social programs, and capacity-building initiatives to support sustainable development and poverty alleviation efforts.</w:t>
      </w:r>
    </w:p>
    <w:p w14:paraId="0A2E4172" w14:textId="77777777" w:rsidR="00F40FF8" w:rsidRDefault="0028711A" w:rsidP="00E538F4">
      <w:pPr>
        <w:pStyle w:val="Heading3"/>
      </w:pPr>
      <w:r w:rsidRPr="0028711A">
        <w:t xml:space="preserve">How can economic sanctions and financial measures be used as diplomatic </w:t>
      </w:r>
      <w:r w:rsidRPr="0028711A">
        <w:t>tools to address security threats, human rights abuses, and violations of international law by rogue states and non-state actors?</w:t>
      </w:r>
    </w:p>
    <w:p w14:paraId="2B9157BB" w14:textId="77777777" w:rsidR="00F40FF8" w:rsidRDefault="00F40FF8" w:rsidP="00E71B9A">
      <w:pPr>
        <w:pStyle w:val="ListParagraph"/>
        <w:numPr>
          <w:ilvl w:val="0"/>
          <w:numId w:val="21"/>
        </w:numPr>
      </w:pPr>
      <w:r>
        <w:t>Economic sanctions and financial measures can be used to exert diplomatic pressure, deter undesirable behavior, and incentivize compliance with international norms and obligations.</w:t>
      </w:r>
    </w:p>
    <w:p w14:paraId="01DF65F2" w14:textId="77777777" w:rsidR="00F40FF8" w:rsidRDefault="00F40FF8" w:rsidP="00E71B9A">
      <w:pPr>
        <w:pStyle w:val="ListParagraph"/>
        <w:numPr>
          <w:ilvl w:val="0"/>
          <w:numId w:val="21"/>
        </w:numPr>
      </w:pPr>
      <w:r>
        <w:t>Targeted sanctions, asset freezes, and trade restrictions can be imposed on individuals, entities, or countries engaged in illicit activities, human rights violations, or support for terrorism.</w:t>
      </w:r>
    </w:p>
    <w:p w14:paraId="7256B38D" w14:textId="77777777" w:rsidR="00301B78" w:rsidRDefault="00F40FF8" w:rsidP="00E71B9A">
      <w:pPr>
        <w:pStyle w:val="ListParagraph"/>
        <w:numPr>
          <w:ilvl w:val="0"/>
          <w:numId w:val="21"/>
        </w:numPr>
      </w:pPr>
      <w:r>
        <w:t>International cooperation and coordination are essential to ensure the effectiveness of sanctions regimes, minimize unintended consequences, and facilitate diplomatic negotiations to resolve conflicts peacefully.</w:t>
      </w:r>
    </w:p>
    <w:p w14:paraId="033322BD" w14:textId="77777777" w:rsidR="00F40FF8" w:rsidRDefault="0028711A" w:rsidP="00E538F4">
      <w:pPr>
        <w:pStyle w:val="Heading3"/>
      </w:pPr>
      <w:r w:rsidRPr="0028711A">
        <w:t>How do trade disputes, tariff wars, and protectionist measures impact global economic cooperation, multilateralism, and the rules-based international trading system?</w:t>
      </w:r>
    </w:p>
    <w:p w14:paraId="5BC8501A" w14:textId="77777777" w:rsidR="00F40FF8" w:rsidRDefault="00F40FF8" w:rsidP="00E71B9A">
      <w:pPr>
        <w:pStyle w:val="ListParagraph"/>
        <w:numPr>
          <w:ilvl w:val="0"/>
          <w:numId w:val="21"/>
        </w:numPr>
      </w:pPr>
      <w:r>
        <w:t>Trade disputes, tariff wars, and protectionist measures can undermine global economic cooperation, disrupt supply chains, and erode trust in the rules-based international trading system.</w:t>
      </w:r>
    </w:p>
    <w:p w14:paraId="2EB5CC11" w14:textId="77777777" w:rsidR="00F40FF8" w:rsidRDefault="00F40FF8" w:rsidP="00E538F4">
      <w:pPr>
        <w:pStyle w:val="ListParagraph"/>
        <w:numPr>
          <w:ilvl w:val="0"/>
          <w:numId w:val="21"/>
        </w:numPr>
      </w:pPr>
      <w:r>
        <w:t>Increased trade barriers and retaliatory actions can lead to reduced trade volumes, higher consumer prices, and economic inefficiencies, harming both exporters and importers.</w:t>
      </w:r>
    </w:p>
    <w:p w14:paraId="0F6271C2" w14:textId="77777777" w:rsidR="00301B78" w:rsidRDefault="00F40FF8" w:rsidP="00E538F4">
      <w:pPr>
        <w:pStyle w:val="ListParagraph"/>
        <w:numPr>
          <w:ilvl w:val="0"/>
          <w:numId w:val="21"/>
        </w:numPr>
      </w:pPr>
      <w:r>
        <w:t>Addressing trade disputes through multilateral negotiations, dispute resolution mechanisms, and adherence to international trade rules is essential to maintain a predictable and open global trading environment.</w:t>
      </w:r>
    </w:p>
    <w:p w14:paraId="4EB2E130" w14:textId="77777777" w:rsidR="00F40FF8" w:rsidRDefault="0028711A" w:rsidP="00E538F4">
      <w:pPr>
        <w:pStyle w:val="Heading3"/>
      </w:pPr>
      <w:r w:rsidRPr="0028711A">
        <w:t xml:space="preserve">What opportunities exist for countries </w:t>
      </w:r>
      <w:r w:rsidRPr="0028711A">
        <w:lastRenderedPageBreak/>
        <w:t>to collaborate on transnational challenges, such as climate change, pandemics, and cybersecurity, through economic diplomacy and international financial cooperation?</w:t>
      </w:r>
    </w:p>
    <w:p w14:paraId="3F75D3BE" w14:textId="77777777" w:rsidR="00F40FF8" w:rsidRDefault="00F40FF8" w:rsidP="00E71B9A">
      <w:pPr>
        <w:pStyle w:val="ListParagraph"/>
        <w:numPr>
          <w:ilvl w:val="0"/>
          <w:numId w:val="21"/>
        </w:numPr>
      </w:pPr>
      <w:r>
        <w:t>Economic diplomacy and international financial cooperation provide opportunities for countries to pool resources, share best practices, and coordinate policy responses to address transnational challenges.</w:t>
      </w:r>
    </w:p>
    <w:p w14:paraId="2648E9AE" w14:textId="77777777" w:rsidR="00F40FF8" w:rsidRDefault="00F40FF8" w:rsidP="00E538F4">
      <w:pPr>
        <w:pStyle w:val="ListParagraph"/>
        <w:numPr>
          <w:ilvl w:val="0"/>
          <w:numId w:val="21"/>
        </w:numPr>
      </w:pPr>
      <w:r>
        <w:t>Initiatives such as climate finance, pandemic preparedness funds, and cybersecurity cooperation programs enable countries to work together to mitigate risks, build resilience, and promote sustainable development.</w:t>
      </w:r>
    </w:p>
    <w:p w14:paraId="5F08DE11" w14:textId="77777777" w:rsidR="005D53DB" w:rsidRDefault="00F40FF8" w:rsidP="00E538F4">
      <w:pPr>
        <w:pStyle w:val="ListParagraph"/>
        <w:numPr>
          <w:ilvl w:val="0"/>
          <w:numId w:val="21"/>
        </w:numPr>
        <w:sectPr w:rsidR="005D53DB" w:rsidSect="00AB7BCB">
          <w:type w:val="continuous"/>
          <w:pgSz w:w="11907" w:h="16840" w:code="9"/>
          <w:pgMar w:top="1701" w:right="1701" w:bottom="1134" w:left="1701" w:header="680" w:footer="567" w:gutter="0"/>
          <w:cols w:num="2" w:sep="1" w:space="720"/>
          <w:docGrid w:linePitch="360"/>
        </w:sectPr>
      </w:pPr>
      <w:r>
        <w:t>Multilateral forums, such as the G20, UN agencies, and regional organizations, provide platforms for countries to engage in dialogue, negotiate agreements, and implement joint initiatives to tackle shared challenges effectively.</w:t>
      </w:r>
    </w:p>
    <w:p w14:paraId="563980E4" w14:textId="77777777" w:rsidR="00124FFC" w:rsidRPr="00124FFC" w:rsidRDefault="00124FFC" w:rsidP="00E538F4"/>
    <w:sectPr w:rsidR="00124FFC" w:rsidRPr="00124FFC" w:rsidSect="005D53DB">
      <w:type w:val="continuous"/>
      <w:pgSz w:w="11907" w:h="16840" w:code="9"/>
      <w:pgMar w:top="1701" w:right="1701" w:bottom="1134" w:left="1701" w:header="68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67B42" w14:textId="77777777" w:rsidR="00112E92" w:rsidRDefault="00112E92" w:rsidP="00E538F4">
      <w:r>
        <w:separator/>
      </w:r>
    </w:p>
  </w:endnote>
  <w:endnote w:type="continuationSeparator" w:id="0">
    <w:p w14:paraId="63631C4A" w14:textId="77777777" w:rsidR="00112E92" w:rsidRDefault="00112E92" w:rsidP="00E53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UI">
    <w:panose1 w:val="020B05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Yu Gothic UI Light">
    <w:panose1 w:val="020B0300000000000000"/>
    <w:charset w:val="80"/>
    <w:family w:val="modern"/>
    <w:pitch w:val="variable"/>
    <w:sig w:usb0="E00002FF" w:usb1="2AC7FDFF" w:usb2="00000016" w:usb3="00000000" w:csb0="0002009F" w:csb1="00000000"/>
  </w:font>
  <w:font w:name="Segoe UI Semibold">
    <w:panose1 w:val="020B07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2CF41" w14:textId="7626598B" w:rsidR="00112E92" w:rsidRPr="00E94D7E" w:rsidRDefault="00E94D7E" w:rsidP="001E493A">
    <w:pPr>
      <w:pStyle w:val="Footer"/>
      <w:jc w:val="center"/>
    </w:pPr>
    <w:r w:rsidRPr="00E94D7E">
      <w:t>p.</w:t>
    </w:r>
    <w:r w:rsidRPr="00E94D7E">
      <w:fldChar w:fldCharType="begin"/>
    </w:r>
    <w:r w:rsidRPr="00E94D7E">
      <w:instrText xml:space="preserve"> PAGE   \* MERGEFORMAT </w:instrText>
    </w:r>
    <w:r w:rsidRPr="00E94D7E">
      <w:fldChar w:fldCharType="separate"/>
    </w:r>
    <w:r w:rsidRPr="00E94D7E">
      <w:rPr>
        <w:noProof/>
      </w:rPr>
      <w:t>1</w:t>
    </w:r>
    <w:r w:rsidRPr="00E94D7E">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A9D1D" w14:textId="77777777" w:rsidR="00112E92" w:rsidRDefault="00112E92" w:rsidP="00E538F4">
      <w:r>
        <w:separator/>
      </w:r>
    </w:p>
  </w:footnote>
  <w:footnote w:type="continuationSeparator" w:id="0">
    <w:p w14:paraId="7886950F" w14:textId="77777777" w:rsidR="00112E92" w:rsidRDefault="00112E92" w:rsidP="00E538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E97E6" w14:textId="619182E1" w:rsidR="00112E92" w:rsidRPr="00D27E01" w:rsidRDefault="00112E92" w:rsidP="00D27E01">
    <w:pPr>
      <w:pStyle w:val="Header"/>
      <w:pBdr>
        <w:top w:val="single" w:sz="4" w:space="1" w:color="auto"/>
        <w:bottom w:val="single" w:sz="4" w:space="1" w:color="auto"/>
      </w:pBdr>
      <w:jc w:val="center"/>
      <w:rPr>
        <w:rFonts w:ascii="Segoe UI Light" w:hAnsi="Segoe UI Light" w:cs="Segoe UI Light"/>
        <w:sz w:val="32"/>
        <w:szCs w:val="32"/>
      </w:rPr>
    </w:pPr>
    <w:r w:rsidRPr="00D27E01">
      <w:rPr>
        <w:rFonts w:ascii="Segoe UI Light" w:hAnsi="Segoe UI Light" w:cs="Segoe UI Light"/>
        <w:sz w:val="32"/>
        <w:szCs w:val="32"/>
      </w:rPr>
      <w:t>Let’s Talk Finance</w:t>
    </w:r>
    <w:r w:rsidR="001427DE" w:rsidRPr="00D27E01">
      <w:rPr>
        <w:rFonts w:ascii="Segoe UI Light" w:hAnsi="Segoe UI Light" w:cs="Segoe UI Light"/>
        <w:sz w:val="32"/>
        <w:szCs w:val="32"/>
      </w:rPr>
      <w:t>: Answers for Teachers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29F"/>
    <w:multiLevelType w:val="hybridMultilevel"/>
    <w:tmpl w:val="15887392"/>
    <w:lvl w:ilvl="0" w:tplc="F448EFFE">
      <w:start w:val="1"/>
      <w:numFmt w:val="bullet"/>
      <w:lvlText w:val=""/>
      <w:lvlJc w:val="left"/>
      <w:pPr>
        <w:ind w:left="227" w:hanging="227"/>
      </w:pPr>
      <w:rPr>
        <w:rFonts w:ascii="Symbol" w:hAnsi="Symbol" w:hint="default"/>
      </w:rPr>
    </w:lvl>
    <w:lvl w:ilvl="1" w:tplc="04090003" w:tentative="1">
      <w:start w:val="1"/>
      <w:numFmt w:val="bullet"/>
      <w:lvlText w:val="o"/>
      <w:lvlJc w:val="left"/>
      <w:pPr>
        <w:ind w:left="1233" w:hanging="360"/>
      </w:pPr>
      <w:rPr>
        <w:rFonts w:ascii="Courier New" w:hAnsi="Courier New" w:cs="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cs="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cs="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1" w15:restartNumberingAfterBreak="0">
    <w:nsid w:val="2E11767E"/>
    <w:multiLevelType w:val="multilevel"/>
    <w:tmpl w:val="069E1F78"/>
    <w:lvl w:ilvl="0">
      <w:start w:val="1"/>
      <w:numFmt w:val="decimal"/>
      <w:suff w:val="space"/>
      <w:lvlText w:val="%1."/>
      <w:lvlJc w:val="left"/>
      <w:pPr>
        <w:ind w:left="360" w:hanging="360"/>
      </w:pPr>
      <w:rPr>
        <w:rFonts w:hint="eastAsia"/>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55EA281E"/>
    <w:multiLevelType w:val="multilevel"/>
    <w:tmpl w:val="28EE9A52"/>
    <w:lvl w:ilvl="0">
      <w:start w:val="1"/>
      <w:numFmt w:val="decimal"/>
      <w:pStyle w:val="Heading3"/>
      <w:suff w:val="space"/>
      <w:lvlText w:val="%1."/>
      <w:lvlJc w:val="left"/>
      <w:pPr>
        <w:ind w:left="0" w:firstLine="0"/>
      </w:pPr>
      <w:rPr>
        <w:rFonts w:hint="eastAsia"/>
      </w:rPr>
    </w:lvl>
    <w:lvl w:ilvl="1">
      <w:start w:val="1"/>
      <w:numFmt w:val="lowerLetter"/>
      <w:lvlText w:val="%2."/>
      <w:lvlJc w:val="left"/>
      <w:pPr>
        <w:ind w:left="1080" w:hanging="360"/>
      </w:pPr>
      <w:rPr>
        <w:rFonts w:hint="eastAsia"/>
      </w:rPr>
    </w:lvl>
    <w:lvl w:ilvl="2">
      <w:start w:val="1"/>
      <w:numFmt w:val="lowerRoman"/>
      <w:lvlText w:val="%3."/>
      <w:lvlJc w:val="right"/>
      <w:pPr>
        <w:ind w:left="1800" w:hanging="180"/>
      </w:pPr>
      <w:rPr>
        <w:rFonts w:hint="eastAsia"/>
      </w:rPr>
    </w:lvl>
    <w:lvl w:ilvl="3">
      <w:start w:val="1"/>
      <w:numFmt w:val="decimal"/>
      <w:lvlText w:val="%4."/>
      <w:lvlJc w:val="left"/>
      <w:pPr>
        <w:ind w:left="2520" w:hanging="360"/>
      </w:pPr>
      <w:rPr>
        <w:rFonts w:hint="eastAsia"/>
      </w:rPr>
    </w:lvl>
    <w:lvl w:ilvl="4">
      <w:start w:val="1"/>
      <w:numFmt w:val="lowerLetter"/>
      <w:lvlText w:val="%5."/>
      <w:lvlJc w:val="left"/>
      <w:pPr>
        <w:ind w:left="3240" w:hanging="360"/>
      </w:pPr>
      <w:rPr>
        <w:rFonts w:hint="eastAsia"/>
      </w:rPr>
    </w:lvl>
    <w:lvl w:ilvl="5">
      <w:start w:val="1"/>
      <w:numFmt w:val="lowerRoman"/>
      <w:lvlText w:val="%6."/>
      <w:lvlJc w:val="right"/>
      <w:pPr>
        <w:ind w:left="3960" w:hanging="180"/>
      </w:pPr>
      <w:rPr>
        <w:rFonts w:hint="eastAsia"/>
      </w:rPr>
    </w:lvl>
    <w:lvl w:ilvl="6">
      <w:start w:val="1"/>
      <w:numFmt w:val="decimal"/>
      <w:lvlText w:val="%7."/>
      <w:lvlJc w:val="left"/>
      <w:pPr>
        <w:ind w:left="4680" w:hanging="360"/>
      </w:pPr>
      <w:rPr>
        <w:rFonts w:hint="eastAsia"/>
      </w:rPr>
    </w:lvl>
    <w:lvl w:ilvl="7">
      <w:start w:val="1"/>
      <w:numFmt w:val="lowerLetter"/>
      <w:lvlText w:val="%8."/>
      <w:lvlJc w:val="left"/>
      <w:pPr>
        <w:ind w:left="5400" w:hanging="360"/>
      </w:pPr>
      <w:rPr>
        <w:rFonts w:hint="eastAsia"/>
      </w:rPr>
    </w:lvl>
    <w:lvl w:ilvl="8">
      <w:start w:val="1"/>
      <w:numFmt w:val="lowerRoman"/>
      <w:lvlText w:val="%9."/>
      <w:lvlJc w:val="right"/>
      <w:pPr>
        <w:ind w:left="6120" w:hanging="180"/>
      </w:pPr>
      <w:rPr>
        <w:rFonts w:hint="eastAsia"/>
      </w:rPr>
    </w:lvl>
  </w:abstractNum>
  <w:abstractNum w:abstractNumId="3" w15:restartNumberingAfterBreak="0">
    <w:nsid w:val="5B3C5B33"/>
    <w:multiLevelType w:val="hybridMultilevel"/>
    <w:tmpl w:val="6D642206"/>
    <w:lvl w:ilvl="0" w:tplc="ADBA530C">
      <w:start w:val="1"/>
      <w:numFmt w:val="decimal"/>
      <w:suff w:val="space"/>
      <w:lvlText w:val="%1)"/>
      <w:lvlJc w:val="left"/>
      <w:pPr>
        <w:ind w:left="357" w:hanging="357"/>
      </w:pPr>
      <w:rPr>
        <w:rFonts w:hint="eastAsia"/>
        <w:b w:val="0"/>
        <w:bCs w:val="0"/>
        <w:i w:val="0"/>
        <w:sz w:val="20"/>
      </w:rPr>
    </w:lvl>
    <w:lvl w:ilvl="1" w:tplc="ED56B934">
      <w:start w:val="3"/>
      <w:numFmt w:val="bullet"/>
      <w:lvlText w:val="-"/>
      <w:lvlJc w:val="left"/>
      <w:pPr>
        <w:ind w:left="1440" w:hanging="360"/>
      </w:pPr>
      <w:rPr>
        <w:rFonts w:ascii="Calibri" w:eastAsiaTheme="minorEastAsia"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9057467">
    <w:abstractNumId w:val="3"/>
  </w:num>
  <w:num w:numId="2" w16cid:durableId="810561694">
    <w:abstractNumId w:val="3"/>
    <w:lvlOverride w:ilvl="0">
      <w:startOverride w:val="1"/>
    </w:lvlOverride>
  </w:num>
  <w:num w:numId="3" w16cid:durableId="1539784199">
    <w:abstractNumId w:val="3"/>
    <w:lvlOverride w:ilvl="0">
      <w:startOverride w:val="1"/>
    </w:lvlOverride>
  </w:num>
  <w:num w:numId="4" w16cid:durableId="258414120">
    <w:abstractNumId w:val="3"/>
    <w:lvlOverride w:ilvl="0">
      <w:startOverride w:val="1"/>
    </w:lvlOverride>
  </w:num>
  <w:num w:numId="5" w16cid:durableId="43874354">
    <w:abstractNumId w:val="3"/>
    <w:lvlOverride w:ilvl="0">
      <w:startOverride w:val="1"/>
    </w:lvlOverride>
  </w:num>
  <w:num w:numId="6" w16cid:durableId="895896568">
    <w:abstractNumId w:val="3"/>
    <w:lvlOverride w:ilvl="0">
      <w:startOverride w:val="1"/>
    </w:lvlOverride>
  </w:num>
  <w:num w:numId="7" w16cid:durableId="2140956621">
    <w:abstractNumId w:val="3"/>
    <w:lvlOverride w:ilvl="0">
      <w:startOverride w:val="1"/>
    </w:lvlOverride>
  </w:num>
  <w:num w:numId="8" w16cid:durableId="32076945">
    <w:abstractNumId w:val="3"/>
    <w:lvlOverride w:ilvl="0">
      <w:startOverride w:val="1"/>
    </w:lvlOverride>
  </w:num>
  <w:num w:numId="9" w16cid:durableId="857693677">
    <w:abstractNumId w:val="3"/>
    <w:lvlOverride w:ilvl="0">
      <w:startOverride w:val="1"/>
    </w:lvlOverride>
  </w:num>
  <w:num w:numId="10" w16cid:durableId="46536757">
    <w:abstractNumId w:val="3"/>
    <w:lvlOverride w:ilvl="0">
      <w:startOverride w:val="1"/>
    </w:lvlOverride>
  </w:num>
  <w:num w:numId="11" w16cid:durableId="1348361027">
    <w:abstractNumId w:val="3"/>
    <w:lvlOverride w:ilvl="0">
      <w:startOverride w:val="1"/>
    </w:lvlOverride>
  </w:num>
  <w:num w:numId="12" w16cid:durableId="1145391974">
    <w:abstractNumId w:val="3"/>
    <w:lvlOverride w:ilvl="0">
      <w:startOverride w:val="1"/>
    </w:lvlOverride>
  </w:num>
  <w:num w:numId="13" w16cid:durableId="1463037606">
    <w:abstractNumId w:val="3"/>
    <w:lvlOverride w:ilvl="0">
      <w:startOverride w:val="1"/>
    </w:lvlOverride>
  </w:num>
  <w:num w:numId="14" w16cid:durableId="714544298">
    <w:abstractNumId w:val="3"/>
    <w:lvlOverride w:ilvl="0">
      <w:startOverride w:val="1"/>
    </w:lvlOverride>
  </w:num>
  <w:num w:numId="15" w16cid:durableId="445122287">
    <w:abstractNumId w:val="3"/>
    <w:lvlOverride w:ilvl="0">
      <w:startOverride w:val="1"/>
    </w:lvlOverride>
  </w:num>
  <w:num w:numId="16" w16cid:durableId="1113091397">
    <w:abstractNumId w:val="3"/>
    <w:lvlOverride w:ilvl="0">
      <w:startOverride w:val="1"/>
    </w:lvlOverride>
  </w:num>
  <w:num w:numId="17" w16cid:durableId="2139756335">
    <w:abstractNumId w:val="3"/>
    <w:lvlOverride w:ilvl="0">
      <w:startOverride w:val="1"/>
    </w:lvlOverride>
  </w:num>
  <w:num w:numId="18" w16cid:durableId="20518605">
    <w:abstractNumId w:val="3"/>
    <w:lvlOverride w:ilvl="0">
      <w:startOverride w:val="1"/>
    </w:lvlOverride>
  </w:num>
  <w:num w:numId="19" w16cid:durableId="556936334">
    <w:abstractNumId w:val="3"/>
    <w:lvlOverride w:ilvl="0">
      <w:startOverride w:val="1"/>
    </w:lvlOverride>
  </w:num>
  <w:num w:numId="20" w16cid:durableId="121047595">
    <w:abstractNumId w:val="3"/>
    <w:lvlOverride w:ilvl="0">
      <w:startOverride w:val="1"/>
    </w:lvlOverride>
  </w:num>
  <w:num w:numId="21" w16cid:durableId="990409351">
    <w:abstractNumId w:val="0"/>
  </w:num>
  <w:num w:numId="22" w16cid:durableId="97991755">
    <w:abstractNumId w:val="2"/>
  </w:num>
  <w:num w:numId="23" w16cid:durableId="1025406222">
    <w:abstractNumId w:val="2"/>
    <w:lvlOverride w:ilvl="0">
      <w:startOverride w:val="1"/>
    </w:lvlOverride>
  </w:num>
  <w:num w:numId="24" w16cid:durableId="843277700">
    <w:abstractNumId w:val="1"/>
  </w:num>
  <w:num w:numId="25" w16cid:durableId="12526623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55793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580243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021101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630062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69807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5727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76650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15588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944431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266137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72693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64392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00044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76367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44457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12036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66804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49640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autoHyphenation/>
  <w:drawingGridHorizontalSpacing w:val="110"/>
  <w:displayHorizontalDrawingGridEvery w:val="2"/>
  <w:displayVerticalDrawingGridEvery w:val="2"/>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FFC"/>
    <w:rsid w:val="00112E92"/>
    <w:rsid w:val="00124FFC"/>
    <w:rsid w:val="001427DE"/>
    <w:rsid w:val="001E493A"/>
    <w:rsid w:val="0028711A"/>
    <w:rsid w:val="002B7C89"/>
    <w:rsid w:val="002D6890"/>
    <w:rsid w:val="00301B78"/>
    <w:rsid w:val="0040746E"/>
    <w:rsid w:val="005D53DB"/>
    <w:rsid w:val="00622275"/>
    <w:rsid w:val="00670641"/>
    <w:rsid w:val="00713585"/>
    <w:rsid w:val="00811E16"/>
    <w:rsid w:val="00990E39"/>
    <w:rsid w:val="00A56A38"/>
    <w:rsid w:val="00A577E5"/>
    <w:rsid w:val="00AB7BCB"/>
    <w:rsid w:val="00BD38AD"/>
    <w:rsid w:val="00D27E01"/>
    <w:rsid w:val="00E538F4"/>
    <w:rsid w:val="00E71B9A"/>
    <w:rsid w:val="00E94D7E"/>
    <w:rsid w:val="00EA1482"/>
    <w:rsid w:val="00F40FF8"/>
    <w:rsid w:val="00FD60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CAF456C"/>
  <w15:chartTrackingRefBased/>
  <w15:docId w15:val="{CF2ADAD4-6BAA-45D0-921B-206A9A707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93A"/>
    <w:pPr>
      <w:kinsoku w:val="0"/>
      <w:overflowPunct w:val="0"/>
      <w:snapToGrid w:val="0"/>
      <w:spacing w:after="240"/>
      <w:jc w:val="both"/>
    </w:pPr>
    <w:rPr>
      <w:rFonts w:ascii="Segoe UI Semilight" w:hAnsi="Segoe UI Semilight" w:cs="Segoe UI Semilight"/>
      <w:sz w:val="20"/>
    </w:rPr>
  </w:style>
  <w:style w:type="paragraph" w:styleId="Heading2">
    <w:name w:val="heading 2"/>
    <w:basedOn w:val="Normal"/>
    <w:next w:val="Normal"/>
    <w:link w:val="Heading2Char"/>
    <w:uiPriority w:val="9"/>
    <w:unhideWhenUsed/>
    <w:qFormat/>
    <w:rsid w:val="00AB7BCB"/>
    <w:pPr>
      <w:keepNext/>
      <w:keepLines/>
      <w:pageBreakBefore/>
      <w:shd w:val="clear" w:color="auto" w:fill="00B0F0"/>
      <w:spacing w:before="40"/>
      <w:jc w:val="center"/>
      <w:outlineLvl w:val="1"/>
    </w:pPr>
    <w:rPr>
      <w:rFonts w:eastAsiaTheme="majorEastAsia"/>
      <w:color w:val="FFFFFF" w:themeColor="background1"/>
      <w:sz w:val="28"/>
      <w:szCs w:val="24"/>
    </w:rPr>
  </w:style>
  <w:style w:type="paragraph" w:styleId="Heading3">
    <w:name w:val="heading 3"/>
    <w:basedOn w:val="ListParagraph"/>
    <w:next w:val="Normal"/>
    <w:link w:val="Heading3Char"/>
    <w:uiPriority w:val="9"/>
    <w:unhideWhenUsed/>
    <w:qFormat/>
    <w:rsid w:val="00E538F4"/>
    <w:pPr>
      <w:widowControl w:val="0"/>
      <w:numPr>
        <w:numId w:val="22"/>
      </w:numPr>
      <w:spacing w:after="120"/>
      <w:outlineLvl w:val="2"/>
    </w:pPr>
    <w:rPr>
      <w:rFonts w:asciiTheme="majorHAnsi" w:hAnsiTheme="majorHAnsi" w:cstheme="majorHAnsi"/>
      <w:bCs/>
      <w:color w:val="008BB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711A"/>
    <w:pPr>
      <w:ind w:left="720"/>
      <w:contextualSpacing/>
    </w:pPr>
  </w:style>
  <w:style w:type="character" w:customStyle="1" w:styleId="Heading3Char">
    <w:name w:val="Heading 3 Char"/>
    <w:basedOn w:val="DefaultParagraphFont"/>
    <w:link w:val="Heading3"/>
    <w:uiPriority w:val="9"/>
    <w:rsid w:val="00E538F4"/>
    <w:rPr>
      <w:rFonts w:asciiTheme="majorHAnsi" w:hAnsiTheme="majorHAnsi" w:cstheme="majorHAnsi"/>
      <w:bCs/>
      <w:color w:val="008BBC"/>
      <w:sz w:val="21"/>
    </w:rPr>
  </w:style>
  <w:style w:type="character" w:customStyle="1" w:styleId="Heading2Char">
    <w:name w:val="Heading 2 Char"/>
    <w:basedOn w:val="DefaultParagraphFont"/>
    <w:link w:val="Heading2"/>
    <w:uiPriority w:val="9"/>
    <w:rsid w:val="00AB7BCB"/>
    <w:rPr>
      <w:rFonts w:ascii="Segoe UI Semilight" w:eastAsiaTheme="majorEastAsia" w:hAnsi="Segoe UI Semilight" w:cs="Segoe UI Semilight"/>
      <w:color w:val="FFFFFF" w:themeColor="background1"/>
      <w:sz w:val="28"/>
      <w:szCs w:val="24"/>
      <w:shd w:val="clear" w:color="auto" w:fill="00B0F0"/>
    </w:rPr>
  </w:style>
  <w:style w:type="paragraph" w:styleId="Header">
    <w:name w:val="header"/>
    <w:basedOn w:val="Normal"/>
    <w:link w:val="HeaderChar"/>
    <w:uiPriority w:val="99"/>
    <w:unhideWhenUsed/>
    <w:rsid w:val="00112E92"/>
    <w:pPr>
      <w:tabs>
        <w:tab w:val="center" w:pos="4419"/>
        <w:tab w:val="right" w:pos="8838"/>
      </w:tabs>
      <w:spacing w:after="0" w:line="240" w:lineRule="auto"/>
    </w:pPr>
  </w:style>
  <w:style w:type="character" w:customStyle="1" w:styleId="HeaderChar">
    <w:name w:val="Header Char"/>
    <w:basedOn w:val="DefaultParagraphFont"/>
    <w:link w:val="Header"/>
    <w:uiPriority w:val="99"/>
    <w:rsid w:val="00112E92"/>
  </w:style>
  <w:style w:type="paragraph" w:styleId="Footer">
    <w:name w:val="footer"/>
    <w:basedOn w:val="Normal"/>
    <w:link w:val="FooterChar"/>
    <w:uiPriority w:val="99"/>
    <w:unhideWhenUsed/>
    <w:rsid w:val="00112E92"/>
    <w:pPr>
      <w:tabs>
        <w:tab w:val="center" w:pos="4419"/>
        <w:tab w:val="right" w:pos="8838"/>
      </w:tabs>
      <w:spacing w:after="0" w:line="240" w:lineRule="auto"/>
    </w:pPr>
  </w:style>
  <w:style w:type="character" w:customStyle="1" w:styleId="FooterChar">
    <w:name w:val="Footer Char"/>
    <w:basedOn w:val="DefaultParagraphFont"/>
    <w:link w:val="Footer"/>
    <w:uiPriority w:val="99"/>
    <w:rsid w:val="00112E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D Segoe Set">
      <a:majorFont>
        <a:latin typeface="Segoe UI Semibold"/>
        <a:ea typeface="Yu Gothic UI Light"/>
        <a:cs typeface=""/>
      </a:majorFont>
      <a:minorFont>
        <a:latin typeface="Segoe UI"/>
        <a:ea typeface="Yu Gothic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2ED95-80CB-4D83-8CEB-36A69DB4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40</Pages>
  <Words>13909</Words>
  <Characters>95282</Characters>
  <Application>Microsoft Office Word</Application>
  <DocSecurity>0</DocSecurity>
  <Lines>1380</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ドブソン デイビッド</dc:creator>
  <cp:keywords/>
  <dc:description/>
  <cp:lastModifiedBy>David Dobson</cp:lastModifiedBy>
  <cp:revision>13</cp:revision>
  <cp:lastPrinted>2025-09-25T07:10:00Z</cp:lastPrinted>
  <dcterms:created xsi:type="dcterms:W3CDTF">2024-04-10T01:54:00Z</dcterms:created>
  <dcterms:modified xsi:type="dcterms:W3CDTF">2025-09-25T07:13:00Z</dcterms:modified>
</cp:coreProperties>
</file>