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58AFF" w14:textId="003F4B50" w:rsidR="00D52C88" w:rsidRPr="00C1015E" w:rsidRDefault="00D52C88" w:rsidP="00D04549">
      <w:pPr>
        <w:pStyle w:val="Title"/>
        <w:spacing w:after="80"/>
      </w:pPr>
      <w:r w:rsidRPr="00C1015E">
        <w:t>The EV Supply Chain Dilemma</w:t>
      </w:r>
    </w:p>
    <w:p w14:paraId="2AE5052D" w14:textId="7AA8E5D1" w:rsidR="00D52C88" w:rsidRPr="00E12CF4" w:rsidRDefault="00D52C88" w:rsidP="009541DD">
      <w:pPr>
        <w:snapToGrid w:val="0"/>
        <w:spacing w:after="360"/>
        <w:rPr>
          <w:sz w:val="24"/>
          <w:szCs w:val="32"/>
        </w:rPr>
      </w:pPr>
      <w:r w:rsidRPr="00E12CF4">
        <w:rPr>
          <w:i/>
          <w:iCs/>
          <w:sz w:val="24"/>
          <w:szCs w:val="32"/>
        </w:rPr>
        <w:t>Bosch Logical Thinking &amp; Discussion Course</w:t>
      </w:r>
    </w:p>
    <w:p w14:paraId="536155BC" w14:textId="77777777" w:rsidR="00221F09" w:rsidRPr="004527A1" w:rsidRDefault="00221F09" w:rsidP="00F73A89">
      <w:pPr>
        <w:pStyle w:val="Heading2"/>
      </w:pPr>
      <w:r w:rsidRPr="004527A1">
        <w:t>Discussion</w:t>
      </w:r>
    </w:p>
    <w:p w14:paraId="23FC84A3" w14:textId="77777777" w:rsidR="00E50C31" w:rsidRDefault="00221F09" w:rsidP="00E50C31">
      <w:pPr>
        <w:spacing w:after="360"/>
        <w:rPr>
          <w:rFonts w:cstheme="minorHAnsi"/>
          <w:lang w:eastAsia="ja-JP"/>
        </w:rPr>
        <w:sectPr w:rsidR="00E50C31" w:rsidSect="00D72846">
          <w:footerReference w:type="default" r:id="rId7"/>
          <w:footnotePr>
            <w:numRestart w:val="eachSect"/>
          </w:footnotePr>
          <w:type w:val="continuous"/>
          <w:pgSz w:w="11907" w:h="16840" w:code="9"/>
          <w:pgMar w:top="1985" w:right="1701" w:bottom="1701" w:left="1701" w:header="720" w:footer="720" w:gutter="0"/>
          <w:cols w:space="720"/>
        </w:sectPr>
      </w:pPr>
      <w:r w:rsidRPr="00221F09">
        <w:rPr>
          <w:rFonts w:cstheme="minorHAnsi"/>
          <w:lang w:eastAsia="ja-JP"/>
        </w:rPr>
        <w:t>Before starting the simulation, review and discuss these key terms and ideas. Understanding them will help you take part in the meeting more effectively.</w:t>
      </w:r>
    </w:p>
    <w:p w14:paraId="4F8B2A0E" w14:textId="77777777" w:rsidR="00221F09" w:rsidRPr="00221F09" w:rsidRDefault="00221F09" w:rsidP="00D956B6">
      <w:pPr>
        <w:spacing w:after="240"/>
        <w:ind w:left="357" w:hanging="357"/>
        <w:rPr>
          <w:rFonts w:cstheme="minorHAnsi"/>
          <w:lang w:eastAsia="ja-JP"/>
        </w:rPr>
      </w:pPr>
      <w:r w:rsidRPr="00221F09">
        <w:rPr>
          <w:rFonts w:ascii="Segoe UI Semibold" w:hAnsi="Segoe UI Semibold" w:cstheme="minorHAnsi"/>
          <w:bCs/>
          <w:color w:val="0F4761" w:themeColor="accent1" w:themeShade="BF"/>
          <w:lang w:eastAsia="ja-JP"/>
        </w:rPr>
        <w:t>Competitiveness</w:t>
      </w:r>
      <w:r w:rsidRPr="00221F09">
        <w:rPr>
          <w:rFonts w:cstheme="minorHAnsi"/>
          <w:lang w:eastAsia="ja-JP"/>
        </w:rPr>
        <w:t xml:space="preserve"> – How a company compares to others in its industry. A competitive company offers high-quality products at a good price and can adapt quickly to market changes.</w:t>
      </w:r>
    </w:p>
    <w:p w14:paraId="28D94BB4" w14:textId="77777777" w:rsidR="00221F09" w:rsidRPr="00221F09" w:rsidRDefault="00221F09" w:rsidP="00D956B6">
      <w:pPr>
        <w:spacing w:after="240"/>
        <w:ind w:left="357" w:hanging="357"/>
        <w:rPr>
          <w:rFonts w:cstheme="minorHAnsi"/>
          <w:lang w:eastAsia="ja-JP"/>
        </w:rPr>
      </w:pPr>
      <w:r w:rsidRPr="00221F09">
        <w:rPr>
          <w:rFonts w:ascii="Segoe UI Semibold" w:hAnsi="Segoe UI Semibold" w:cstheme="minorHAnsi"/>
          <w:bCs/>
          <w:color w:val="0F4761" w:themeColor="accent1" w:themeShade="BF"/>
          <w:lang w:eastAsia="ja-JP"/>
        </w:rPr>
        <w:t>ESG (Environmental, Social, and Governance)</w:t>
      </w:r>
      <w:r w:rsidRPr="00221F09">
        <w:rPr>
          <w:rFonts w:cstheme="minorHAnsi"/>
          <w:lang w:eastAsia="ja-JP"/>
        </w:rPr>
        <w:t xml:space="preserve"> – A framework companies use to measure their impact on the planet, how they treat people, and how responsibly they are managed. ESG is becoming a major factor in investment and business decisions.</w:t>
      </w:r>
    </w:p>
    <w:p w14:paraId="333A1275" w14:textId="3D17588D" w:rsidR="00221F09" w:rsidRPr="00221F09" w:rsidRDefault="00D04549" w:rsidP="00D956B6">
      <w:pPr>
        <w:spacing w:after="240"/>
        <w:ind w:left="357" w:hanging="357"/>
        <w:rPr>
          <w:rFonts w:cstheme="minorHAnsi"/>
          <w:lang w:eastAsia="ja-JP"/>
        </w:rPr>
      </w:pPr>
      <w:r w:rsidRPr="00221F09">
        <w:rPr>
          <w:rFonts w:ascii="Segoe UI Semibold" w:hAnsi="Segoe UI Semibold" w:cstheme="minorHAnsi"/>
          <w:bCs/>
          <w:color w:val="0F4761" w:themeColor="accent1" w:themeShade="BF"/>
          <w:lang w:eastAsia="ja-JP"/>
        </w:rPr>
        <w:t>Ethical sourcing</w:t>
      </w:r>
      <w:r w:rsidRPr="00221F09">
        <w:rPr>
          <w:rFonts w:cstheme="minorHAnsi"/>
          <w:lang w:eastAsia="ja-JP"/>
        </w:rPr>
        <w:t xml:space="preserve"> </w:t>
      </w:r>
      <w:r w:rsidR="00221F09" w:rsidRPr="00221F09">
        <w:rPr>
          <w:rFonts w:cstheme="minorHAnsi"/>
          <w:lang w:eastAsia="ja-JP"/>
        </w:rPr>
        <w:t>– Buying materials and products from suppliers that respect people, communities, and the environment. It means checking that suppliers do not use unfair labor practices or harm the environment.</w:t>
      </w:r>
    </w:p>
    <w:p w14:paraId="55E2D2B7" w14:textId="4B80F946" w:rsidR="00221F09" w:rsidRPr="00221F09" w:rsidRDefault="00221F09" w:rsidP="00D956B6">
      <w:pPr>
        <w:spacing w:after="240"/>
        <w:ind w:left="357" w:hanging="357"/>
        <w:rPr>
          <w:rFonts w:cstheme="minorHAnsi"/>
          <w:lang w:eastAsia="ja-JP"/>
        </w:rPr>
      </w:pPr>
      <w:r w:rsidRPr="00221F09">
        <w:rPr>
          <w:rFonts w:ascii="Segoe UI Semibold" w:hAnsi="Segoe UI Semibold" w:cstheme="minorHAnsi"/>
          <w:bCs/>
          <w:color w:val="0F4761" w:themeColor="accent1" w:themeShade="BF"/>
          <w:lang w:eastAsia="ja-JP"/>
        </w:rPr>
        <w:t xml:space="preserve">Supply </w:t>
      </w:r>
      <w:r w:rsidR="00D04549" w:rsidRPr="00221F09">
        <w:rPr>
          <w:rFonts w:ascii="Segoe UI Semibold" w:hAnsi="Segoe UI Semibold" w:cstheme="minorHAnsi"/>
          <w:bCs/>
          <w:color w:val="0F4761" w:themeColor="accent1" w:themeShade="BF"/>
          <w:lang w:eastAsia="ja-JP"/>
        </w:rPr>
        <w:t>chain transparency</w:t>
      </w:r>
      <w:r w:rsidR="00D04549" w:rsidRPr="00221F09">
        <w:rPr>
          <w:rFonts w:cstheme="minorHAnsi"/>
          <w:lang w:eastAsia="ja-JP"/>
        </w:rPr>
        <w:t xml:space="preserve"> </w:t>
      </w:r>
      <w:r w:rsidRPr="00221F09">
        <w:rPr>
          <w:rFonts w:cstheme="minorHAnsi"/>
          <w:lang w:eastAsia="ja-JP"/>
        </w:rPr>
        <w:t>– The ability to see and understand every step in the supply chain—from raw materials to final product—so the company can confirm that partners follow laws and ethical standards.</w:t>
      </w:r>
    </w:p>
    <w:p w14:paraId="79BAA9DE" w14:textId="167A28B7" w:rsidR="00221F09" w:rsidRPr="00221F09" w:rsidRDefault="00221F09" w:rsidP="00D956B6">
      <w:pPr>
        <w:spacing w:after="240"/>
        <w:ind w:left="357" w:hanging="357"/>
        <w:rPr>
          <w:rFonts w:cstheme="minorHAnsi"/>
          <w:lang w:eastAsia="ja-JP"/>
        </w:rPr>
      </w:pPr>
      <w:r w:rsidRPr="00221F09">
        <w:rPr>
          <w:rFonts w:ascii="Segoe UI Semibold" w:hAnsi="Segoe UI Semibold" w:cstheme="minorHAnsi"/>
          <w:bCs/>
          <w:color w:val="0F4761" w:themeColor="accent1" w:themeShade="BF"/>
          <w:lang w:eastAsia="ja-JP"/>
        </w:rPr>
        <w:t xml:space="preserve">Due </w:t>
      </w:r>
      <w:r w:rsidR="00D04549" w:rsidRPr="00221F09">
        <w:rPr>
          <w:rFonts w:ascii="Segoe UI Semibold" w:hAnsi="Segoe UI Semibold" w:cstheme="minorHAnsi"/>
          <w:bCs/>
          <w:color w:val="0F4761" w:themeColor="accent1" w:themeShade="BF"/>
          <w:lang w:eastAsia="ja-JP"/>
        </w:rPr>
        <w:t>diligence</w:t>
      </w:r>
      <w:r w:rsidR="00D04549" w:rsidRPr="00221F09">
        <w:rPr>
          <w:rFonts w:cstheme="minorHAnsi"/>
          <w:lang w:eastAsia="ja-JP"/>
        </w:rPr>
        <w:t xml:space="preserve"> </w:t>
      </w:r>
      <w:r w:rsidRPr="00221F09">
        <w:rPr>
          <w:rFonts w:cstheme="minorHAnsi"/>
          <w:lang w:eastAsia="ja-JP"/>
        </w:rPr>
        <w:t>– The careful investigation a company must do before working with another company. It means checking legal, environmental, and social risks before signing a contract.</w:t>
      </w:r>
    </w:p>
    <w:p w14:paraId="6DB3C0E8" w14:textId="1DCD2AAF" w:rsidR="00E50C31" w:rsidRDefault="00221F09" w:rsidP="00E50C31">
      <w:pPr>
        <w:spacing w:after="0"/>
        <w:ind w:left="357" w:hanging="357"/>
        <w:rPr>
          <w:rFonts w:cstheme="minorHAnsi"/>
          <w:lang w:eastAsia="ja-JP"/>
        </w:rPr>
        <w:sectPr w:rsidR="00E50C31" w:rsidSect="00E50C31">
          <w:footnotePr>
            <w:numRestart w:val="eachSect"/>
          </w:footnotePr>
          <w:type w:val="continuous"/>
          <w:pgSz w:w="11907" w:h="16840" w:code="9"/>
          <w:pgMar w:top="1985" w:right="1701" w:bottom="1701" w:left="1701" w:header="720" w:footer="720" w:gutter="0"/>
          <w:cols w:num="2" w:sep="1" w:space="567"/>
        </w:sectPr>
      </w:pPr>
      <w:r w:rsidRPr="00221F09">
        <w:rPr>
          <w:rFonts w:ascii="Segoe UI Semibold" w:hAnsi="Segoe UI Semibold" w:cstheme="minorHAnsi"/>
          <w:bCs/>
          <w:color w:val="0F4761" w:themeColor="accent1" w:themeShade="BF"/>
          <w:lang w:eastAsia="ja-JP"/>
        </w:rPr>
        <w:t>CSDDD (Corporate Sustainability Due Diligence Directive)</w:t>
      </w:r>
      <w:r w:rsidRPr="00221F09">
        <w:rPr>
          <w:rFonts w:cstheme="minorHAnsi"/>
          <w:lang w:eastAsia="ja-JP"/>
        </w:rPr>
        <w:t xml:space="preserve"> – A new rule from the European Union that will require large companies to check their entire supply chain for environmental and human rights risks. It aims to make global business more responsible and transparent.</w:t>
      </w:r>
    </w:p>
    <w:p w14:paraId="50D5740C" w14:textId="77777777" w:rsidR="00221F09" w:rsidRPr="00221F09" w:rsidRDefault="00221F09" w:rsidP="00E50C31">
      <w:pPr>
        <w:spacing w:before="360" w:after="120"/>
        <w:rPr>
          <w:rFonts w:cstheme="minorHAnsi"/>
          <w:lang w:eastAsia="ja-JP"/>
        </w:rPr>
      </w:pPr>
      <w:r w:rsidRPr="00221F09">
        <w:rPr>
          <w:rFonts w:cstheme="minorHAnsi"/>
          <w:lang w:eastAsia="ja-JP"/>
        </w:rPr>
        <w:t>Discuss with your classmates:</w:t>
      </w:r>
    </w:p>
    <w:p w14:paraId="27D1D238" w14:textId="77777777" w:rsidR="00221F09" w:rsidRPr="00221F09" w:rsidRDefault="00221F09" w:rsidP="00D04549">
      <w:pPr>
        <w:pStyle w:val="ListParagraph"/>
        <w:numPr>
          <w:ilvl w:val="0"/>
          <w:numId w:val="8"/>
        </w:numPr>
        <w:snapToGrid w:val="0"/>
        <w:spacing w:after="120"/>
        <w:ind w:left="714" w:hanging="357"/>
        <w:contextualSpacing w:val="0"/>
        <w:rPr>
          <w:rFonts w:cstheme="minorHAnsi"/>
          <w:lang w:eastAsia="ja-JP"/>
        </w:rPr>
      </w:pPr>
      <w:r w:rsidRPr="00221F09">
        <w:rPr>
          <w:rFonts w:cstheme="minorHAnsi"/>
          <w:lang w:eastAsia="ja-JP"/>
        </w:rPr>
        <w:t>Why do you think ESG and ethical sourcing have become important in global business?</w:t>
      </w:r>
    </w:p>
    <w:p w14:paraId="377A6A5D" w14:textId="77777777" w:rsidR="00221F09" w:rsidRPr="00221F09" w:rsidRDefault="00221F09" w:rsidP="00D04549">
      <w:pPr>
        <w:pStyle w:val="ListParagraph"/>
        <w:numPr>
          <w:ilvl w:val="0"/>
          <w:numId w:val="8"/>
        </w:numPr>
        <w:snapToGrid w:val="0"/>
        <w:spacing w:after="120"/>
        <w:ind w:left="714" w:hanging="357"/>
        <w:contextualSpacing w:val="0"/>
        <w:rPr>
          <w:rFonts w:cstheme="minorHAnsi"/>
          <w:lang w:eastAsia="ja-JP"/>
        </w:rPr>
      </w:pPr>
      <w:r w:rsidRPr="00221F09">
        <w:rPr>
          <w:rFonts w:cstheme="minorHAnsi"/>
          <w:lang w:eastAsia="ja-JP"/>
        </w:rPr>
        <w:t>What might happen if a company ignores due diligence or hides supply chain problems?</w:t>
      </w:r>
    </w:p>
    <w:p w14:paraId="2EB207AC" w14:textId="77777777" w:rsidR="004A4EF2" w:rsidRDefault="00221F09" w:rsidP="00221F09">
      <w:pPr>
        <w:pStyle w:val="ListParagraph"/>
        <w:numPr>
          <w:ilvl w:val="0"/>
          <w:numId w:val="8"/>
        </w:numPr>
        <w:snapToGrid w:val="0"/>
        <w:spacing w:after="240"/>
        <w:ind w:left="714" w:hanging="357"/>
        <w:contextualSpacing w:val="0"/>
        <w:rPr>
          <w:rFonts w:cstheme="minorHAnsi"/>
          <w:lang w:eastAsia="ja-JP"/>
        </w:rPr>
        <w:sectPr w:rsidR="004A4EF2" w:rsidSect="00D72846">
          <w:footnotePr>
            <w:numRestart w:val="eachSect"/>
          </w:footnotePr>
          <w:type w:val="continuous"/>
          <w:pgSz w:w="11907" w:h="16840" w:code="9"/>
          <w:pgMar w:top="1985" w:right="1701" w:bottom="1701" w:left="1701" w:header="720" w:footer="720" w:gutter="0"/>
          <w:cols w:space="720"/>
        </w:sectPr>
      </w:pPr>
      <w:r w:rsidRPr="00221F09">
        <w:rPr>
          <w:rFonts w:cstheme="minorHAnsi"/>
          <w:lang w:eastAsia="ja-JP"/>
        </w:rPr>
        <w:t>How could strong supply chain transparency help Bosch maintain its competitiveness and reputation?</w:t>
      </w:r>
    </w:p>
    <w:p w14:paraId="6E3478BA" w14:textId="51F443EB" w:rsidR="0009423F" w:rsidRDefault="003950D5" w:rsidP="0086289D">
      <w:pPr>
        <w:pStyle w:val="Heading2"/>
        <w:spacing w:before="0" w:line="240" w:lineRule="auto"/>
      </w:pPr>
      <w:bookmarkStart w:id="0" w:name="situation"/>
      <w:r>
        <w:rPr>
          <w:rFonts w:hint="eastAsia"/>
        </w:rPr>
        <w:lastRenderedPageBreak/>
        <w:t xml:space="preserve">The </w:t>
      </w:r>
      <w:r w:rsidRPr="004A7621">
        <w:t>Situatio</w:t>
      </w:r>
      <w:r w:rsidR="0009423F">
        <w:rPr>
          <w:rFonts w:hint="eastAsia"/>
        </w:rPr>
        <w:t>n</w:t>
      </w:r>
    </w:p>
    <w:p w14:paraId="6A598367" w14:textId="7C0530F7" w:rsidR="000726A0" w:rsidRDefault="0086289D" w:rsidP="0009423F">
      <w:pPr>
        <w:spacing w:after="240"/>
      </w:pPr>
      <w:r>
        <w:t>Bosch Japan is preparing to launch a new line of high-efficiency electric vehicle (EV) components for both domestic and international markets. The project is part of Bosch’s global initiative to expand its role in sustainable mobility and reduce its carbon footprint. However, the production of one key component — a lithium-ion battery module — faces a serious supply chain challenge.</w:t>
      </w:r>
    </w:p>
    <w:p w14:paraId="071302F4" w14:textId="77777777" w:rsidR="000726A0" w:rsidRDefault="0086289D" w:rsidP="00D52C88">
      <w:pPr>
        <w:spacing w:after="240"/>
      </w:pPr>
      <w:r>
        <w:t>A major European supplier has recently increased prices by 30% due to higher energy and labor costs. Meanwhile, a new supplier based in Southeast Asia has offered to supply the same component at a much lower price. On paper, this alternative supplier meets technical specifications and delivery schedules. However, early research suggests that the supplier’s environmental and labor practices may not meet Bosch’s ESG (Environmental, Social, and Governance) standards. Independent auditors have raised questions about factory emissions, worker safety, and transparency in sourcing materials.</w:t>
      </w:r>
    </w:p>
    <w:p w14:paraId="324B08D4" w14:textId="2DBED541" w:rsidR="004A7621" w:rsidRDefault="0086289D" w:rsidP="009541DD">
      <w:pPr>
        <w:spacing w:after="120"/>
      </w:pPr>
      <w:r>
        <w:t xml:space="preserve">Senior management has called an emergency meeting to decide whether Bosch should: </w:t>
      </w:r>
    </w:p>
    <w:p w14:paraId="6F1F057A" w14:textId="37447179" w:rsidR="004A7621" w:rsidRPr="004A7621" w:rsidRDefault="0086289D" w:rsidP="009541DD">
      <w:pPr>
        <w:numPr>
          <w:ilvl w:val="0"/>
          <w:numId w:val="6"/>
        </w:numPr>
        <w:spacing w:after="120"/>
      </w:pPr>
      <w:r w:rsidRPr="004A7621">
        <w:t>Continue with the current European supplier, despite the high cost;</w:t>
      </w:r>
    </w:p>
    <w:p w14:paraId="77B36408" w14:textId="39D855B5" w:rsidR="004A7621" w:rsidRPr="004A7621" w:rsidRDefault="0086289D" w:rsidP="009541DD">
      <w:pPr>
        <w:numPr>
          <w:ilvl w:val="0"/>
          <w:numId w:val="6"/>
        </w:numPr>
        <w:spacing w:after="120"/>
      </w:pPr>
      <w:r w:rsidRPr="004A7621">
        <w:t>Switch to the Southeast Asian supplier, gaining a strong cost advantage but potential ethical and brand risks; or</w:t>
      </w:r>
    </w:p>
    <w:p w14:paraId="7F64F9C4" w14:textId="3B5CD1D4" w:rsidR="000726A0" w:rsidRPr="004A7621" w:rsidRDefault="0086289D" w:rsidP="00FF4259">
      <w:pPr>
        <w:numPr>
          <w:ilvl w:val="0"/>
          <w:numId w:val="6"/>
        </w:numPr>
        <w:spacing w:after="240"/>
      </w:pPr>
      <w:r w:rsidRPr="004A7621">
        <w:t>Adopt a temporary hybrid solution, dividing production between the two suppliers while gathering more data.</w:t>
      </w:r>
    </w:p>
    <w:p w14:paraId="4A643C2F" w14:textId="3DCD8A50" w:rsidR="00FF4259" w:rsidRDefault="0086289D" w:rsidP="009541DD">
      <w:pPr>
        <w:spacing w:after="120"/>
        <w:rPr>
          <w:lang w:eastAsia="ja-JP"/>
        </w:rPr>
      </w:pPr>
      <w:r w:rsidRPr="0009423F">
        <w:t>Your task in this meeting is to</w:t>
      </w:r>
      <w:r w:rsidR="009541DD">
        <w:rPr>
          <w:rFonts w:hint="eastAsia"/>
          <w:lang w:eastAsia="ja-JP"/>
        </w:rPr>
        <w:t>:</w:t>
      </w:r>
    </w:p>
    <w:p w14:paraId="63A9E2DF" w14:textId="1EAAE2E5" w:rsidR="009541DD" w:rsidRDefault="009541DD" w:rsidP="009541DD">
      <w:pPr>
        <w:numPr>
          <w:ilvl w:val="0"/>
          <w:numId w:val="9"/>
        </w:numPr>
        <w:spacing w:after="120"/>
      </w:pPr>
      <w:r>
        <w:rPr>
          <w:lang w:eastAsia="ja-JP"/>
        </w:rPr>
        <w:t>D</w:t>
      </w:r>
      <w:r>
        <w:rPr>
          <w:rFonts w:hint="eastAsia"/>
          <w:lang w:eastAsia="ja-JP"/>
        </w:rPr>
        <w:t xml:space="preserve">iscuss the </w:t>
      </w:r>
      <w:r w:rsidR="00325DA5">
        <w:rPr>
          <w:rFonts w:hint="eastAsia"/>
          <w:lang w:eastAsia="ja-JP"/>
        </w:rPr>
        <w:t>problems</w:t>
      </w:r>
      <w:r>
        <w:rPr>
          <w:rFonts w:hint="eastAsia"/>
          <w:lang w:eastAsia="ja-JP"/>
        </w:rPr>
        <w:t xml:space="preserve"> and brainstorm </w:t>
      </w:r>
      <w:r w:rsidR="00325DA5">
        <w:rPr>
          <w:rFonts w:hint="eastAsia"/>
          <w:lang w:eastAsia="ja-JP"/>
        </w:rPr>
        <w:t>options to solve them</w:t>
      </w:r>
      <w:r>
        <w:rPr>
          <w:rFonts w:hint="eastAsia"/>
          <w:lang w:eastAsia="ja-JP"/>
        </w:rPr>
        <w:t>,</w:t>
      </w:r>
    </w:p>
    <w:p w14:paraId="129E93F8" w14:textId="7E95E304" w:rsidR="00FF4259" w:rsidRDefault="009541DD" w:rsidP="009541DD">
      <w:pPr>
        <w:numPr>
          <w:ilvl w:val="0"/>
          <w:numId w:val="9"/>
        </w:numPr>
        <w:spacing w:after="120"/>
      </w:pPr>
      <w:r>
        <w:rPr>
          <w:rFonts w:hint="eastAsia"/>
          <w:lang w:eastAsia="ja-JP"/>
        </w:rPr>
        <w:t>E</w:t>
      </w:r>
      <w:r w:rsidRPr="0009423F">
        <w:t>valuate the risks and benefits of each option</w:t>
      </w:r>
      <w:r>
        <w:rPr>
          <w:rFonts w:hint="eastAsia"/>
          <w:lang w:eastAsia="ja-JP"/>
        </w:rPr>
        <w:t>,</w:t>
      </w:r>
      <w:r w:rsidRPr="0009423F">
        <w:t xml:space="preserve"> and </w:t>
      </w:r>
    </w:p>
    <w:p w14:paraId="4235D9C7" w14:textId="01C2EDE0" w:rsidR="00FF4259" w:rsidRDefault="009541DD" w:rsidP="00FF4259">
      <w:pPr>
        <w:numPr>
          <w:ilvl w:val="0"/>
          <w:numId w:val="9"/>
        </w:numPr>
        <w:spacing w:after="240"/>
      </w:pPr>
      <w:r>
        <w:rPr>
          <w:rFonts w:hint="eastAsia"/>
          <w:lang w:eastAsia="ja-JP"/>
        </w:rPr>
        <w:t>Decide</w:t>
      </w:r>
      <w:r w:rsidRPr="0009423F">
        <w:t xml:space="preserve"> the best course of action.</w:t>
      </w:r>
    </w:p>
    <w:p w14:paraId="64C7413F" w14:textId="77777777" w:rsidR="00D04549" w:rsidRDefault="00D04549" w:rsidP="00D04549">
      <w:pPr>
        <w:spacing w:after="240"/>
      </w:pPr>
      <w:r>
        <w:t>The decision will affect production schedules, pricing strategy, brand reputation, and Bosch’s long-term ESG commitments.</w:t>
      </w:r>
    </w:p>
    <w:p w14:paraId="6E53C400" w14:textId="7F9F7E7C" w:rsidR="004A7621" w:rsidRDefault="00CA3048" w:rsidP="009541DD">
      <w:pPr>
        <w:spacing w:after="0"/>
      </w:pPr>
      <w:r>
        <w:rPr>
          <w:noProof/>
        </w:rPr>
        <mc:AlternateContent>
          <mc:Choice Requires="wps">
            <w:drawing>
              <wp:anchor distT="45720" distB="45720" distL="114300" distR="114300" simplePos="0" relativeHeight="251658240" behindDoc="0" locked="0" layoutInCell="1" allowOverlap="1" wp14:anchorId="651B07B7" wp14:editId="1443945D">
                <wp:simplePos x="0" y="0"/>
                <wp:positionH relativeFrom="margin">
                  <wp:align>left</wp:align>
                </wp:positionH>
                <wp:positionV relativeFrom="margin">
                  <wp:align>bottom</wp:align>
                </wp:positionV>
                <wp:extent cx="5400040" cy="963295"/>
                <wp:effectExtent l="13335" t="12065" r="6350" b="5715"/>
                <wp:wrapSquare wrapText="bothSides"/>
                <wp:docPr id="253576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963295"/>
                        </a:xfrm>
                        <a:prstGeom prst="rect">
                          <a:avLst/>
                        </a:prstGeom>
                        <a:solidFill>
                          <a:srgbClr val="FFFFFF"/>
                        </a:solidFill>
                        <a:ln w="9525">
                          <a:solidFill>
                            <a:srgbClr val="000000"/>
                          </a:solidFill>
                          <a:miter lim="800000"/>
                          <a:headEnd/>
                          <a:tailEnd/>
                        </a:ln>
                      </wps:spPr>
                      <wps:txbx>
                        <w:txbxContent>
                          <w:p w14:paraId="693143A5" w14:textId="77777777" w:rsidR="009541DD" w:rsidRPr="005E6CEC" w:rsidRDefault="009541DD" w:rsidP="00D04549">
                            <w:pPr>
                              <w:pStyle w:val="FirstParagraph"/>
                              <w:spacing w:before="0" w:after="40"/>
                              <w:rPr>
                                <w:rFonts w:asciiTheme="majorHAnsi" w:hAnsiTheme="majorHAnsi" w:cstheme="majorHAnsi"/>
                                <w:lang w:eastAsia="ja-JP"/>
                              </w:rPr>
                            </w:pPr>
                            <w:r w:rsidRPr="005E6CEC">
                              <w:rPr>
                                <w:rFonts w:asciiTheme="majorHAnsi" w:hAnsiTheme="majorHAnsi" w:cstheme="majorHAnsi"/>
                                <w:lang w:eastAsia="ja-JP"/>
                              </w:rPr>
                              <w:t>Note</w:t>
                            </w:r>
                          </w:p>
                          <w:p w14:paraId="21FD1258" w14:textId="77777777" w:rsidR="009541DD" w:rsidRDefault="009541DD" w:rsidP="009541DD">
                            <w:pPr>
                              <w:pStyle w:val="FirstParagraph"/>
                              <w:spacing w:before="0" w:after="240"/>
                            </w:pPr>
                            <w:r w:rsidRPr="004A7621">
                              <w:rPr>
                                <w:rFonts w:cstheme="minorHAnsi"/>
                              </w:rPr>
                              <w:t>All facts, figures, and sources in this simulation are fictionalized for educational purposes.</w:t>
                            </w:r>
                            <w:r w:rsidRPr="004A7621">
                              <w:t xml:space="preserve"> They are designed to resemble realistic business data and to help students practice assessing credibility, reliability, and logical reasoning.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1B07B7" id="_x0000_t202" coordsize="21600,21600" o:spt="202" path="m,l,21600r21600,l21600,xe">
                <v:stroke joinstyle="miter"/>
                <v:path gradientshapeok="t" o:connecttype="rect"/>
              </v:shapetype>
              <v:shape id="Text Box 2" o:spid="_x0000_s1026" type="#_x0000_t202" style="position:absolute;margin-left:0;margin-top:0;width:425.2pt;height:75.85pt;z-index:251658240;visibility:visible;mso-wrap-style:square;mso-width-percent:0;mso-height-percent:0;mso-wrap-distance-left:9pt;mso-wrap-distance-top:3.6pt;mso-wrap-distance-right:9pt;mso-wrap-distance-bottom:3.6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">
                <v:textbox>
                  <w:txbxContent>
                    <w:p w14:paraId="693143A5" w14:textId="77777777" w:rsidR="009541DD" w:rsidRPr="005E6CEC" w:rsidRDefault="009541DD" w:rsidP="00D04549">
                      <w:pPr>
                        <w:pStyle w:val="FirstParagraph"/>
                        <w:spacing w:before="0" w:after="40"/>
                        <w:rPr>
                          <w:rFonts w:asciiTheme="majorHAnsi" w:hAnsiTheme="majorHAnsi" w:cstheme="majorHAnsi"/>
                          <w:lang w:eastAsia="ja-JP"/>
                        </w:rPr>
                      </w:pPr>
                      <w:r w:rsidRPr="005E6CEC">
                        <w:rPr>
                          <w:rFonts w:asciiTheme="majorHAnsi" w:hAnsiTheme="majorHAnsi" w:cstheme="majorHAnsi"/>
                          <w:lang w:eastAsia="ja-JP"/>
                        </w:rPr>
                        <w:t>Note</w:t>
                      </w:r>
                    </w:p>
                    <w:p w14:paraId="21FD1258" w14:textId="77777777" w:rsidR="009541DD" w:rsidRDefault="009541DD" w:rsidP="009541DD">
                      <w:pPr>
                        <w:pStyle w:val="FirstParagraph"/>
                        <w:spacing w:before="0" w:after="240"/>
                      </w:pPr>
                      <w:r w:rsidRPr="004A7621">
                        <w:rPr>
                          <w:rFonts w:cstheme="minorHAnsi"/>
                        </w:rPr>
                        <w:t>All facts, figures, and sources in this simulation are fictionalized for educational purposes.</w:t>
                      </w:r>
                      <w:r w:rsidRPr="004A7621">
                        <w:t xml:space="preserve"> They are designed to resemble realistic business data and to help students practice assessing credibility, reliability, and logical reasoning.</w:t>
                      </w:r>
                    </w:p>
                  </w:txbxContent>
                </v:textbox>
                <w10:wrap type="square" anchorx="margin" anchory="margin"/>
              </v:shape>
            </w:pict>
          </mc:Fallback>
        </mc:AlternateContent>
      </w:r>
      <w:bookmarkStart w:id="1" w:name="role-a-managing-director-chair"/>
      <w:bookmarkStart w:id="2" w:name="roles"/>
      <w:bookmarkEnd w:id="0"/>
    </w:p>
    <w:p w14:paraId="40048739" w14:textId="77777777" w:rsidR="004A4EF2" w:rsidRPr="004A4EF2" w:rsidRDefault="004A4EF2" w:rsidP="004A7621">
      <w:pPr>
        <w:spacing w:after="0"/>
        <w:sectPr w:rsidR="004A4EF2" w:rsidRPr="004A4EF2" w:rsidSect="004A4EF2">
          <w:footnotePr>
            <w:numRestart w:val="eachSect"/>
          </w:footnotePr>
          <w:pgSz w:w="11907" w:h="16840" w:code="9"/>
          <w:pgMar w:top="1985" w:right="1701" w:bottom="1701" w:left="1701" w:header="720" w:footer="720" w:gutter="0"/>
          <w:cols w:space="720"/>
        </w:sectPr>
      </w:pPr>
    </w:p>
    <w:p w14:paraId="4958A02F" w14:textId="77777777" w:rsidR="0009423F" w:rsidRDefault="0086289D" w:rsidP="0086289D">
      <w:pPr>
        <w:pStyle w:val="Heading2"/>
        <w:spacing w:before="0"/>
        <w:sectPr w:rsidR="0009423F" w:rsidSect="00D72846">
          <w:footnotePr>
            <w:numRestart w:val="eachSect"/>
          </w:footnotePr>
          <w:pgSz w:w="11907" w:h="16840" w:code="9"/>
          <w:pgMar w:top="1985" w:right="1701" w:bottom="1701" w:left="1701" w:header="720" w:footer="720" w:gutter="0"/>
          <w:cols w:space="720"/>
        </w:sectPr>
      </w:pPr>
      <w:r w:rsidRPr="0009423F">
        <w:lastRenderedPageBreak/>
        <w:t>Role A: Managing Director (Chair)</w:t>
      </w:r>
    </w:p>
    <w:p w14:paraId="5A5255A7" w14:textId="77777777" w:rsidR="00F322F7" w:rsidRDefault="0086289D" w:rsidP="00D52C88">
      <w:pPr>
        <w:pStyle w:val="FirstParagraph"/>
        <w:spacing w:before="0" w:after="240"/>
      </w:pPr>
      <w:r w:rsidRPr="0009423F">
        <w:t xml:space="preserve">You are chairing the meeting and must guide the discussion toward a decision today. Your main goal is to ensure Bosch maintains profitability while protecting its brand image. You are under pressure from headquarters in Germany to reduce production costs by at least 10% by Q4, but you are also responsible for upholding Bosch’s sustainability commitments. </w:t>
      </w:r>
    </w:p>
    <w:p w14:paraId="66881CF5" w14:textId="4420D09B" w:rsidR="004A7621" w:rsidRPr="0009423F" w:rsidRDefault="0086289D" w:rsidP="00D52C88">
      <w:pPr>
        <w:pStyle w:val="FirstParagraph"/>
        <w:spacing w:before="0" w:after="240"/>
      </w:pPr>
      <w:r w:rsidRPr="0009423F">
        <w:t>Global media attention on corporate ESG compliance has been increasing — in 2023, 78% of Japanese consumers said they would stop buying from a company linked to unethical suppliers (Nikkei survey).</w:t>
      </w:r>
      <w:r w:rsidR="009209D0">
        <w:rPr>
          <w:rFonts w:ascii="Segoe UI Semibold" w:hAnsi="Segoe UI Semibold"/>
        </w:rPr>
        <w:br w:type="column"/>
      </w:r>
      <w:r w:rsidRPr="0009423F">
        <w:rPr>
          <w:rFonts w:ascii="Segoe UI Semibold" w:hAnsi="Segoe UI Semibold"/>
        </w:rPr>
        <w:t>Evidence you can use:</w:t>
      </w:r>
      <w:r w:rsidRPr="0009423F">
        <w:t xml:space="preserve"> Bosch’s 2024 Annual Report highlights a 9% profit margin target for its EV division. Any supply change that lowers production costs by more than 5% could significantly support this goal.</w:t>
      </w:r>
    </w:p>
    <w:p w14:paraId="6805FFE4" w14:textId="62679AB1" w:rsidR="0009423F" w:rsidRDefault="0086289D" w:rsidP="00D52C88">
      <w:pPr>
        <w:pStyle w:val="FirstParagraph"/>
        <w:spacing w:before="0" w:after="240"/>
        <w:sectPr w:rsidR="0009423F" w:rsidSect="00D72846">
          <w:footnotePr>
            <w:numRestart w:val="eachSect"/>
          </w:footnotePr>
          <w:type w:val="continuous"/>
          <w:pgSz w:w="11907" w:h="16840" w:code="9"/>
          <w:pgMar w:top="1985" w:right="1701" w:bottom="1701" w:left="1701" w:header="720" w:footer="720" w:gutter="0"/>
          <w:cols w:num="2" w:space="567"/>
        </w:sectPr>
      </w:pPr>
      <w:r w:rsidRPr="0009423F">
        <w:rPr>
          <w:rFonts w:asciiTheme="majorHAnsi" w:hAnsiTheme="majorHAnsi" w:cstheme="majorHAnsi"/>
        </w:rPr>
        <w:t>Personal view</w:t>
      </w:r>
      <w:r w:rsidRPr="0009423F">
        <w:t>: You prefer to make decisions based on data and risk analysis. You are concerned about long-term reputation and compliance, but you must also meet financial targe</w:t>
      </w:r>
    </w:p>
    <w:bookmarkStart w:id="3" w:name="_Hlk211594133"/>
    <w:bookmarkStart w:id="4" w:name="role-b-purchasing-manager"/>
    <w:bookmarkEnd w:id="1"/>
    <w:p w14:paraId="408E85FE" w14:textId="4BE691F4" w:rsidR="00D52C88" w:rsidRPr="0009423F" w:rsidRDefault="00CA3048" w:rsidP="00325DA5">
      <w:pPr>
        <w:snapToGrid w:val="0"/>
        <w:spacing w:before="800" w:after="800"/>
        <w:rPr>
          <w:rFonts w:ascii="Segoe UI" w:hAnsi="Segoe UI" w:cs="Segoe UI"/>
          <w:sz w:val="20"/>
          <w:szCs w:val="20"/>
        </w:rPr>
      </w:pPr>
      <w:r>
        <w:rPr>
          <w:noProof/>
          <w:szCs w:val="24"/>
        </w:rPr>
        <mc:AlternateContent>
          <mc:Choice Requires="wps">
            <w:drawing>
              <wp:anchor distT="0" distB="0" distL="114300" distR="114300" simplePos="0" relativeHeight="251659264" behindDoc="1" locked="0" layoutInCell="1" allowOverlap="1" wp14:anchorId="7109ABEB" wp14:editId="45042AB1">
                <wp:simplePos x="0" y="0"/>
                <wp:positionH relativeFrom="page">
                  <wp:posOffset>360045</wp:posOffset>
                </wp:positionH>
                <wp:positionV relativeFrom="paragraph">
                  <wp:posOffset>513715</wp:posOffset>
                </wp:positionV>
                <wp:extent cx="6840220" cy="0"/>
                <wp:effectExtent l="7620" t="10160" r="10160" b="8890"/>
                <wp:wrapThrough wrapText="bothSides">
                  <wp:wrapPolygon edited="0">
                    <wp:start x="0" y="-2147483648"/>
                    <wp:lineTo x="0" y="-2147483648"/>
                    <wp:lineTo x="646" y="-2147483648"/>
                    <wp:lineTo x="646" y="-2147483648"/>
                    <wp:lineTo x="0" y="-2147483648"/>
                  </wp:wrapPolygon>
                </wp:wrapThrough>
                <wp:docPr id="12168581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chemeClr val="dk1">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38D3F1" id="Line 4"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8.35pt,40.45pt" to="566.9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" strokecolor="black [3200]" strokeweight="1pt">
                <v:stroke dashstyle="dash" joinstyle="miter"/>
                <w10:wrap type="through" anchorx="page"/>
              </v:line>
            </w:pict>
          </mc:Fallback>
        </mc:AlternateContent>
      </w:r>
    </w:p>
    <w:bookmarkEnd w:id="3"/>
    <w:p w14:paraId="4936BF58" w14:textId="77777777" w:rsidR="0009423F" w:rsidRDefault="0086289D" w:rsidP="00F73A89">
      <w:pPr>
        <w:pStyle w:val="Heading2"/>
        <w:sectPr w:rsidR="0009423F" w:rsidSect="00D72846">
          <w:footnotePr>
            <w:numRestart w:val="eachSect"/>
          </w:footnotePr>
          <w:type w:val="continuous"/>
          <w:pgSz w:w="11907" w:h="16840" w:code="9"/>
          <w:pgMar w:top="1985" w:right="1701" w:bottom="1701" w:left="1701" w:header="720" w:footer="720" w:gutter="0"/>
          <w:cols w:space="720"/>
        </w:sectPr>
      </w:pPr>
      <w:r w:rsidRPr="0009423F">
        <w:t>Role B: Purchasing Manager</w:t>
      </w:r>
    </w:p>
    <w:p w14:paraId="63278636" w14:textId="77777777" w:rsidR="004A7621" w:rsidRPr="0009423F" w:rsidRDefault="0086289D" w:rsidP="00D52C88">
      <w:pPr>
        <w:pStyle w:val="FirstParagraph"/>
        <w:spacing w:before="0" w:after="240"/>
      </w:pPr>
      <w:r w:rsidRPr="0009423F">
        <w:t>Your role is to manage supplier contracts and cost efficiency. You have verified that the Southeast Asian supplier can meet all technical and logistical requirements and deliver on time. The supplier’s price per battery module is ¥27,000, compared to ¥40,000 from the European partner — a cost reduction of nearly 33%. The cost savings could reach ¥1.2 billion per year across all production lines.</w:t>
      </w:r>
    </w:p>
    <w:p w14:paraId="60C78160" w14:textId="77777777" w:rsidR="002D103B" w:rsidRDefault="0086289D" w:rsidP="00D52C88">
      <w:pPr>
        <w:pStyle w:val="FirstParagraph"/>
        <w:spacing w:before="0" w:after="240"/>
        <w:rPr>
          <w:lang w:eastAsia="ja-JP"/>
        </w:rPr>
      </w:pPr>
      <w:r w:rsidRPr="0009423F">
        <w:t xml:space="preserve">You argue that Bosch cannot stay competitive in the EV market if it continues to pay European prices, </w:t>
      </w:r>
      <w:r w:rsidRPr="0009423F">
        <w:t>especially with strong competition from China and Korea.</w:t>
      </w:r>
      <w:r w:rsidR="002D103B">
        <w:rPr>
          <w:rFonts w:hint="eastAsia"/>
          <w:lang w:eastAsia="ja-JP"/>
        </w:rPr>
        <w:t xml:space="preserve"> </w:t>
      </w:r>
    </w:p>
    <w:p w14:paraId="1283949D" w14:textId="5CD48A39" w:rsidR="004A7621" w:rsidRPr="0009423F" w:rsidRDefault="0086289D" w:rsidP="00D52C88">
      <w:pPr>
        <w:pStyle w:val="FirstParagraph"/>
        <w:spacing w:before="0" w:after="240"/>
      </w:pPr>
      <w:r w:rsidRPr="0009423F">
        <w:rPr>
          <w:rFonts w:ascii="Segoe UI Semibold" w:hAnsi="Segoe UI Semibold"/>
        </w:rPr>
        <w:t>Evidence you can use:</w:t>
      </w:r>
      <w:r w:rsidRPr="0009423F">
        <w:t xml:space="preserve"> Bloomberg data shows lithium-ion battery prices have fallen 14% globally in 2024, yet Bosch’s current supplier has raised costs.</w:t>
      </w:r>
    </w:p>
    <w:p w14:paraId="56C1A244" w14:textId="5D7AF0C1" w:rsidR="00325DA5" w:rsidRDefault="0086289D" w:rsidP="00325DA5">
      <w:pPr>
        <w:pStyle w:val="FirstParagraph"/>
        <w:spacing w:before="0" w:after="240"/>
      </w:pPr>
      <w:r w:rsidRPr="0009423F">
        <w:rPr>
          <w:rFonts w:ascii="Segoe UI Semibold" w:hAnsi="Segoe UI Semibold"/>
        </w:rPr>
        <w:t>Additional info:</w:t>
      </w:r>
      <w:r w:rsidRPr="0009423F">
        <w:t xml:space="preserve"> You believe ESG risks can be managed through regular audits and clear supplier contracts with penalties for violations. You have prepared a draft 12-month monitoring plan.</w:t>
      </w:r>
    </w:p>
    <w:p w14:paraId="545773ED" w14:textId="77777777" w:rsidR="00325DA5" w:rsidRPr="00325DA5" w:rsidRDefault="00325DA5" w:rsidP="00325DA5">
      <w:pPr>
        <w:sectPr w:rsidR="00325DA5" w:rsidRPr="00325DA5" w:rsidSect="00D72846">
          <w:footnotePr>
            <w:numRestart w:val="eachSect"/>
          </w:footnotePr>
          <w:type w:val="continuous"/>
          <w:pgSz w:w="11907" w:h="16840" w:code="9"/>
          <w:pgMar w:top="1985" w:right="1701" w:bottom="1701" w:left="1701" w:header="720" w:footer="720" w:gutter="0"/>
          <w:cols w:num="2" w:space="567"/>
        </w:sectPr>
      </w:pPr>
    </w:p>
    <w:p w14:paraId="6F9DF24B" w14:textId="3BCC1CB5" w:rsidR="0009423F" w:rsidRDefault="0009423F">
      <w:bookmarkStart w:id="5" w:name="role-c-sustainability-officer"/>
      <w:bookmarkEnd w:id="4"/>
      <w:r>
        <w:br w:type="page"/>
      </w:r>
    </w:p>
    <w:p w14:paraId="12349C48" w14:textId="075C29EF" w:rsidR="00893C39" w:rsidRDefault="0086289D" w:rsidP="00F73A89">
      <w:pPr>
        <w:pStyle w:val="Heading2"/>
      </w:pPr>
      <w:r w:rsidRPr="0009423F">
        <w:lastRenderedPageBreak/>
        <w:t>Role</w:t>
      </w:r>
      <w:r w:rsidR="00893C39">
        <w:rPr>
          <w:rFonts w:hint="eastAsia"/>
        </w:rPr>
        <w:t xml:space="preserve"> </w:t>
      </w:r>
      <w:r w:rsidRPr="0009423F">
        <w:t>C: Sustainability</w:t>
      </w:r>
      <w:r w:rsidR="00893C39">
        <w:rPr>
          <w:rFonts w:hint="eastAsia"/>
        </w:rPr>
        <w:t xml:space="preserve"> </w:t>
      </w:r>
      <w:r w:rsidRPr="0009423F">
        <w:t>Officer</w:t>
      </w:r>
    </w:p>
    <w:p w14:paraId="70107B02" w14:textId="77777777" w:rsidR="00893C39" w:rsidRPr="00893C39" w:rsidRDefault="00893C39" w:rsidP="00893C39">
      <w:pPr>
        <w:sectPr w:rsidR="00893C39" w:rsidRPr="00893C39" w:rsidSect="00893C39">
          <w:footnotePr>
            <w:numRestart w:val="eachSect"/>
          </w:footnotePr>
          <w:type w:val="continuous"/>
          <w:pgSz w:w="11907" w:h="16840" w:code="9"/>
          <w:pgMar w:top="1985" w:right="1701" w:bottom="1701" w:left="1701" w:header="720" w:footer="720" w:gutter="0"/>
          <w:cols w:space="567"/>
        </w:sectPr>
      </w:pPr>
    </w:p>
    <w:p w14:paraId="5BD2C11A" w14:textId="77777777" w:rsidR="009209D0" w:rsidRDefault="0086289D" w:rsidP="00893C39">
      <w:r w:rsidRPr="0009423F">
        <w:t xml:space="preserve">You are responsible for ensuring all operations comply with Bosch’s global ESG policy. You are alarmed by reports from an NGO indicating that the Southeast Asian supplier’s factory emits 30% more CO₂ per unit than industry standards and that its subcontractors have been cited for poor worker safety. </w:t>
      </w:r>
    </w:p>
    <w:p w14:paraId="26C1B383" w14:textId="6E1FFA50" w:rsidR="00893C39" w:rsidRDefault="0086289D" w:rsidP="00893C39">
      <w:r w:rsidRPr="0009423F">
        <w:t>Bosch’s global sustainability report is due in three months, and any negative findings could have serious reputational consequences.</w:t>
      </w:r>
    </w:p>
    <w:p w14:paraId="26267587" w14:textId="47CD36F2" w:rsidR="004A7621" w:rsidRPr="0009423F" w:rsidRDefault="0086289D" w:rsidP="00893C39">
      <w:r w:rsidRPr="0009423F">
        <w:rPr>
          <w:rFonts w:ascii="Segoe UI Semibold" w:hAnsi="Segoe UI Semibold"/>
        </w:rPr>
        <w:t>Evidence you can use:</w:t>
      </w:r>
      <w:r w:rsidRPr="0009423F">
        <w:t xml:space="preserve"> Bosch has pledged to achieve carbon neutrality (Scope 1 &amp; 2) by 2030 and a 15% reduction in Scope 3 emissions by 2027. Partnering with a non-compliant supplier could put these targets at risk.</w:t>
      </w:r>
    </w:p>
    <w:p w14:paraId="76C447E2" w14:textId="77777777" w:rsidR="0009423F" w:rsidRDefault="0086289D" w:rsidP="00D52C88">
      <w:pPr>
        <w:pStyle w:val="FirstParagraph"/>
        <w:spacing w:before="0" w:after="240"/>
        <w:sectPr w:rsidR="0009423F" w:rsidSect="00D72846">
          <w:footnotePr>
            <w:numRestart w:val="eachSect"/>
          </w:footnotePr>
          <w:type w:val="continuous"/>
          <w:pgSz w:w="11907" w:h="16840" w:code="9"/>
          <w:pgMar w:top="1985" w:right="1701" w:bottom="1701" w:left="1701" w:header="720" w:footer="720" w:gutter="0"/>
          <w:cols w:num="2" w:space="567"/>
        </w:sectPr>
      </w:pPr>
      <w:r w:rsidRPr="0009423F">
        <w:rPr>
          <w:rFonts w:ascii="Segoe UI Semibold" w:hAnsi="Segoe UI Semibold"/>
        </w:rPr>
        <w:t>Additional info:</w:t>
      </w:r>
      <w:r w:rsidRPr="0009423F">
        <w:t xml:space="preserve"> You believe customers and investors increasingly prioritize ethical production — a 2023 Deloitte survey showed that 65% of global investors consider ESG performance a key factor in long-term company value.</w:t>
      </w:r>
    </w:p>
    <w:bookmarkStart w:id="6" w:name="role-d-legal-counsel"/>
    <w:bookmarkEnd w:id="5"/>
    <w:p w14:paraId="67970930" w14:textId="18AEC634" w:rsidR="00325DA5" w:rsidRPr="0009423F" w:rsidRDefault="00CA3048" w:rsidP="00325DA5">
      <w:pPr>
        <w:snapToGrid w:val="0"/>
        <w:spacing w:before="800" w:after="800"/>
        <w:rPr>
          <w:rFonts w:ascii="Segoe UI" w:hAnsi="Segoe UI" w:cs="Segoe UI"/>
          <w:sz w:val="20"/>
          <w:szCs w:val="20"/>
        </w:rPr>
      </w:pPr>
      <w:r>
        <w:rPr>
          <w:noProof/>
          <w:szCs w:val="24"/>
        </w:rPr>
        <mc:AlternateContent>
          <mc:Choice Requires="wps">
            <w:drawing>
              <wp:anchor distT="0" distB="0" distL="114300" distR="114300" simplePos="0" relativeHeight="251661312" behindDoc="1" locked="0" layoutInCell="1" allowOverlap="1" wp14:anchorId="50730516" wp14:editId="726E9DF5">
                <wp:simplePos x="0" y="0"/>
                <wp:positionH relativeFrom="page">
                  <wp:posOffset>360045</wp:posOffset>
                </wp:positionH>
                <wp:positionV relativeFrom="paragraph">
                  <wp:posOffset>513715</wp:posOffset>
                </wp:positionV>
                <wp:extent cx="6840220" cy="0"/>
                <wp:effectExtent l="7620" t="15240" r="10160" b="13335"/>
                <wp:wrapThrough wrapText="bothSides">
                  <wp:wrapPolygon edited="0">
                    <wp:start x="0" y="-2147483648"/>
                    <wp:lineTo x="0" y="-2147483648"/>
                    <wp:lineTo x="646" y="-2147483648"/>
                    <wp:lineTo x="646" y="-2147483648"/>
                    <wp:lineTo x="0" y="-2147483648"/>
                  </wp:wrapPolygon>
                </wp:wrapThrough>
                <wp:docPr id="50187821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chemeClr val="dk1">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5A6A7A" id="Line 8"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8.35pt,40.45pt" to="566.9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" strokecolor="black [3200]" strokeweight="1pt">
                <v:stroke dashstyle="dash" joinstyle="miter"/>
                <w10:wrap type="through" anchorx="page"/>
              </v:line>
            </w:pict>
          </mc:Fallback>
        </mc:AlternateContent>
      </w:r>
    </w:p>
    <w:p w14:paraId="29012715" w14:textId="77777777" w:rsidR="0009423F" w:rsidRDefault="0086289D" w:rsidP="00F73A89">
      <w:pPr>
        <w:pStyle w:val="Heading2"/>
        <w:sectPr w:rsidR="0009423F" w:rsidSect="00D72846">
          <w:footnotePr>
            <w:numRestart w:val="eachSect"/>
          </w:footnotePr>
          <w:type w:val="continuous"/>
          <w:pgSz w:w="11907" w:h="16840" w:code="9"/>
          <w:pgMar w:top="1985" w:right="1701" w:bottom="1701" w:left="1701" w:header="720" w:footer="720" w:gutter="0"/>
          <w:cols w:space="720"/>
        </w:sectPr>
      </w:pPr>
      <w:r w:rsidRPr="0009423F">
        <w:t>Role D: Legal Counsel</w:t>
      </w:r>
    </w:p>
    <w:p w14:paraId="6CAC371B" w14:textId="77777777" w:rsidR="00F322F7" w:rsidRDefault="0086289D" w:rsidP="00D52C88">
      <w:pPr>
        <w:pStyle w:val="FirstParagraph"/>
        <w:spacing w:before="0" w:after="240"/>
      </w:pPr>
      <w:r w:rsidRPr="0009423F">
        <w:t xml:space="preserve">Your responsibility is to evaluate the legal and compliance risks. If Bosch knowingly contracts a supplier that violates labor or environmental regulations, it could face fines, lawsuits, and international trade restrictions. </w:t>
      </w:r>
    </w:p>
    <w:p w14:paraId="7D8AF826" w14:textId="7782B6D0" w:rsidR="004A7621" w:rsidRPr="0009423F" w:rsidRDefault="0086289D" w:rsidP="00D52C88">
      <w:pPr>
        <w:pStyle w:val="FirstParagraph"/>
        <w:spacing w:before="0" w:after="240"/>
      </w:pPr>
      <w:r w:rsidRPr="0009423F">
        <w:t>You also know that the EU Corporate Sustainability Due Diligence Directive (CSDDD) will come into effect in 2026, requiring full supply chain transparency for all companies operating in the EU.</w:t>
      </w:r>
    </w:p>
    <w:p w14:paraId="6B152963" w14:textId="77777777" w:rsidR="004A7621" w:rsidRPr="0009423F" w:rsidRDefault="0086289D" w:rsidP="00D52C88">
      <w:pPr>
        <w:pStyle w:val="FirstParagraph"/>
        <w:spacing w:before="0" w:after="240"/>
      </w:pPr>
      <w:r w:rsidRPr="0009423F">
        <w:rPr>
          <w:rFonts w:ascii="Segoe UI Semibold" w:hAnsi="Segoe UI Semibold"/>
        </w:rPr>
        <w:t>Evidence you can use:</w:t>
      </w:r>
      <w:r w:rsidRPr="0009423F">
        <w:t xml:space="preserve"> Non-compliance penalties under similar EU laws can reach up to 5% of global annual turnover. The Southeast Asian supplier’s emissions reports lack third-party verification, which would be required under these regulations.</w:t>
      </w:r>
    </w:p>
    <w:p w14:paraId="2C452167" w14:textId="77777777" w:rsidR="0009423F" w:rsidRDefault="0086289D" w:rsidP="00D52C88">
      <w:pPr>
        <w:pStyle w:val="FirstParagraph"/>
        <w:spacing w:before="0" w:after="240"/>
        <w:sectPr w:rsidR="0009423F" w:rsidSect="00D72846">
          <w:footnotePr>
            <w:numRestart w:val="eachSect"/>
          </w:footnotePr>
          <w:type w:val="continuous"/>
          <w:pgSz w:w="11907" w:h="16840" w:code="9"/>
          <w:pgMar w:top="1985" w:right="1701" w:bottom="1701" w:left="1701" w:header="720" w:footer="720" w:gutter="0"/>
          <w:cols w:num="2" w:space="567"/>
        </w:sectPr>
      </w:pPr>
      <w:r w:rsidRPr="0009423F">
        <w:rPr>
          <w:rFonts w:ascii="Segoe UI Semibold" w:hAnsi="Segoe UI Semibold"/>
        </w:rPr>
        <w:t>Additional info:</w:t>
      </w:r>
      <w:r w:rsidRPr="0009423F">
        <w:t xml:space="preserve"> If Bosch signs a contract now and problems arise later, the company may be held liable for failing to perform adequate due diligence, even if violations occur abroad.</w:t>
      </w:r>
    </w:p>
    <w:p w14:paraId="55C479D6" w14:textId="77777777" w:rsidR="0009423F" w:rsidRDefault="0009423F" w:rsidP="009209D0">
      <w:bookmarkStart w:id="7" w:name="role-e-pr-communications-manager"/>
      <w:bookmarkEnd w:id="6"/>
      <w:r>
        <w:br w:type="page"/>
      </w:r>
    </w:p>
    <w:p w14:paraId="731F3EE9" w14:textId="39BC41AC" w:rsidR="0009423F" w:rsidRDefault="0086289D" w:rsidP="00F73A89">
      <w:pPr>
        <w:pStyle w:val="Heading2"/>
        <w:sectPr w:rsidR="0009423F" w:rsidSect="00D72846">
          <w:footnotePr>
            <w:numRestart w:val="eachSect"/>
          </w:footnotePr>
          <w:type w:val="continuous"/>
          <w:pgSz w:w="11907" w:h="16840" w:code="9"/>
          <w:pgMar w:top="1985" w:right="1701" w:bottom="1701" w:left="1701" w:header="720" w:footer="720" w:gutter="0"/>
          <w:cols w:space="720"/>
        </w:sectPr>
      </w:pPr>
      <w:r w:rsidRPr="0009423F">
        <w:lastRenderedPageBreak/>
        <w:t xml:space="preserve">Role E: </w:t>
      </w:r>
      <w:r w:rsidR="003C08F7">
        <w:rPr>
          <w:rFonts w:hint="eastAsia"/>
        </w:rPr>
        <w:t>Customer Sales</w:t>
      </w:r>
      <w:r w:rsidRPr="0009423F">
        <w:t xml:space="preserve"> Manager</w:t>
      </w:r>
    </w:p>
    <w:p w14:paraId="77A564C4" w14:textId="77777777" w:rsidR="003C08F7" w:rsidRDefault="003C08F7" w:rsidP="003C08F7">
      <w:r>
        <w:t>You manage relationships with Bosch’s main automotive OEM customers in Japan. If Bosch changes the battery supplier, you must coordinate with customers, since this could affect their production and quality control. You often balance internal cost goals with customer expectations.</w:t>
      </w:r>
    </w:p>
    <w:p w14:paraId="30578362" w14:textId="77777777" w:rsidR="003C08F7" w:rsidRDefault="003C08F7" w:rsidP="003C08F7">
      <w:r>
        <w:t>Main concerns: Maintaining customer trust, preventing production delays, and giving clear explanations for any supplier change.</w:t>
      </w:r>
    </w:p>
    <w:p w14:paraId="53C5500E" w14:textId="0126A2C0" w:rsidR="003C08F7" w:rsidRDefault="003C08F7" w:rsidP="003C08F7">
      <w:r>
        <w:br w:type="column"/>
      </w:r>
      <w:r w:rsidRPr="003C08F7">
        <w:rPr>
          <w:rFonts w:ascii="Segoe UI Semibold" w:hAnsi="Segoe UI Semibold"/>
        </w:rPr>
        <w:t>Evidence</w:t>
      </w:r>
      <w:r w:rsidRPr="003C08F7">
        <w:rPr>
          <w:rFonts w:ascii="Segoe UI Semibold" w:hAnsi="Segoe UI Semibold" w:hint="eastAsia"/>
        </w:rPr>
        <w:t xml:space="preserve"> you can use</w:t>
      </w:r>
      <w:r>
        <w:t>: Japanese OEM customers increasingly value ethical sourcing—72% of automotive buyers say ESG factors influence their decisions (Dentsu Research, 2024). But they also demand stability and consistent quality.</w:t>
      </w:r>
    </w:p>
    <w:p w14:paraId="4B467B98" w14:textId="77777777" w:rsidR="003C08F7" w:rsidRDefault="003C08F7" w:rsidP="003C08F7">
      <w:r w:rsidRPr="001E7F2E">
        <w:rPr>
          <w:rFonts w:ascii="Segoe UI Semibold" w:hAnsi="Segoe UI Semibold"/>
        </w:rPr>
        <w:t>Additional info</w:t>
      </w:r>
      <w:r>
        <w:t>: Customers will likely need formal documentation and testing approval before accepting a new supplier.</w:t>
      </w:r>
    </w:p>
    <w:p w14:paraId="44465ED6" w14:textId="539D0E9D" w:rsidR="003C08F7" w:rsidRDefault="003C08F7" w:rsidP="003C08F7">
      <w:r w:rsidRPr="001E7F2E">
        <w:rPr>
          <w:rFonts w:ascii="Segoe UI Semibold" w:hAnsi="Segoe UI Semibold"/>
        </w:rPr>
        <w:t>Personal view</w:t>
      </w:r>
      <w:r>
        <w:t>: The supplier must cut costs while maintaining Bosch’s reliability and customer confidence. You prefer a cautious approach that protects long-term relationships.</w:t>
      </w:r>
    </w:p>
    <w:p w14:paraId="10BD7053" w14:textId="77777777" w:rsidR="003C08F7" w:rsidRDefault="003C08F7" w:rsidP="00221F09">
      <w:pPr>
        <w:sectPr w:rsidR="003C08F7" w:rsidSect="00D72846">
          <w:footnotePr>
            <w:numRestart w:val="eachSect"/>
          </w:footnotePr>
          <w:type w:val="continuous"/>
          <w:pgSz w:w="11907" w:h="16840" w:code="9"/>
          <w:pgMar w:top="1985" w:right="1701" w:bottom="1701" w:left="1701" w:header="720" w:footer="720" w:gutter="0"/>
          <w:cols w:num="2" w:space="567"/>
        </w:sectPr>
      </w:pPr>
    </w:p>
    <w:bookmarkStart w:id="8" w:name="role-f-head-of-rd-technical-expert"/>
    <w:bookmarkEnd w:id="7"/>
    <w:p w14:paraId="0806F73F" w14:textId="3F07ADC7" w:rsidR="00325DA5" w:rsidRPr="0009423F" w:rsidRDefault="00CA3048" w:rsidP="00325DA5">
      <w:pPr>
        <w:snapToGrid w:val="0"/>
        <w:spacing w:before="800" w:after="800"/>
        <w:rPr>
          <w:rFonts w:ascii="Segoe UI" w:hAnsi="Segoe UI" w:cs="Segoe UI"/>
          <w:sz w:val="20"/>
          <w:szCs w:val="20"/>
        </w:rPr>
      </w:pPr>
      <w:r>
        <w:rPr>
          <w:noProof/>
          <w:szCs w:val="24"/>
        </w:rPr>
        <mc:AlternateContent>
          <mc:Choice Requires="wps">
            <w:drawing>
              <wp:anchor distT="0" distB="0" distL="114300" distR="114300" simplePos="0" relativeHeight="251663360" behindDoc="1" locked="0" layoutInCell="1" allowOverlap="1" wp14:anchorId="71D4B3E9" wp14:editId="6249A9E5">
                <wp:simplePos x="0" y="0"/>
                <wp:positionH relativeFrom="page">
                  <wp:posOffset>360045</wp:posOffset>
                </wp:positionH>
                <wp:positionV relativeFrom="paragraph">
                  <wp:posOffset>513715</wp:posOffset>
                </wp:positionV>
                <wp:extent cx="6840220" cy="0"/>
                <wp:effectExtent l="7620" t="8890" r="10160" b="10160"/>
                <wp:wrapThrough wrapText="bothSides">
                  <wp:wrapPolygon edited="0">
                    <wp:start x="0" y="-2147483648"/>
                    <wp:lineTo x="0" y="-2147483648"/>
                    <wp:lineTo x="646" y="-2147483648"/>
                    <wp:lineTo x="646" y="-2147483648"/>
                    <wp:lineTo x="0" y="-2147483648"/>
                  </wp:wrapPolygon>
                </wp:wrapThrough>
                <wp:docPr id="107967130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chemeClr val="dk1">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18C01F" id="Line 9"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8.35pt,40.45pt" to="566.9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" strokecolor="black [3200]" strokeweight="1pt">
                <v:stroke dashstyle="dash" joinstyle="miter"/>
                <w10:wrap type="through" anchorx="page"/>
              </v:line>
            </w:pict>
          </mc:Fallback>
        </mc:AlternateContent>
      </w:r>
    </w:p>
    <w:p w14:paraId="4E8AE769" w14:textId="77777777" w:rsidR="0009423F" w:rsidRPr="00F73A89" w:rsidRDefault="0086289D" w:rsidP="00F73A89">
      <w:pPr>
        <w:pStyle w:val="Heading2"/>
        <w:sectPr w:rsidR="0009423F" w:rsidRPr="00F73A89" w:rsidSect="00D72846">
          <w:footnotePr>
            <w:numRestart w:val="eachSect"/>
          </w:footnotePr>
          <w:type w:val="continuous"/>
          <w:pgSz w:w="11907" w:h="16840" w:code="9"/>
          <w:pgMar w:top="1985" w:right="1701" w:bottom="1701" w:left="1701" w:header="720" w:footer="720" w:gutter="0"/>
          <w:cols w:space="720"/>
        </w:sectPr>
      </w:pPr>
      <w:r w:rsidRPr="00F73A89">
        <w:t>Role F: Head of R&amp;D (Technical Expert)</w:t>
      </w:r>
    </w:p>
    <w:p w14:paraId="0B5CDA71" w14:textId="77777777" w:rsidR="00F322F7" w:rsidRDefault="0086289D" w:rsidP="00D52C88">
      <w:pPr>
        <w:pStyle w:val="FirstParagraph"/>
        <w:spacing w:before="0" w:after="240"/>
      </w:pPr>
      <w:r w:rsidRPr="0009423F">
        <w:t xml:space="preserve">You are responsible for product quality and innovation. Both suppliers meet Bosch’s basic engineering standards, but the European supplier has a 12-year partnership record with Bosch and a 99.2% on-time delivery rate. </w:t>
      </w:r>
    </w:p>
    <w:p w14:paraId="259122C6" w14:textId="2797F348" w:rsidR="004A7621" w:rsidRPr="0009423F" w:rsidRDefault="0086289D" w:rsidP="00D52C88">
      <w:pPr>
        <w:pStyle w:val="FirstParagraph"/>
        <w:spacing w:before="0" w:after="240"/>
      </w:pPr>
      <w:r w:rsidRPr="0009423F">
        <w:t>Their failure rate per batch is below 0.3%, compared to the Southeast Asian supplier’s trial rate of 2.1%.</w:t>
      </w:r>
    </w:p>
    <w:p w14:paraId="4771D366" w14:textId="6306B178" w:rsidR="004A7621" w:rsidRPr="0009423F" w:rsidRDefault="0009423F" w:rsidP="00D52C88">
      <w:pPr>
        <w:pStyle w:val="FirstParagraph"/>
        <w:spacing w:before="0" w:after="240"/>
      </w:pPr>
      <w:r>
        <w:rPr>
          <w:rFonts w:ascii="Segoe UI Semibold" w:hAnsi="Segoe UI Semibold"/>
        </w:rPr>
        <w:br w:type="column"/>
      </w:r>
      <w:r w:rsidRPr="0009423F">
        <w:rPr>
          <w:rFonts w:ascii="Segoe UI Semibold" w:hAnsi="Segoe UI Semibold"/>
        </w:rPr>
        <w:t>Evidence you can use:</w:t>
      </w:r>
      <w:r w:rsidRPr="0009423F">
        <w:t xml:space="preserve"> Delays or quality issues could add ¥300 million in warranty and recall costs if products fail in the market.</w:t>
      </w:r>
    </w:p>
    <w:p w14:paraId="41DC7705" w14:textId="77777777" w:rsidR="0009423F" w:rsidRDefault="0086289D" w:rsidP="00D52C88">
      <w:pPr>
        <w:pStyle w:val="FirstParagraph"/>
        <w:spacing w:before="0" w:after="240"/>
        <w:sectPr w:rsidR="0009423F" w:rsidSect="00D72846">
          <w:footnotePr>
            <w:numRestart w:val="eachSect"/>
          </w:footnotePr>
          <w:type w:val="continuous"/>
          <w:pgSz w:w="11907" w:h="16840" w:code="9"/>
          <w:pgMar w:top="1985" w:right="1701" w:bottom="1701" w:left="1701" w:header="720" w:footer="720" w:gutter="0"/>
          <w:cols w:num="2" w:space="567"/>
        </w:sectPr>
      </w:pPr>
      <w:r w:rsidRPr="0009423F">
        <w:rPr>
          <w:rFonts w:ascii="Segoe UI Semibold" w:hAnsi="Segoe UI Semibold"/>
        </w:rPr>
        <w:t>Additional info:</w:t>
      </w:r>
      <w:r w:rsidRPr="0009423F">
        <w:t xml:space="preserve"> You also know that the European supplier is testing a new recycling process that could reduce production emissions by 10% by 2026 — aligning closely with Bosch’s carbon goals.</w:t>
      </w:r>
    </w:p>
    <w:p w14:paraId="21F84D4E" w14:textId="77777777" w:rsidR="00D52C88" w:rsidRDefault="00D52C88" w:rsidP="0009423F">
      <w:pPr>
        <w:rPr>
          <w:rFonts w:eastAsiaTheme="majorEastAsia" w:cstheme="majorBidi"/>
          <w:color w:val="0F4761" w:themeColor="accent1" w:themeShade="BF"/>
          <w:sz w:val="28"/>
          <w:szCs w:val="28"/>
        </w:rPr>
      </w:pPr>
      <w:bookmarkStart w:id="9" w:name="discussion-goals"/>
      <w:bookmarkEnd w:id="2"/>
      <w:bookmarkEnd w:id="8"/>
      <w:r>
        <w:br w:type="page"/>
      </w:r>
    </w:p>
    <w:p w14:paraId="4AC6C2A2" w14:textId="0B2F3560" w:rsidR="000726A0" w:rsidRDefault="0086289D" w:rsidP="00F73A89">
      <w:pPr>
        <w:pStyle w:val="Heading2"/>
      </w:pPr>
      <w:bookmarkStart w:id="10" w:name="evidence-summary-sheet"/>
      <w:bookmarkEnd w:id="9"/>
      <w:r>
        <w:lastRenderedPageBreak/>
        <w:t>Evidence Summary Sheet</w:t>
      </w:r>
    </w:p>
    <w:p w14:paraId="42903220" w14:textId="27B53A0B" w:rsidR="00ED0C67" w:rsidRDefault="00ED0C67" w:rsidP="00960962">
      <w:pPr>
        <w:spacing w:after="480"/>
        <w:rPr>
          <w:lang w:eastAsia="ja-JP"/>
        </w:rPr>
      </w:pPr>
      <w:bookmarkStart w:id="11" w:name="_Hlk211594214"/>
      <w:r w:rsidRPr="004A7621">
        <w:t>Use this sheet</w:t>
      </w:r>
      <w:r>
        <w:t xml:space="preserve"> after the simulation to review factual evidence, evaluate how it was applied in discussion, and connect data points to the </w:t>
      </w:r>
      <w:r w:rsidR="00373745">
        <w:rPr>
          <w:rFonts w:hint="eastAsia"/>
          <w:lang w:eastAsia="ja-JP"/>
        </w:rPr>
        <w:t>final decision</w:t>
      </w:r>
      <w:r>
        <w:rPr>
          <w:rFonts w:hint="eastAsia"/>
          <w:lang w:eastAsia="ja-JP"/>
        </w:rPr>
        <w:t>.</w:t>
      </w:r>
    </w:p>
    <w:tbl>
      <w:tblPr>
        <w:tblStyle w:val="ListTable3-Accent1"/>
        <w:tblW w:w="5000" w:type="pct"/>
        <w:jc w:val="center"/>
        <w:tblLayout w:type="fixed"/>
        <w:tblCellMar>
          <w:top w:w="113" w:type="dxa"/>
          <w:bottom w:w="113" w:type="dxa"/>
        </w:tblCellMar>
        <w:tblLook w:val="0020" w:firstRow="1" w:lastRow="0" w:firstColumn="0" w:lastColumn="0" w:noHBand="0" w:noVBand="0"/>
      </w:tblPr>
      <w:tblGrid>
        <w:gridCol w:w="1982"/>
        <w:gridCol w:w="4247"/>
        <w:gridCol w:w="2266"/>
        <w:gridCol w:w="2232"/>
      </w:tblGrid>
      <w:tr w:rsidR="000726A0" w14:paraId="78E7F323" w14:textId="77777777" w:rsidTr="002D103B">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300" w:type="dxa"/>
            <w:tcMar>
              <w:top w:w="28" w:type="dxa"/>
              <w:bottom w:w="28" w:type="dxa"/>
            </w:tcMar>
            <w:vAlign w:val="top"/>
            <w:shd w:fill="D9E2F3"/>
          </w:tcPr>
          <w:bookmarkEnd w:id="11"/>
          <w:p w14:paraId="46258CAE" w14:textId="77777777" w:rsidR="000726A0" w:rsidRDefault="0086289D" w:rsidP="00ED0C67">
            <w:pPr>
              <w:spacing w:after="0"/>
            </w:pPr>
            <w:r w:rsidRPr="004A7621">
              <w:rPr>
                <w:rFonts w:ascii="Arial" w:hAnsi="Arial" w:eastAsia="Arial"/>
                <w:b/>
                <w:bCs w:val="0"/>
                <w:sz w:val="16"/>
              </w:rPr>
              <w:t>Category</w:t>
            </w:r>
          </w:p>
        </w:tc>
        <w:tc>
          <w:tcPr>
            <w:tcW w:w="3400" w:type="dxa"/>
            <w:tcMar>
              <w:top w:w="28" w:type="dxa"/>
              <w:bottom w:w="28" w:type="dxa"/>
            </w:tcMar>
            <w:vAlign w:val="top"/>
            <w:shd w:fill="D9E2F3"/>
          </w:tcPr>
          <w:p w14:paraId="2992C229" w14:textId="77777777" w:rsidR="000726A0" w:rsidRDefault="0086289D" w:rsidP="00ED0C67">
            <w:pPr>
              <w:spacing w:after="0"/>
              <w:cnfStyle w:val="100000000000" w:firstRow="1" w:lastRow="0" w:firstColumn="0" w:lastColumn="0" w:oddVBand="0" w:evenVBand="0" w:oddHBand="0" w:evenHBand="0" w:firstRowFirstColumn="0" w:firstRowLastColumn="0" w:lastRowFirstColumn="0" w:lastRowLastColumn="0"/>
            </w:pPr>
            <w:r w:rsidRPr="004A7621">
              <w:rPr>
                <w:rFonts w:ascii="Arial" w:hAnsi="Arial" w:eastAsia="Arial"/>
                <w:b/>
                <w:bCs w:val="0"/>
                <w:sz w:val="16"/>
              </w:rPr>
              <w:t>Fact / Statistic</w:t>
            </w:r>
          </w:p>
        </w:tc>
        <w:tc>
          <w:tcPr>
            <w:cnfStyle w:val="000010000000" w:firstRow="0" w:lastRow="0" w:firstColumn="0" w:lastColumn="0" w:oddVBand="1" w:evenVBand="0" w:oddHBand="0" w:evenHBand="0" w:firstRowFirstColumn="0" w:firstRowLastColumn="0" w:lastRowFirstColumn="0" w:lastRowLastColumn="0"/>
            <w:tcW w:w="2200" w:type="dxa"/>
            <w:tcMar>
              <w:top w:w="28" w:type="dxa"/>
              <w:bottom w:w="28" w:type="dxa"/>
            </w:tcMar>
            <w:vAlign w:val="top"/>
            <w:shd w:fill="D9E2F3"/>
          </w:tcPr>
          <w:p w14:paraId="7E2F554A" w14:textId="77777777" w:rsidR="000726A0" w:rsidRDefault="0086289D" w:rsidP="00ED0C67">
            <w:pPr>
              <w:spacing w:after="0"/>
            </w:pPr>
            <w:r w:rsidRPr="004A7621">
              <w:rPr>
                <w:rFonts w:ascii="Arial" w:hAnsi="Arial" w:eastAsia="Arial"/>
                <w:b/>
                <w:bCs w:val="0"/>
                <w:sz w:val="16"/>
              </w:rPr>
              <w:t>Source or Context</w:t>
            </w:r>
          </w:p>
        </w:tc>
        <w:tc>
          <w:tcPr>
            <w:tcW w:type="dxa" w:w="2200"/>
            <w:vAlign w:val="top"/>
            <w:shd w:fill="D9E2F3"/>
          </w:tcPr>
          <w:p>
            <w:pPr>
              <w:spacing w:after="0"/>
              <w:jc w:val="left"/>
            </w:pPr>
            <w:r/>
            <w:r>
              <w:rPr>
                <w:rFonts w:ascii="Arial" w:hAnsi="Arial" w:eastAsia="Arial"/>
                <w:b/>
                <w:sz w:val="16"/>
              </w:rPr>
              <w:t>Held by before meeting</w:t>
            </w:r>
          </w:p>
        </w:tc>
      </w:tr>
      <w:tr w:rsidR="000726A0" w14:paraId="0464C646" w14:textId="77777777" w:rsidTr="002D10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vAlign w:val="top"/>
          </w:tcPr>
          <w:p w14:paraId="75677E46" w14:textId="77777777" w:rsidR="000726A0" w:rsidRDefault="0086289D" w:rsidP="00ED0C67">
            <w:pPr>
              <w:spacing w:after="0"/>
            </w:pPr>
            <w:r>
              <w:rPr>
                <w:rFonts w:ascii="Arial" w:hAnsi="Arial" w:eastAsia="Arial"/>
                <w:sz w:val="14"/>
              </w:rPr>
              <w:t>Profit target</w:t>
            </w:r>
          </w:p>
        </w:tc>
        <w:tc>
          <w:tcPr>
            <w:tcW w:w="3400" w:type="dxa"/>
            <w:vAlign w:val="top"/>
          </w:tcPr>
          <w:p w14:paraId="1E642750" w14:textId="77777777" w:rsidR="000726A0" w:rsidRDefault="0086289D" w:rsidP="00ED0C67">
            <w:pPr>
              <w:spacing w:after="0"/>
              <w:cnfStyle w:val="000000100000" w:firstRow="0" w:lastRow="0" w:firstColumn="0" w:lastColumn="0" w:oddVBand="0" w:evenVBand="0" w:oddHBand="1" w:evenHBand="0" w:firstRowFirstColumn="0" w:firstRowLastColumn="0" w:lastRowFirstColumn="0" w:lastRowLastColumn="0"/>
            </w:pPr>
            <w:r>
              <w:rPr>
                <w:rFonts w:ascii="Arial" w:hAnsi="Arial" w:eastAsia="Arial"/>
                <w:sz w:val="14"/>
              </w:rPr>
              <w:t xml:space="preserve">Bosch’s 2024 Annual Report shows a </w:t>
            </w:r>
            <w:r w:rsidRPr="004A7621">
              <w:rPr>
                <w:rFonts w:ascii="Arial" w:hAnsi="Arial" w:eastAsia="Arial"/>
                <w:sz w:val="14"/>
              </w:rPr>
              <w:t>9% profit margin goal</w:t>
            </w:r>
            <w:r>
              <w:rPr>
                <w:rFonts w:ascii="Arial" w:hAnsi="Arial" w:eastAsia="Arial"/>
                <w:sz w:val="14"/>
              </w:rPr>
              <w:t xml:space="preserve"> for its EV division.</w:t>
            </w:r>
          </w:p>
        </w:tc>
        <w:tc>
          <w:tcPr>
            <w:cnfStyle w:val="000010000000" w:firstRow="0" w:lastRow="0" w:firstColumn="0" w:lastColumn="0" w:oddVBand="1" w:evenVBand="0" w:oddHBand="0" w:evenHBand="0" w:firstRowFirstColumn="0" w:firstRowLastColumn="0" w:lastRowFirstColumn="0" w:lastRowLastColumn="0"/>
            <w:tcW w:w="2200" w:type="dxa"/>
            <w:vAlign w:val="top"/>
          </w:tcPr>
          <w:p w14:paraId="0344E07D" w14:textId="77777777" w:rsidR="000726A0" w:rsidRDefault="0086289D" w:rsidP="00ED0C67">
            <w:pPr>
              <w:spacing w:after="0"/>
            </w:pPr>
            <w:r>
              <w:rPr>
                <w:rFonts w:ascii="Arial" w:hAnsi="Arial" w:eastAsia="Arial"/>
                <w:sz w:val="14"/>
              </w:rPr>
              <w:t>Bosch Corporate Report 2024</w:t>
            </w:r>
          </w:p>
        </w:tc>
        <w:tc>
          <w:tcPr>
            <w:tcW w:type="dxa" w:w="2200"/>
            <w:vAlign w:val="top"/>
          </w:tcPr>
          <w:p>
            <w:pPr>
              <w:spacing w:after="0"/>
              <w:jc w:val="left"/>
            </w:pPr>
            <w:r/>
            <w:r>
              <w:rPr>
                <w:rFonts w:ascii="Arial" w:hAnsi="Arial" w:eastAsia="Arial"/>
                <w:b w:val="0"/>
                <w:sz w:val="14"/>
              </w:rPr>
              <w:t>Role A: Managing Director (Chair)</w:t>
            </w:r>
          </w:p>
        </w:tc>
      </w:tr>
      <w:tr w:rsidR="000726A0" w14:paraId="122656E2" w14:textId="77777777" w:rsidTr="002D103B">
        <w:tc>
          <w:tcPr>
            <w:cnfStyle w:val="000010000000" w:firstRow="0" w:lastRow="0" w:firstColumn="0" w:lastColumn="0" w:oddVBand="1" w:evenVBand="0" w:oddHBand="0" w:evenHBand="0" w:firstRowFirstColumn="0" w:firstRowLastColumn="0" w:lastRowFirstColumn="0" w:lastRowLastColumn="0"/>
            <w:tcW w:w="1300" w:type="dxa"/>
            <w:vAlign w:val="top"/>
          </w:tcPr>
          <w:p w14:paraId="29171B03" w14:textId="77777777" w:rsidR="000726A0" w:rsidRDefault="0086289D" w:rsidP="00ED0C67">
            <w:pPr>
              <w:spacing w:after="0"/>
            </w:pPr>
            <w:r>
              <w:rPr>
                <w:rFonts w:ascii="Arial" w:hAnsi="Arial" w:eastAsia="Arial"/>
                <w:sz w:val="14"/>
              </w:rPr>
              <w:t>Cost comparison</w:t>
            </w:r>
          </w:p>
        </w:tc>
        <w:tc>
          <w:tcPr>
            <w:tcW w:w="3400" w:type="dxa"/>
            <w:vAlign w:val="top"/>
          </w:tcPr>
          <w:p w14:paraId="767419AB" w14:textId="77777777" w:rsidR="000726A0" w:rsidRDefault="0086289D" w:rsidP="00ED0C67">
            <w:pPr>
              <w:spacing w:after="0"/>
              <w:cnfStyle w:val="000000000000" w:firstRow="0" w:lastRow="0" w:firstColumn="0" w:lastColumn="0" w:oddVBand="0" w:evenVBand="0" w:oddHBand="0" w:evenHBand="0" w:firstRowFirstColumn="0" w:firstRowLastColumn="0" w:lastRowFirstColumn="0" w:lastRowLastColumn="0"/>
            </w:pPr>
            <w:r>
              <w:rPr>
                <w:rFonts w:ascii="Arial" w:hAnsi="Arial" w:eastAsia="Arial"/>
                <w:sz w:val="14"/>
              </w:rPr>
              <w:t xml:space="preserve">European supplier: </w:t>
            </w:r>
            <w:r w:rsidRPr="004A7621">
              <w:rPr>
                <w:rFonts w:ascii="Arial" w:hAnsi="Arial" w:eastAsia="Arial"/>
                <w:sz w:val="14"/>
              </w:rPr>
              <w:t>¥40,000 per unit</w:t>
            </w:r>
            <w:r>
              <w:rPr>
                <w:rFonts w:ascii="Arial" w:hAnsi="Arial" w:eastAsia="Arial"/>
                <w:sz w:val="14"/>
              </w:rPr>
              <w:t xml:space="preserve">; Southeast Asian supplier: </w:t>
            </w:r>
            <w:r w:rsidRPr="004A7621">
              <w:rPr>
                <w:rFonts w:ascii="Arial" w:hAnsi="Arial" w:eastAsia="Arial"/>
                <w:sz w:val="14"/>
              </w:rPr>
              <w:t>¥27,000 per unit</w:t>
            </w:r>
            <w:r>
              <w:rPr>
                <w:rFonts w:ascii="Arial" w:hAnsi="Arial" w:eastAsia="Arial"/>
                <w:sz w:val="14"/>
              </w:rPr>
              <w:t xml:space="preserve"> (33% cheaper).</w:t>
            </w:r>
          </w:p>
        </w:tc>
        <w:tc>
          <w:tcPr>
            <w:cnfStyle w:val="000010000000" w:firstRow="0" w:lastRow="0" w:firstColumn="0" w:lastColumn="0" w:oddVBand="1" w:evenVBand="0" w:oddHBand="0" w:evenHBand="0" w:firstRowFirstColumn="0" w:firstRowLastColumn="0" w:lastRowFirstColumn="0" w:lastRowLastColumn="0"/>
            <w:tcW w:w="2200" w:type="dxa"/>
            <w:vAlign w:val="top"/>
          </w:tcPr>
          <w:p w14:paraId="5F09B309" w14:textId="77777777" w:rsidR="000726A0" w:rsidRDefault="0086289D" w:rsidP="00ED0C67">
            <w:pPr>
              <w:spacing w:after="0"/>
            </w:pPr>
            <w:r>
              <w:rPr>
                <w:rFonts w:ascii="Arial" w:hAnsi="Arial" w:eastAsia="Arial"/>
                <w:sz w:val="14"/>
              </w:rPr>
              <w:t>Purchasing Department Estimates</w:t>
            </w:r>
          </w:p>
        </w:tc>
        <w:tc>
          <w:tcPr>
            <w:tcW w:type="dxa" w:w="2200"/>
            <w:vAlign w:val="top"/>
          </w:tcPr>
          <w:p>
            <w:pPr>
              <w:spacing w:after="0"/>
              <w:jc w:val="left"/>
            </w:pPr>
            <w:r/>
            <w:r>
              <w:rPr>
                <w:rFonts w:ascii="Arial" w:hAnsi="Arial" w:eastAsia="Arial"/>
                <w:b w:val="0"/>
                <w:sz w:val="14"/>
              </w:rPr>
              <w:t>Role B: Purchasing Manager</w:t>
            </w:r>
          </w:p>
        </w:tc>
      </w:tr>
      <w:tr w:rsidR="000726A0" w14:paraId="35AE1141" w14:textId="77777777" w:rsidTr="002D10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vAlign w:val="top"/>
          </w:tcPr>
          <w:p w14:paraId="63DFE42E" w14:textId="77777777" w:rsidR="000726A0" w:rsidRDefault="0086289D" w:rsidP="00ED0C67">
            <w:pPr>
              <w:spacing w:after="0"/>
            </w:pPr>
            <w:r>
              <w:rPr>
                <w:rFonts w:ascii="Arial" w:hAnsi="Arial" w:eastAsia="Arial"/>
                <w:sz w:val="14"/>
              </w:rPr>
              <w:t>Annual savings</w:t>
            </w:r>
          </w:p>
        </w:tc>
        <w:tc>
          <w:tcPr>
            <w:tcW w:w="3400" w:type="dxa"/>
            <w:vAlign w:val="top"/>
          </w:tcPr>
          <w:p w14:paraId="1F41AEE0" w14:textId="77777777" w:rsidR="000726A0" w:rsidRDefault="0086289D" w:rsidP="00ED0C67">
            <w:pPr>
              <w:spacing w:after="0"/>
              <w:cnfStyle w:val="000000100000" w:firstRow="0" w:lastRow="0" w:firstColumn="0" w:lastColumn="0" w:oddVBand="0" w:evenVBand="0" w:oddHBand="1" w:evenHBand="0" w:firstRowFirstColumn="0" w:firstRowLastColumn="0" w:lastRowFirstColumn="0" w:lastRowLastColumn="0"/>
            </w:pPr>
            <w:r>
              <w:rPr>
                <w:rFonts w:ascii="Arial" w:hAnsi="Arial" w:eastAsia="Arial"/>
                <w:sz w:val="14"/>
              </w:rPr>
              <w:t xml:space="preserve">Potential </w:t>
            </w:r>
            <w:r w:rsidRPr="004A7621">
              <w:rPr>
                <w:rFonts w:ascii="Arial" w:hAnsi="Arial" w:eastAsia="Arial"/>
                <w:sz w:val="14"/>
              </w:rPr>
              <w:t>¥1.2 billion cost reduction per year</w:t>
            </w:r>
            <w:r>
              <w:rPr>
                <w:rFonts w:ascii="Arial" w:hAnsi="Arial" w:eastAsia="Arial"/>
                <w:sz w:val="14"/>
              </w:rPr>
              <w:t xml:space="preserve"> if switching supplier.</w:t>
            </w:r>
          </w:p>
        </w:tc>
        <w:tc>
          <w:tcPr>
            <w:cnfStyle w:val="000010000000" w:firstRow="0" w:lastRow="0" w:firstColumn="0" w:lastColumn="0" w:oddVBand="1" w:evenVBand="0" w:oddHBand="0" w:evenHBand="0" w:firstRowFirstColumn="0" w:firstRowLastColumn="0" w:lastRowFirstColumn="0" w:lastRowLastColumn="0"/>
            <w:tcW w:w="2200" w:type="dxa"/>
            <w:vAlign w:val="top"/>
          </w:tcPr>
          <w:p w14:paraId="35DE8C03" w14:textId="77777777" w:rsidR="000726A0" w:rsidRDefault="0086289D" w:rsidP="00ED0C67">
            <w:pPr>
              <w:spacing w:after="0"/>
            </w:pPr>
            <w:r>
              <w:rPr>
                <w:rFonts w:ascii="Arial" w:hAnsi="Arial" w:eastAsia="Arial"/>
                <w:sz w:val="14"/>
              </w:rPr>
              <w:t>Purchasing Manager data</w:t>
            </w:r>
          </w:p>
        </w:tc>
        <w:tc>
          <w:tcPr>
            <w:tcW w:type="dxa" w:w="2200"/>
            <w:vAlign w:val="top"/>
          </w:tcPr>
          <w:p>
            <w:pPr>
              <w:spacing w:after="0"/>
              <w:jc w:val="left"/>
            </w:pPr>
            <w:r/>
            <w:r>
              <w:rPr>
                <w:rFonts w:ascii="Arial" w:hAnsi="Arial" w:eastAsia="Arial"/>
                <w:b w:val="0"/>
                <w:sz w:val="14"/>
              </w:rPr>
              <w:t>Role B: Purchasing Manager</w:t>
            </w:r>
          </w:p>
        </w:tc>
      </w:tr>
      <w:tr w:rsidR="000726A0" w14:paraId="3C348245" w14:textId="77777777" w:rsidTr="002D103B">
        <w:tc>
          <w:tcPr>
            <w:cnfStyle w:val="000010000000" w:firstRow="0" w:lastRow="0" w:firstColumn="0" w:lastColumn="0" w:oddVBand="1" w:evenVBand="0" w:oddHBand="0" w:evenHBand="0" w:firstRowFirstColumn="0" w:firstRowLastColumn="0" w:lastRowFirstColumn="0" w:lastRowLastColumn="0"/>
            <w:tcW w:w="1300" w:type="dxa"/>
            <w:vAlign w:val="top"/>
          </w:tcPr>
          <w:p w14:paraId="71D8ACFF" w14:textId="77777777" w:rsidR="000726A0" w:rsidRDefault="0086289D" w:rsidP="00ED0C67">
            <w:pPr>
              <w:spacing w:after="0"/>
            </w:pPr>
            <w:r>
              <w:rPr>
                <w:rFonts w:ascii="Arial" w:hAnsi="Arial" w:eastAsia="Arial"/>
                <w:sz w:val="14"/>
              </w:rPr>
              <w:t>Global battery prices</w:t>
            </w:r>
          </w:p>
        </w:tc>
        <w:tc>
          <w:tcPr>
            <w:tcW w:w="3400" w:type="dxa"/>
            <w:vAlign w:val="top"/>
          </w:tcPr>
          <w:p w14:paraId="2071B04B" w14:textId="77777777" w:rsidR="000726A0" w:rsidRDefault="0086289D" w:rsidP="00ED0C67">
            <w:pPr>
              <w:spacing w:after="0"/>
              <w:cnfStyle w:val="000000000000" w:firstRow="0" w:lastRow="0" w:firstColumn="0" w:lastColumn="0" w:oddVBand="0" w:evenVBand="0" w:oddHBand="0" w:evenHBand="0" w:firstRowFirstColumn="0" w:firstRowLastColumn="0" w:lastRowFirstColumn="0" w:lastRowLastColumn="0"/>
            </w:pPr>
            <w:r>
              <w:rPr>
                <w:rFonts w:ascii="Arial" w:hAnsi="Arial" w:eastAsia="Arial"/>
                <w:sz w:val="14"/>
              </w:rPr>
              <w:t xml:space="preserve">Lithium-ion battery prices fell </w:t>
            </w:r>
            <w:r w:rsidRPr="004A7621">
              <w:rPr>
                <w:rFonts w:ascii="Arial" w:hAnsi="Arial" w:eastAsia="Arial"/>
                <w:sz w:val="14"/>
              </w:rPr>
              <w:t>14% globally in 2024</w:t>
            </w:r>
            <w:r>
              <w:rPr>
                <w:rFonts w:ascii="Arial" w:hAnsi="Arial" w:eastAsia="Arial"/>
                <w:sz w:val="14"/>
              </w:rPr>
              <w:t>.</w:t>
            </w:r>
          </w:p>
        </w:tc>
        <w:tc>
          <w:tcPr>
            <w:cnfStyle w:val="000010000000" w:firstRow="0" w:lastRow="0" w:firstColumn="0" w:lastColumn="0" w:oddVBand="1" w:evenVBand="0" w:oddHBand="0" w:evenHBand="0" w:firstRowFirstColumn="0" w:firstRowLastColumn="0" w:lastRowFirstColumn="0" w:lastRowLastColumn="0"/>
            <w:tcW w:w="2200" w:type="dxa"/>
            <w:vAlign w:val="top"/>
          </w:tcPr>
          <w:p w14:paraId="4484F840" w14:textId="77777777" w:rsidR="000726A0" w:rsidRDefault="0086289D" w:rsidP="00ED0C67">
            <w:pPr>
              <w:spacing w:after="0"/>
            </w:pPr>
            <w:r>
              <w:rPr>
                <w:rFonts w:ascii="Arial" w:hAnsi="Arial" w:eastAsia="Arial"/>
                <w:sz w:val="14"/>
              </w:rPr>
              <w:t>Bloomberg 2024 Energy Market Data</w:t>
            </w:r>
          </w:p>
        </w:tc>
        <w:tc>
          <w:tcPr>
            <w:tcW w:type="dxa" w:w="2200"/>
            <w:vAlign w:val="top"/>
          </w:tcPr>
          <w:p>
            <w:pPr>
              <w:spacing w:after="0"/>
              <w:jc w:val="left"/>
            </w:pPr>
            <w:r/>
            <w:r>
              <w:rPr>
                <w:rFonts w:ascii="Arial" w:hAnsi="Arial" w:eastAsia="Arial"/>
                <w:b w:val="0"/>
                <w:sz w:val="14"/>
              </w:rPr>
              <w:t>Role B: Purchasing Manager</w:t>
            </w:r>
          </w:p>
        </w:tc>
      </w:tr>
      <w:tr w:rsidR="000726A0" w14:paraId="6593ECF8" w14:textId="77777777" w:rsidTr="002D10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vAlign w:val="top"/>
          </w:tcPr>
          <w:p w14:paraId="457674CC" w14:textId="77777777" w:rsidR="000726A0" w:rsidRDefault="0086289D" w:rsidP="00ED0C67">
            <w:pPr>
              <w:spacing w:after="0"/>
            </w:pPr>
            <w:r>
              <w:rPr>
                <w:rFonts w:ascii="Arial" w:hAnsi="Arial" w:eastAsia="Arial"/>
                <w:sz w:val="14"/>
              </w:rPr>
              <w:t>Consumer ethics</w:t>
            </w:r>
          </w:p>
        </w:tc>
        <w:tc>
          <w:tcPr>
            <w:tcW w:w="3400" w:type="dxa"/>
            <w:vAlign w:val="top"/>
          </w:tcPr>
          <w:p w14:paraId="6C6B86E1" w14:textId="77777777" w:rsidR="000726A0" w:rsidRDefault="0086289D" w:rsidP="00ED0C67">
            <w:pPr>
              <w:spacing w:after="0"/>
              <w:cnfStyle w:val="000000100000" w:firstRow="0" w:lastRow="0" w:firstColumn="0" w:lastColumn="0" w:oddVBand="0" w:evenVBand="0" w:oddHBand="1" w:evenHBand="0" w:firstRowFirstColumn="0" w:firstRowLastColumn="0" w:lastRowFirstColumn="0" w:lastRowLastColumn="0"/>
            </w:pPr>
            <w:r w:rsidRPr="004A7621">
              <w:rPr>
                <w:rFonts w:ascii="Arial" w:hAnsi="Arial" w:eastAsia="Arial"/>
                <w:sz w:val="14"/>
              </w:rPr>
              <w:t>78% of Japanese consumers</w:t>
            </w:r>
            <w:r>
              <w:rPr>
                <w:rFonts w:ascii="Arial" w:hAnsi="Arial" w:eastAsia="Arial"/>
                <w:sz w:val="14"/>
              </w:rPr>
              <w:t xml:space="preserve"> would stop buying from unethical companies.</w:t>
            </w:r>
          </w:p>
        </w:tc>
        <w:tc>
          <w:tcPr>
            <w:cnfStyle w:val="000010000000" w:firstRow="0" w:lastRow="0" w:firstColumn="0" w:lastColumn="0" w:oddVBand="1" w:evenVBand="0" w:oddHBand="0" w:evenHBand="0" w:firstRowFirstColumn="0" w:firstRowLastColumn="0" w:lastRowFirstColumn="0" w:lastRowLastColumn="0"/>
            <w:tcW w:w="2200" w:type="dxa"/>
            <w:vAlign w:val="top"/>
          </w:tcPr>
          <w:p w14:paraId="74225E98" w14:textId="77777777" w:rsidR="000726A0" w:rsidRDefault="0086289D" w:rsidP="00ED0C67">
            <w:pPr>
              <w:spacing w:after="0"/>
            </w:pPr>
            <w:r>
              <w:rPr>
                <w:rFonts w:ascii="Arial" w:hAnsi="Arial" w:eastAsia="Arial"/>
                <w:sz w:val="14"/>
              </w:rPr>
              <w:t>Nikkei Survey 2023</w:t>
            </w:r>
          </w:p>
        </w:tc>
        <w:tc>
          <w:tcPr>
            <w:tcW w:type="dxa" w:w="2200"/>
            <w:vAlign w:val="top"/>
          </w:tcPr>
          <w:p>
            <w:pPr>
              <w:spacing w:after="0"/>
              <w:jc w:val="left"/>
            </w:pPr>
            <w:r/>
            <w:r>
              <w:rPr>
                <w:rFonts w:ascii="Arial" w:hAnsi="Arial" w:eastAsia="Arial"/>
                <w:b w:val="0"/>
                <w:sz w:val="14"/>
              </w:rPr>
              <w:t>Role A: Managing Director (Chair)</w:t>
            </w:r>
          </w:p>
        </w:tc>
      </w:tr>
      <w:tr w:rsidR="000726A0" w14:paraId="71A6DBEE" w14:textId="77777777" w:rsidTr="002D103B">
        <w:tc>
          <w:tcPr>
            <w:cnfStyle w:val="000010000000" w:firstRow="0" w:lastRow="0" w:firstColumn="0" w:lastColumn="0" w:oddVBand="1" w:evenVBand="0" w:oddHBand="0" w:evenHBand="0" w:firstRowFirstColumn="0" w:firstRowLastColumn="0" w:lastRowFirstColumn="0" w:lastRowLastColumn="0"/>
            <w:tcW w:w="1300" w:type="dxa"/>
            <w:vAlign w:val="top"/>
          </w:tcPr>
          <w:p w14:paraId="76F6DAC1" w14:textId="77777777" w:rsidR="000726A0" w:rsidRDefault="0086289D" w:rsidP="00ED0C67">
            <w:pPr>
              <w:spacing w:after="0"/>
            </w:pPr>
            <w:r>
              <w:rPr>
                <w:rFonts w:ascii="Arial" w:hAnsi="Arial" w:eastAsia="Arial"/>
                <w:sz w:val="14"/>
              </w:rPr>
              <w:t>ESG investor trends</w:t>
            </w:r>
          </w:p>
        </w:tc>
        <w:tc>
          <w:tcPr>
            <w:tcW w:w="3400" w:type="dxa"/>
            <w:vAlign w:val="top"/>
          </w:tcPr>
          <w:p w14:paraId="77331732" w14:textId="77777777" w:rsidR="000726A0" w:rsidRDefault="0086289D" w:rsidP="00ED0C67">
            <w:pPr>
              <w:spacing w:after="0"/>
              <w:cnfStyle w:val="000000000000" w:firstRow="0" w:lastRow="0" w:firstColumn="0" w:lastColumn="0" w:oddVBand="0" w:evenVBand="0" w:oddHBand="0" w:evenHBand="0" w:firstRowFirstColumn="0" w:firstRowLastColumn="0" w:lastRowFirstColumn="0" w:lastRowLastColumn="0"/>
            </w:pPr>
            <w:r w:rsidRPr="004A7621">
              <w:rPr>
                <w:rFonts w:ascii="Arial" w:hAnsi="Arial" w:eastAsia="Arial"/>
                <w:sz w:val="14"/>
              </w:rPr>
              <w:t>65% of global investors</w:t>
            </w:r>
            <w:r>
              <w:rPr>
                <w:rFonts w:ascii="Arial" w:hAnsi="Arial" w:eastAsia="Arial"/>
                <w:sz w:val="14"/>
              </w:rPr>
              <w:t xml:space="preserve"> prioritize ESG performance.</w:t>
            </w:r>
          </w:p>
        </w:tc>
        <w:tc>
          <w:tcPr>
            <w:cnfStyle w:val="000010000000" w:firstRow="0" w:lastRow="0" w:firstColumn="0" w:lastColumn="0" w:oddVBand="1" w:evenVBand="0" w:oddHBand="0" w:evenHBand="0" w:firstRowFirstColumn="0" w:firstRowLastColumn="0" w:lastRowFirstColumn="0" w:lastRowLastColumn="0"/>
            <w:tcW w:w="2200" w:type="dxa"/>
            <w:vAlign w:val="top"/>
          </w:tcPr>
          <w:p w14:paraId="7E0DC761" w14:textId="77777777" w:rsidR="000726A0" w:rsidRDefault="0086289D" w:rsidP="00ED0C67">
            <w:pPr>
              <w:spacing w:after="0"/>
            </w:pPr>
            <w:r>
              <w:rPr>
                <w:rFonts w:ascii="Arial" w:hAnsi="Arial" w:eastAsia="Arial"/>
                <w:sz w:val="14"/>
              </w:rPr>
              <w:t>Deloitte ESG Survey 2023</w:t>
            </w:r>
          </w:p>
        </w:tc>
        <w:tc>
          <w:tcPr>
            <w:tcW w:type="dxa" w:w="2200"/>
            <w:vAlign w:val="top"/>
          </w:tcPr>
          <w:p>
            <w:pPr>
              <w:spacing w:after="0"/>
              <w:jc w:val="left"/>
            </w:pPr>
            <w:r/>
            <w:r>
              <w:rPr>
                <w:rFonts w:ascii="Arial" w:hAnsi="Arial" w:eastAsia="Arial"/>
                <w:b w:val="0"/>
                <w:sz w:val="14"/>
              </w:rPr>
              <w:t>Role C: Sustainability Officer</w:t>
            </w:r>
          </w:p>
        </w:tc>
      </w:tr>
      <w:tr w:rsidR="000726A0" w14:paraId="700810F1" w14:textId="77777777" w:rsidTr="002D10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vAlign w:val="top"/>
          </w:tcPr>
          <w:p w14:paraId="295037DE" w14:textId="77777777" w:rsidR="000726A0" w:rsidRDefault="0086289D" w:rsidP="00ED0C67">
            <w:pPr>
              <w:spacing w:after="0"/>
            </w:pPr>
            <w:r>
              <w:rPr>
                <w:rFonts w:ascii="Arial" w:hAnsi="Arial" w:eastAsia="Arial"/>
                <w:sz w:val="14"/>
              </w:rPr>
              <w:t>Emissions concern</w:t>
            </w:r>
          </w:p>
        </w:tc>
        <w:tc>
          <w:tcPr>
            <w:tcW w:w="3400" w:type="dxa"/>
            <w:vAlign w:val="top"/>
          </w:tcPr>
          <w:p w14:paraId="057C039D" w14:textId="77777777" w:rsidR="000726A0" w:rsidRDefault="0086289D" w:rsidP="00ED0C67">
            <w:pPr>
              <w:spacing w:after="0"/>
              <w:cnfStyle w:val="000000100000" w:firstRow="0" w:lastRow="0" w:firstColumn="0" w:lastColumn="0" w:oddVBand="0" w:evenVBand="0" w:oddHBand="1" w:evenHBand="0" w:firstRowFirstColumn="0" w:firstRowLastColumn="0" w:lastRowFirstColumn="0" w:lastRowLastColumn="0"/>
            </w:pPr>
            <w:r>
              <w:rPr>
                <w:rFonts w:ascii="Arial" w:hAnsi="Arial" w:eastAsia="Arial"/>
                <w:sz w:val="14"/>
              </w:rPr>
              <w:t xml:space="preserve">Southeast Asian supplier emits </w:t>
            </w:r>
            <w:r w:rsidRPr="004A7621">
              <w:rPr>
                <w:rFonts w:ascii="Arial" w:hAnsi="Arial" w:eastAsia="Arial"/>
                <w:sz w:val="14"/>
              </w:rPr>
              <w:t>30% more CO₂ per unit</w:t>
            </w:r>
            <w:r>
              <w:rPr>
                <w:rFonts w:ascii="Arial" w:hAnsi="Arial" w:eastAsia="Arial"/>
                <w:sz w:val="14"/>
              </w:rPr>
              <w:t xml:space="preserve"> than standard.</w:t>
            </w:r>
          </w:p>
        </w:tc>
        <w:tc>
          <w:tcPr>
            <w:cnfStyle w:val="000010000000" w:firstRow="0" w:lastRow="0" w:firstColumn="0" w:lastColumn="0" w:oddVBand="1" w:evenVBand="0" w:oddHBand="0" w:evenHBand="0" w:firstRowFirstColumn="0" w:firstRowLastColumn="0" w:lastRowFirstColumn="0" w:lastRowLastColumn="0"/>
            <w:tcW w:w="2200" w:type="dxa"/>
            <w:vAlign w:val="top"/>
          </w:tcPr>
          <w:p w14:paraId="01A347D9" w14:textId="77777777" w:rsidR="000726A0" w:rsidRDefault="0086289D" w:rsidP="00ED0C67">
            <w:pPr>
              <w:spacing w:after="0"/>
            </w:pPr>
            <w:r>
              <w:rPr>
                <w:rFonts w:ascii="Arial" w:hAnsi="Arial" w:eastAsia="Arial"/>
                <w:sz w:val="14"/>
              </w:rPr>
              <w:t>NGO Environmental Report 2024</w:t>
            </w:r>
          </w:p>
        </w:tc>
        <w:tc>
          <w:tcPr>
            <w:tcW w:type="dxa" w:w="2200"/>
            <w:vAlign w:val="top"/>
          </w:tcPr>
          <w:p>
            <w:pPr>
              <w:spacing w:after="0"/>
              <w:jc w:val="left"/>
            </w:pPr>
            <w:r/>
            <w:r>
              <w:rPr>
                <w:rFonts w:ascii="Arial" w:hAnsi="Arial" w:eastAsia="Arial"/>
                <w:b w:val="0"/>
                <w:sz w:val="14"/>
              </w:rPr>
              <w:t>Role C: Sustainability Officer</w:t>
            </w:r>
          </w:p>
        </w:tc>
      </w:tr>
      <w:tr w:rsidR="000726A0" w14:paraId="5648A704" w14:textId="77777777" w:rsidTr="002D103B">
        <w:tc>
          <w:tcPr>
            <w:cnfStyle w:val="000010000000" w:firstRow="0" w:lastRow="0" w:firstColumn="0" w:lastColumn="0" w:oddVBand="1" w:evenVBand="0" w:oddHBand="0" w:evenHBand="0" w:firstRowFirstColumn="0" w:firstRowLastColumn="0" w:lastRowFirstColumn="0" w:lastRowLastColumn="0"/>
            <w:tcW w:w="1300" w:type="dxa"/>
            <w:vAlign w:val="top"/>
          </w:tcPr>
          <w:p w14:paraId="007EE7D7" w14:textId="77777777" w:rsidR="000726A0" w:rsidRDefault="0086289D" w:rsidP="00ED0C67">
            <w:pPr>
              <w:spacing w:after="0"/>
            </w:pPr>
            <w:r>
              <w:rPr>
                <w:rFonts w:ascii="Arial" w:hAnsi="Arial" w:eastAsia="Arial"/>
                <w:sz w:val="14"/>
              </w:rPr>
              <w:t>Bosch sustainability goals</w:t>
            </w:r>
          </w:p>
        </w:tc>
        <w:tc>
          <w:tcPr>
            <w:tcW w:w="3400" w:type="dxa"/>
            <w:vAlign w:val="top"/>
          </w:tcPr>
          <w:p w14:paraId="1F90CC8B" w14:textId="77777777" w:rsidR="000726A0" w:rsidRDefault="0086289D" w:rsidP="00ED0C67">
            <w:pPr>
              <w:spacing w:after="0"/>
              <w:cnfStyle w:val="000000000000" w:firstRow="0" w:lastRow="0" w:firstColumn="0" w:lastColumn="0" w:oddVBand="0" w:evenVBand="0" w:oddHBand="0" w:evenHBand="0" w:firstRowFirstColumn="0" w:firstRowLastColumn="0" w:lastRowFirstColumn="0" w:lastRowLastColumn="0"/>
            </w:pPr>
            <w:r>
              <w:rPr>
                <w:rFonts w:ascii="Arial" w:hAnsi="Arial" w:eastAsia="Arial"/>
                <w:sz w:val="14"/>
              </w:rPr>
              <w:t xml:space="preserve">Bosch aims for </w:t>
            </w:r>
            <w:r w:rsidRPr="004A7621">
              <w:rPr>
                <w:rFonts w:ascii="Arial" w:hAnsi="Arial" w:eastAsia="Arial"/>
                <w:sz w:val="14"/>
              </w:rPr>
              <w:t>carbon neutrality (Scope 1 &amp; 2) by 2030</w:t>
            </w:r>
            <w:r>
              <w:rPr>
                <w:rFonts w:ascii="Arial" w:hAnsi="Arial" w:eastAsia="Arial"/>
                <w:sz w:val="14"/>
              </w:rPr>
              <w:t xml:space="preserve"> and </w:t>
            </w:r>
            <w:r w:rsidRPr="004A7621">
              <w:rPr>
                <w:rFonts w:ascii="Arial" w:hAnsi="Arial" w:eastAsia="Arial"/>
                <w:sz w:val="14"/>
              </w:rPr>
              <w:t>15% Scope 3 reduction by 2027</w:t>
            </w:r>
            <w:r>
              <w:rPr>
                <w:rFonts w:ascii="Arial" w:hAnsi="Arial" w:eastAsia="Arial"/>
                <w:sz w:val="14"/>
              </w:rPr>
              <w:t>.</w:t>
            </w:r>
          </w:p>
        </w:tc>
        <w:tc>
          <w:tcPr>
            <w:cnfStyle w:val="000010000000" w:firstRow="0" w:lastRow="0" w:firstColumn="0" w:lastColumn="0" w:oddVBand="1" w:evenVBand="0" w:oddHBand="0" w:evenHBand="0" w:firstRowFirstColumn="0" w:firstRowLastColumn="0" w:lastRowFirstColumn="0" w:lastRowLastColumn="0"/>
            <w:tcW w:w="2200" w:type="dxa"/>
            <w:vAlign w:val="top"/>
          </w:tcPr>
          <w:p w14:paraId="1103B523" w14:textId="77777777" w:rsidR="000726A0" w:rsidRDefault="0086289D" w:rsidP="00ED0C67">
            <w:pPr>
              <w:spacing w:after="0"/>
            </w:pPr>
            <w:r>
              <w:rPr>
                <w:rFonts w:ascii="Arial" w:hAnsi="Arial" w:eastAsia="Arial"/>
                <w:sz w:val="14"/>
              </w:rPr>
              <w:t>Bosch Sustainability Policy</w:t>
            </w:r>
          </w:p>
        </w:tc>
        <w:tc>
          <w:tcPr>
            <w:tcW w:type="dxa" w:w="2200"/>
            <w:vAlign w:val="top"/>
          </w:tcPr>
          <w:p>
            <w:pPr>
              <w:spacing w:after="0"/>
              <w:jc w:val="left"/>
            </w:pPr>
            <w:r/>
            <w:r>
              <w:rPr>
                <w:rFonts w:ascii="Arial" w:hAnsi="Arial" w:eastAsia="Arial"/>
                <w:b w:val="0"/>
                <w:sz w:val="14"/>
              </w:rPr>
              <w:t>Role C: Sustainability Officer</w:t>
            </w:r>
          </w:p>
        </w:tc>
      </w:tr>
      <w:tr w:rsidR="000726A0" w14:paraId="7C2B664B" w14:textId="77777777" w:rsidTr="002D10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vAlign w:val="top"/>
          </w:tcPr>
          <w:p w14:paraId="3C3C157D" w14:textId="77777777" w:rsidR="000726A0" w:rsidRDefault="0086289D" w:rsidP="00ED0C67">
            <w:pPr>
              <w:spacing w:after="0"/>
            </w:pPr>
            <w:r>
              <w:rPr>
                <w:rFonts w:ascii="Arial" w:hAnsi="Arial" w:eastAsia="Arial"/>
                <w:sz w:val="14"/>
              </w:rPr>
              <w:t>Legal risk</w:t>
            </w:r>
          </w:p>
        </w:tc>
        <w:tc>
          <w:tcPr>
            <w:tcW w:w="3400" w:type="dxa"/>
            <w:vAlign w:val="top"/>
          </w:tcPr>
          <w:p w14:paraId="68113413" w14:textId="77777777" w:rsidR="000726A0" w:rsidRDefault="0086289D" w:rsidP="00ED0C67">
            <w:pPr>
              <w:spacing w:after="0"/>
              <w:cnfStyle w:val="000000100000" w:firstRow="0" w:lastRow="0" w:firstColumn="0" w:lastColumn="0" w:oddVBand="0" w:evenVBand="0" w:oddHBand="1" w:evenHBand="0" w:firstRowFirstColumn="0" w:firstRowLastColumn="0" w:lastRowFirstColumn="0" w:lastRowLastColumn="0"/>
            </w:pPr>
            <w:r>
              <w:rPr>
                <w:rFonts w:ascii="Arial" w:hAnsi="Arial" w:eastAsia="Arial"/>
                <w:sz w:val="14"/>
              </w:rPr>
              <w:t xml:space="preserve">EU CSDDD to require full supply chain transparency by </w:t>
            </w:r>
            <w:r w:rsidRPr="004A7621">
              <w:rPr>
                <w:rFonts w:ascii="Arial" w:hAnsi="Arial" w:eastAsia="Arial"/>
                <w:sz w:val="14"/>
              </w:rPr>
              <w:t>2026</w:t>
            </w:r>
            <w:r>
              <w:rPr>
                <w:rFonts w:ascii="Arial" w:hAnsi="Arial" w:eastAsia="Arial"/>
                <w:sz w:val="14"/>
              </w:rPr>
              <w:t>.</w:t>
            </w:r>
          </w:p>
        </w:tc>
        <w:tc>
          <w:tcPr>
            <w:cnfStyle w:val="000010000000" w:firstRow="0" w:lastRow="0" w:firstColumn="0" w:lastColumn="0" w:oddVBand="1" w:evenVBand="0" w:oddHBand="0" w:evenHBand="0" w:firstRowFirstColumn="0" w:firstRowLastColumn="0" w:lastRowFirstColumn="0" w:lastRowLastColumn="0"/>
            <w:tcW w:w="2200" w:type="dxa"/>
            <w:vAlign w:val="top"/>
          </w:tcPr>
          <w:p w14:paraId="7707AAAB" w14:textId="77777777" w:rsidR="000726A0" w:rsidRDefault="0086289D" w:rsidP="00ED0C67">
            <w:pPr>
              <w:spacing w:after="0"/>
            </w:pPr>
            <w:r>
              <w:rPr>
                <w:rFonts w:ascii="Arial" w:hAnsi="Arial" w:eastAsia="Arial"/>
                <w:sz w:val="14"/>
              </w:rPr>
              <w:t>European Commission Directive Summary</w:t>
            </w:r>
          </w:p>
        </w:tc>
        <w:tc>
          <w:tcPr>
            <w:tcW w:type="dxa" w:w="2200"/>
            <w:vAlign w:val="top"/>
          </w:tcPr>
          <w:p>
            <w:pPr>
              <w:spacing w:after="0"/>
              <w:jc w:val="left"/>
            </w:pPr>
            <w:r/>
            <w:r>
              <w:rPr>
                <w:rFonts w:ascii="Arial" w:hAnsi="Arial" w:eastAsia="Arial"/>
                <w:b w:val="0"/>
                <w:sz w:val="14"/>
              </w:rPr>
              <w:t>Role D: Legal Counsel</w:t>
            </w:r>
          </w:p>
        </w:tc>
      </w:tr>
      <w:tr w:rsidR="000726A0" w14:paraId="7DC1F9E7" w14:textId="77777777" w:rsidTr="002D103B">
        <w:tc>
          <w:tcPr>
            <w:cnfStyle w:val="000010000000" w:firstRow="0" w:lastRow="0" w:firstColumn="0" w:lastColumn="0" w:oddVBand="1" w:evenVBand="0" w:oddHBand="0" w:evenHBand="0" w:firstRowFirstColumn="0" w:firstRowLastColumn="0" w:lastRowFirstColumn="0" w:lastRowLastColumn="0"/>
            <w:tcW w:w="1300" w:type="dxa"/>
            <w:vAlign w:val="top"/>
          </w:tcPr>
          <w:p w14:paraId="280034F9" w14:textId="77777777" w:rsidR="000726A0" w:rsidRDefault="0086289D" w:rsidP="00ED0C67">
            <w:pPr>
              <w:spacing w:after="0"/>
            </w:pPr>
            <w:r>
              <w:rPr>
                <w:rFonts w:ascii="Arial" w:hAnsi="Arial" w:eastAsia="Arial"/>
                <w:sz w:val="14"/>
              </w:rPr>
              <w:t>Legal penalties</w:t>
            </w:r>
          </w:p>
        </w:tc>
        <w:tc>
          <w:tcPr>
            <w:tcW w:w="3400" w:type="dxa"/>
            <w:vAlign w:val="top"/>
          </w:tcPr>
          <w:p w14:paraId="2AFCF353" w14:textId="77777777" w:rsidR="000726A0" w:rsidRDefault="0086289D" w:rsidP="00ED0C67">
            <w:pPr>
              <w:spacing w:after="0"/>
              <w:cnfStyle w:val="000000000000" w:firstRow="0" w:lastRow="0" w:firstColumn="0" w:lastColumn="0" w:oddVBand="0" w:evenVBand="0" w:oddHBand="0" w:evenHBand="0" w:firstRowFirstColumn="0" w:firstRowLastColumn="0" w:lastRowFirstColumn="0" w:lastRowLastColumn="0"/>
            </w:pPr>
            <w:r>
              <w:rPr>
                <w:rFonts w:ascii="Arial" w:hAnsi="Arial" w:eastAsia="Arial"/>
                <w:sz w:val="14"/>
              </w:rPr>
              <w:t xml:space="preserve">Fines up to </w:t>
            </w:r>
            <w:r w:rsidRPr="004A7621">
              <w:rPr>
                <w:rFonts w:ascii="Arial" w:hAnsi="Arial" w:eastAsia="Arial"/>
                <w:sz w:val="14"/>
              </w:rPr>
              <w:t>5% of global annual turnover</w:t>
            </w:r>
            <w:r>
              <w:rPr>
                <w:rFonts w:ascii="Arial" w:hAnsi="Arial" w:eastAsia="Arial"/>
                <w:sz w:val="14"/>
              </w:rPr>
              <w:t xml:space="preserve"> for ESG violations.</w:t>
            </w:r>
          </w:p>
        </w:tc>
        <w:tc>
          <w:tcPr>
            <w:cnfStyle w:val="000010000000" w:firstRow="0" w:lastRow="0" w:firstColumn="0" w:lastColumn="0" w:oddVBand="1" w:evenVBand="0" w:oddHBand="0" w:evenHBand="0" w:firstRowFirstColumn="0" w:firstRowLastColumn="0" w:lastRowFirstColumn="0" w:lastRowLastColumn="0"/>
            <w:tcW w:w="2200" w:type="dxa"/>
            <w:vAlign w:val="top"/>
          </w:tcPr>
          <w:p w14:paraId="450F79D7" w14:textId="77777777" w:rsidR="000726A0" w:rsidRDefault="0086289D" w:rsidP="00ED0C67">
            <w:pPr>
              <w:spacing w:after="0"/>
            </w:pPr>
            <w:r>
              <w:rPr>
                <w:rFonts w:ascii="Arial" w:hAnsi="Arial" w:eastAsia="Arial"/>
                <w:sz w:val="14"/>
              </w:rPr>
              <w:t>EU Compliance Guidelines</w:t>
            </w:r>
          </w:p>
        </w:tc>
        <w:tc>
          <w:tcPr>
            <w:tcW w:type="dxa" w:w="2200"/>
            <w:vAlign w:val="top"/>
          </w:tcPr>
          <w:p>
            <w:pPr>
              <w:spacing w:after="0"/>
              <w:jc w:val="left"/>
            </w:pPr>
            <w:r/>
            <w:r>
              <w:rPr>
                <w:rFonts w:ascii="Arial" w:hAnsi="Arial" w:eastAsia="Arial"/>
                <w:b w:val="0"/>
                <w:sz w:val="14"/>
              </w:rPr>
              <w:t>Role D: Legal Counsel</w:t>
            </w:r>
          </w:p>
        </w:tc>
      </w:tr>
      <w:tr w:rsidR="000726A0" w14:paraId="6274F610" w14:textId="77777777" w:rsidTr="002D10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vAlign w:val="top"/>
          </w:tcPr>
          <w:p w14:paraId="159D1A17" w14:textId="77777777" w:rsidR="000726A0" w:rsidRDefault="0086289D" w:rsidP="00ED0C67">
            <w:pPr>
              <w:spacing w:after="0"/>
            </w:pPr>
            <w:r>
              <w:rPr>
                <w:rFonts w:ascii="Arial" w:hAnsi="Arial" w:eastAsia="Arial"/>
                <w:sz w:val="14"/>
              </w:rPr>
              <w:lastRenderedPageBreak/>
              <w:t>Consumer behavior</w:t>
            </w:r>
          </w:p>
        </w:tc>
        <w:tc>
          <w:tcPr>
            <w:tcW w:w="3400" w:type="dxa"/>
            <w:vAlign w:val="top"/>
          </w:tcPr>
          <w:p w14:paraId="46FEB1E8" w14:textId="77777777" w:rsidR="000726A0" w:rsidRDefault="0086289D" w:rsidP="00ED0C67">
            <w:pPr>
              <w:spacing w:after="0"/>
              <w:cnfStyle w:val="000000100000" w:firstRow="0" w:lastRow="0" w:firstColumn="0" w:lastColumn="0" w:oddVBand="0" w:evenVBand="0" w:oddHBand="1" w:evenHBand="0" w:firstRowFirstColumn="0" w:firstRowLastColumn="0" w:lastRowFirstColumn="0" w:lastRowLastColumn="0"/>
            </w:pPr>
            <w:r w:rsidRPr="004A7621">
              <w:rPr>
                <w:rFonts w:ascii="Arial" w:hAnsi="Arial" w:eastAsia="Arial"/>
                <w:sz w:val="14"/>
              </w:rPr>
              <w:t>72% of Japanese consumers</w:t>
            </w:r>
            <w:r>
              <w:rPr>
                <w:rFonts w:ascii="Arial" w:hAnsi="Arial" w:eastAsia="Arial"/>
                <w:sz w:val="14"/>
              </w:rPr>
              <w:t xml:space="preserve"> prefer ethical brands; </w:t>
            </w:r>
            <w:r w:rsidRPr="004A7621">
              <w:rPr>
                <w:rFonts w:ascii="Arial" w:hAnsi="Arial" w:eastAsia="Arial"/>
                <w:sz w:val="14"/>
              </w:rPr>
              <w:t>15% boost</w:t>
            </w:r>
            <w:r>
              <w:rPr>
                <w:rFonts w:ascii="Arial" w:hAnsi="Arial" w:eastAsia="Arial"/>
                <w:sz w:val="14"/>
              </w:rPr>
              <w:t xml:space="preserve"> in brand favorability among Gen Z engineers.</w:t>
            </w:r>
          </w:p>
        </w:tc>
        <w:tc>
          <w:tcPr>
            <w:cnfStyle w:val="000010000000" w:firstRow="0" w:lastRow="0" w:firstColumn="0" w:lastColumn="0" w:oddVBand="1" w:evenVBand="0" w:oddHBand="0" w:evenHBand="0" w:firstRowFirstColumn="0" w:firstRowLastColumn="0" w:lastRowFirstColumn="0" w:lastRowLastColumn="0"/>
            <w:tcW w:w="2200" w:type="dxa"/>
            <w:vAlign w:val="top"/>
          </w:tcPr>
          <w:p w14:paraId="33FBEB0C" w14:textId="77777777" w:rsidR="000726A0" w:rsidRDefault="0086289D" w:rsidP="00ED0C67">
            <w:pPr>
              <w:spacing w:after="0"/>
            </w:pPr>
            <w:r>
              <w:rPr>
                <w:rFonts w:ascii="Arial" w:hAnsi="Arial" w:eastAsia="Arial"/>
                <w:sz w:val="14"/>
              </w:rPr>
              <w:t>Dentsu Research 2024 / Bosch HR Report</w:t>
            </w:r>
          </w:p>
        </w:tc>
        <w:tc>
          <w:tcPr>
            <w:tcW w:type="dxa" w:w="2200"/>
            <w:vAlign w:val="top"/>
            <w:shd w:fill="FFF2CC"/>
          </w:tcPr>
          <w:p>
            <w:r/>
            <w:r>
              <w:rPr>
                <w:rFonts w:ascii="Arial" w:hAnsi="Arial" w:eastAsia="Arial"/>
                <w:sz w:val="13"/>
              </w:rPr>
              <w:t>Mixed provenance: current Role E Customer Sales Manager covers 72% Dentsu/ESG buyer evidence; previous Role E PR &amp; Communications carried 15% Gen Z/HR evidence.</w:t>
            </w:r>
          </w:p>
        </w:tc>
      </w:tr>
      <w:tr w:rsidR="000726A0" w14:paraId="63EB21CC" w14:textId="77777777" w:rsidTr="002D103B">
        <w:tc>
          <w:tcPr>
            <w:cnfStyle w:val="000010000000" w:firstRow="0" w:lastRow="0" w:firstColumn="0" w:lastColumn="0" w:oddVBand="1" w:evenVBand="0" w:oddHBand="0" w:evenHBand="0" w:firstRowFirstColumn="0" w:firstRowLastColumn="0" w:lastRowFirstColumn="0" w:lastRowLastColumn="0"/>
            <w:tcW w:w="1300" w:type="dxa"/>
            <w:vAlign w:val="top"/>
          </w:tcPr>
          <w:p w14:paraId="3C10A153" w14:textId="77777777" w:rsidR="000726A0" w:rsidRDefault="0086289D" w:rsidP="00ED0C67">
            <w:pPr>
              <w:spacing w:after="0"/>
            </w:pPr>
            <w:r>
              <w:rPr>
                <w:rFonts w:ascii="Arial" w:hAnsi="Arial" w:eastAsia="Arial"/>
                <w:sz w:val="14"/>
              </w:rPr>
              <w:t>Market competition</w:t>
            </w:r>
          </w:p>
        </w:tc>
        <w:tc>
          <w:tcPr>
            <w:tcW w:w="3400" w:type="dxa"/>
            <w:vAlign w:val="top"/>
          </w:tcPr>
          <w:p w14:paraId="6509BB00" w14:textId="77777777" w:rsidR="000726A0" w:rsidRDefault="0086289D" w:rsidP="00ED0C67">
            <w:pPr>
              <w:spacing w:after="0"/>
              <w:cnfStyle w:val="000000000000" w:firstRow="0" w:lastRow="0" w:firstColumn="0" w:lastColumn="0" w:oddVBand="0" w:evenVBand="0" w:oddHBand="0" w:evenHBand="0" w:firstRowFirstColumn="0" w:firstRowLastColumn="0" w:lastRowFirstColumn="0" w:lastRowLastColumn="0"/>
            </w:pPr>
            <w:r>
              <w:rPr>
                <w:rFonts w:ascii="Arial" w:hAnsi="Arial" w:eastAsia="Arial"/>
                <w:sz w:val="14"/>
              </w:rPr>
              <w:t xml:space="preserve">Nissan and Panasonic have reduced EV battery costs by </w:t>
            </w:r>
            <w:r w:rsidRPr="004A7621">
              <w:rPr>
                <w:rFonts w:ascii="Arial" w:hAnsi="Arial" w:eastAsia="Arial"/>
                <w:sz w:val="14"/>
              </w:rPr>
              <w:t>20–25%</w:t>
            </w:r>
            <w:r>
              <w:rPr>
                <w:rFonts w:ascii="Arial" w:hAnsi="Arial" w:eastAsia="Arial"/>
                <w:sz w:val="14"/>
              </w:rPr>
              <w:t>.</w:t>
            </w:r>
          </w:p>
        </w:tc>
        <w:tc>
          <w:tcPr>
            <w:cnfStyle w:val="000010000000" w:firstRow="0" w:lastRow="0" w:firstColumn="0" w:lastColumn="0" w:oddVBand="1" w:evenVBand="0" w:oddHBand="0" w:evenHBand="0" w:firstRowFirstColumn="0" w:firstRowLastColumn="0" w:lastRowFirstColumn="0" w:lastRowLastColumn="0"/>
            <w:tcW w:w="2200" w:type="dxa"/>
            <w:vAlign w:val="top"/>
          </w:tcPr>
          <w:p w14:paraId="4157E4A3" w14:textId="77777777" w:rsidR="000726A0" w:rsidRDefault="0086289D" w:rsidP="00ED0C67">
            <w:pPr>
              <w:spacing w:after="0"/>
            </w:pPr>
            <w:r>
              <w:rPr>
                <w:rFonts w:ascii="Arial" w:hAnsi="Arial" w:eastAsia="Arial"/>
                <w:sz w:val="14"/>
              </w:rPr>
              <w:t>Nikkei Industry Analysis 2024</w:t>
            </w:r>
          </w:p>
        </w:tc>
        <w:tc>
          <w:tcPr>
            <w:tcW w:type="dxa" w:w="2200"/>
            <w:vAlign w:val="top"/>
            <w:shd w:fill="FFF2CC"/>
          </w:tcPr>
          <w:p>
            <w:r/>
            <w:r>
              <w:rPr>
                <w:rFonts w:ascii="Arial" w:hAnsi="Arial" w:eastAsia="Arial"/>
                <w:sz w:val="13"/>
              </w:rPr>
              <w:t>Previous Role E PR &amp; Communications Manager; no current role-sheet holder found.</w:t>
            </w:r>
          </w:p>
        </w:tc>
      </w:tr>
      <w:tr w:rsidR="000726A0" w14:paraId="5873BE56" w14:textId="77777777" w:rsidTr="002D10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vAlign w:val="top"/>
          </w:tcPr>
          <w:p w14:paraId="4E7C6E1E" w14:textId="77777777" w:rsidR="000726A0" w:rsidRDefault="0086289D" w:rsidP="00ED0C67">
            <w:pPr>
              <w:spacing w:after="0"/>
            </w:pPr>
            <w:r>
              <w:rPr>
                <w:rFonts w:ascii="Arial" w:hAnsi="Arial" w:eastAsia="Arial"/>
                <w:sz w:val="14"/>
              </w:rPr>
              <w:t>Quality control</w:t>
            </w:r>
          </w:p>
        </w:tc>
        <w:tc>
          <w:tcPr>
            <w:tcW w:w="3400" w:type="dxa"/>
            <w:vAlign w:val="top"/>
          </w:tcPr>
          <w:p w14:paraId="16995B07" w14:textId="77777777" w:rsidR="000726A0" w:rsidRDefault="0086289D" w:rsidP="00ED0C67">
            <w:pPr>
              <w:spacing w:after="0"/>
              <w:cnfStyle w:val="000000100000" w:firstRow="0" w:lastRow="0" w:firstColumn="0" w:lastColumn="0" w:oddVBand="0" w:evenVBand="0" w:oddHBand="1" w:evenHBand="0" w:firstRowFirstColumn="0" w:firstRowLastColumn="0" w:lastRowFirstColumn="0" w:lastRowLastColumn="0"/>
            </w:pPr>
            <w:r>
              <w:rPr>
                <w:rFonts w:ascii="Arial" w:hAnsi="Arial" w:eastAsia="Arial"/>
                <w:sz w:val="14"/>
              </w:rPr>
              <w:t xml:space="preserve">European supplier failure rate </w:t>
            </w:r>
            <w:r w:rsidRPr="004A7621">
              <w:rPr>
                <w:rFonts w:ascii="Arial" w:hAnsi="Arial" w:eastAsia="Arial"/>
                <w:sz w:val="14"/>
              </w:rPr>
              <w:t>0.3%</w:t>
            </w:r>
            <w:r>
              <w:rPr>
                <w:rFonts w:ascii="Arial" w:hAnsi="Arial" w:eastAsia="Arial"/>
                <w:sz w:val="14"/>
              </w:rPr>
              <w:t xml:space="preserve">, Southeast Asian trial </w:t>
            </w:r>
            <w:r w:rsidRPr="004A7621">
              <w:rPr>
                <w:rFonts w:ascii="Arial" w:hAnsi="Arial" w:eastAsia="Arial"/>
                <w:sz w:val="14"/>
              </w:rPr>
              <w:t>2.1%</w:t>
            </w:r>
            <w:r>
              <w:rPr>
                <w:rFonts w:ascii="Arial" w:hAnsi="Arial" w:eastAsia="Arial"/>
                <w:sz w:val="14"/>
              </w:rPr>
              <w:t>.</w:t>
            </w:r>
          </w:p>
        </w:tc>
        <w:tc>
          <w:tcPr>
            <w:cnfStyle w:val="000010000000" w:firstRow="0" w:lastRow="0" w:firstColumn="0" w:lastColumn="0" w:oddVBand="1" w:evenVBand="0" w:oddHBand="0" w:evenHBand="0" w:firstRowFirstColumn="0" w:firstRowLastColumn="0" w:lastRowFirstColumn="0" w:lastRowLastColumn="0"/>
            <w:tcW w:w="2200" w:type="dxa"/>
            <w:vAlign w:val="top"/>
          </w:tcPr>
          <w:p w14:paraId="1445E520" w14:textId="77777777" w:rsidR="000726A0" w:rsidRDefault="0086289D" w:rsidP="00ED0C67">
            <w:pPr>
              <w:spacing w:after="0"/>
            </w:pPr>
            <w:r>
              <w:rPr>
                <w:rFonts w:ascii="Arial" w:hAnsi="Arial" w:eastAsia="Arial"/>
                <w:sz w:val="14"/>
              </w:rPr>
              <w:t>R&amp;D Quality Audit 2024</w:t>
            </w:r>
          </w:p>
        </w:tc>
        <w:tc>
          <w:tcPr>
            <w:tcW w:type="dxa" w:w="2200"/>
            <w:vAlign w:val="top"/>
          </w:tcPr>
          <w:p>
            <w:pPr>
              <w:spacing w:after="0"/>
              <w:jc w:val="left"/>
            </w:pPr>
            <w:r/>
            <w:r>
              <w:rPr>
                <w:rFonts w:ascii="Arial" w:hAnsi="Arial" w:eastAsia="Arial"/>
                <w:b w:val="0"/>
                <w:sz w:val="14"/>
              </w:rPr>
              <w:t>Role F: Head of R&amp;D (Technical Expert)</w:t>
            </w:r>
          </w:p>
        </w:tc>
      </w:tr>
      <w:tr w:rsidR="000726A0" w14:paraId="4E4441FB" w14:textId="77777777" w:rsidTr="002D103B">
        <w:tc>
          <w:tcPr>
            <w:cnfStyle w:val="000010000000" w:firstRow="0" w:lastRow="0" w:firstColumn="0" w:lastColumn="0" w:oddVBand="1" w:evenVBand="0" w:oddHBand="0" w:evenHBand="0" w:firstRowFirstColumn="0" w:firstRowLastColumn="0" w:lastRowFirstColumn="0" w:lastRowLastColumn="0"/>
            <w:tcW w:w="1300" w:type="dxa"/>
            <w:vAlign w:val="top"/>
          </w:tcPr>
          <w:p w14:paraId="6B59CE8B" w14:textId="77777777" w:rsidR="000726A0" w:rsidRDefault="0086289D" w:rsidP="00ED0C67">
            <w:pPr>
              <w:spacing w:after="0"/>
            </w:pPr>
            <w:r>
              <w:rPr>
                <w:rFonts w:ascii="Arial" w:hAnsi="Arial" w:eastAsia="Arial"/>
                <w:sz w:val="14"/>
              </w:rPr>
              <w:t>Production risk</w:t>
            </w:r>
          </w:p>
        </w:tc>
        <w:tc>
          <w:tcPr>
            <w:tcW w:w="3400" w:type="dxa"/>
            <w:vAlign w:val="top"/>
          </w:tcPr>
          <w:p w14:paraId="6F559A83" w14:textId="77777777" w:rsidR="000726A0" w:rsidRDefault="0086289D" w:rsidP="00ED0C67">
            <w:pPr>
              <w:spacing w:after="0"/>
              <w:cnfStyle w:val="000000000000" w:firstRow="0" w:lastRow="0" w:firstColumn="0" w:lastColumn="0" w:oddVBand="0" w:evenVBand="0" w:oddHBand="0" w:evenHBand="0" w:firstRowFirstColumn="0" w:firstRowLastColumn="0" w:lastRowFirstColumn="0" w:lastRowLastColumn="0"/>
            </w:pPr>
            <w:r>
              <w:rPr>
                <w:rFonts w:ascii="Arial" w:hAnsi="Arial" w:eastAsia="Arial"/>
                <w:sz w:val="14"/>
              </w:rPr>
              <w:t xml:space="preserve">Delays or failures could cost </w:t>
            </w:r>
            <w:r w:rsidRPr="004A7621">
              <w:rPr>
                <w:rFonts w:ascii="Arial" w:hAnsi="Arial" w:eastAsia="Arial"/>
                <w:sz w:val="14"/>
              </w:rPr>
              <w:t>¥300 million</w:t>
            </w:r>
            <w:r>
              <w:rPr>
                <w:rFonts w:ascii="Arial" w:hAnsi="Arial" w:eastAsia="Arial"/>
                <w:sz w:val="14"/>
              </w:rPr>
              <w:t xml:space="preserve"> in warranty/recalls.</w:t>
            </w:r>
          </w:p>
        </w:tc>
        <w:tc>
          <w:tcPr>
            <w:cnfStyle w:val="000010000000" w:firstRow="0" w:lastRow="0" w:firstColumn="0" w:lastColumn="0" w:oddVBand="1" w:evenVBand="0" w:oddHBand="0" w:evenHBand="0" w:firstRowFirstColumn="0" w:firstRowLastColumn="0" w:lastRowFirstColumn="0" w:lastRowLastColumn="0"/>
            <w:tcW w:w="2200" w:type="dxa"/>
            <w:vAlign w:val="top"/>
          </w:tcPr>
          <w:p w14:paraId="421582B5" w14:textId="77777777" w:rsidR="000726A0" w:rsidRDefault="0086289D" w:rsidP="00ED0C67">
            <w:pPr>
              <w:spacing w:after="0"/>
            </w:pPr>
            <w:r>
              <w:rPr>
                <w:rFonts w:ascii="Arial" w:hAnsi="Arial" w:eastAsia="Arial"/>
                <w:sz w:val="14"/>
              </w:rPr>
              <w:t>R&amp;D Risk Report</w:t>
            </w:r>
          </w:p>
        </w:tc>
        <w:tc>
          <w:tcPr>
            <w:tcW w:type="dxa" w:w="2200"/>
            <w:vAlign w:val="top"/>
          </w:tcPr>
          <w:p>
            <w:pPr>
              <w:spacing w:after="0"/>
              <w:jc w:val="left"/>
            </w:pPr>
            <w:r/>
            <w:r>
              <w:rPr>
                <w:rFonts w:ascii="Arial" w:hAnsi="Arial" w:eastAsia="Arial"/>
                <w:b w:val="0"/>
                <w:sz w:val="14"/>
              </w:rPr>
              <w:t>Role F: Head of R&amp;D (Technical Expert)</w:t>
            </w:r>
          </w:p>
        </w:tc>
      </w:tr>
      <w:tr w:rsidR="000726A0" w14:paraId="6E661CA3" w14:textId="77777777" w:rsidTr="002D10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vAlign w:val="top"/>
          </w:tcPr>
          <w:p w14:paraId="2BA40710" w14:textId="77777777" w:rsidR="000726A0" w:rsidRDefault="0086289D" w:rsidP="00ED0C67">
            <w:pPr>
              <w:spacing w:after="0"/>
            </w:pPr>
            <w:r>
              <w:rPr>
                <w:rFonts w:ascii="Arial" w:hAnsi="Arial" w:eastAsia="Arial"/>
                <w:sz w:val="14"/>
              </w:rPr>
              <w:t>Innovation opportunity</w:t>
            </w:r>
          </w:p>
        </w:tc>
        <w:tc>
          <w:tcPr>
            <w:tcW w:w="3400" w:type="dxa"/>
            <w:vAlign w:val="top"/>
          </w:tcPr>
          <w:p w14:paraId="4EAFB239" w14:textId="77777777" w:rsidR="000726A0" w:rsidRDefault="0086289D" w:rsidP="00ED0C67">
            <w:pPr>
              <w:spacing w:after="0"/>
              <w:cnfStyle w:val="000000100000" w:firstRow="0" w:lastRow="0" w:firstColumn="0" w:lastColumn="0" w:oddVBand="0" w:evenVBand="0" w:oddHBand="1" w:evenHBand="0" w:firstRowFirstColumn="0" w:firstRowLastColumn="0" w:lastRowFirstColumn="0" w:lastRowLastColumn="0"/>
            </w:pPr>
            <w:r>
              <w:rPr>
                <w:rFonts w:ascii="Arial" w:hAnsi="Arial" w:eastAsia="Arial"/>
                <w:sz w:val="14"/>
              </w:rPr>
              <w:t xml:space="preserve">European supplier’s new recycling process may reduce emissions by </w:t>
            </w:r>
            <w:r w:rsidRPr="004A7621">
              <w:rPr>
                <w:rFonts w:ascii="Arial" w:hAnsi="Arial" w:eastAsia="Arial"/>
                <w:sz w:val="14"/>
              </w:rPr>
              <w:t>10%</w:t>
            </w:r>
            <w:r>
              <w:rPr>
                <w:rFonts w:ascii="Arial" w:hAnsi="Arial" w:eastAsia="Arial"/>
                <w:sz w:val="14"/>
              </w:rPr>
              <w:t xml:space="preserve"> by 2026.</w:t>
            </w:r>
          </w:p>
        </w:tc>
        <w:tc>
          <w:tcPr>
            <w:cnfStyle w:val="000010000000" w:firstRow="0" w:lastRow="0" w:firstColumn="0" w:lastColumn="0" w:oddVBand="1" w:evenVBand="0" w:oddHBand="0" w:evenHBand="0" w:firstRowFirstColumn="0" w:firstRowLastColumn="0" w:lastRowFirstColumn="0" w:lastRowLastColumn="0"/>
            <w:tcW w:w="2200" w:type="dxa"/>
            <w:vAlign w:val="top"/>
          </w:tcPr>
          <w:p w14:paraId="45552480" w14:textId="77777777" w:rsidR="000726A0" w:rsidRDefault="0086289D" w:rsidP="00ED0C67">
            <w:pPr>
              <w:spacing w:after="0"/>
            </w:pPr>
            <w:r>
              <w:rPr>
                <w:rFonts w:ascii="Arial" w:hAnsi="Arial" w:eastAsia="Arial"/>
                <w:sz w:val="14"/>
              </w:rPr>
              <w:t>R&amp;D Collaboration Memo</w:t>
            </w:r>
          </w:p>
        </w:tc>
        <w:tc>
          <w:tcPr>
            <w:tcW w:type="dxa" w:w="2200"/>
            <w:vAlign w:val="top"/>
          </w:tcPr>
          <w:p>
            <w:pPr>
              <w:spacing w:after="0"/>
              <w:jc w:val="left"/>
            </w:pPr>
            <w:r/>
            <w:r>
              <w:rPr>
                <w:rFonts w:ascii="Arial" w:hAnsi="Arial" w:eastAsia="Arial"/>
                <w:b w:val="0"/>
                <w:sz w:val="14"/>
              </w:rPr>
              <w:t>Role F: Head of R&amp;D (Technical Expert)</w:t>
            </w:r>
          </w:p>
        </w:tc>
      </w:tr>
      <w:bookmarkEnd w:id="10"/>
    </w:tbl>
    <w:p>
      <w:pPr>
        <w:spacing w:before="80" w:after="120"/>
      </w:pPr>
      <w:r/>
      <w:r>
        <w:rPr>
          <w:rFonts w:ascii="Arial" w:hAnsi="Arial" w:eastAsia="Arial"/>
          <w:b/>
          <w:sz w:val="16"/>
        </w:rPr>
        <w:t xml:space="preserve">Cross-check note: </w:t>
      </w:r>
      <w:r>
        <w:rPr>
          <w:rFonts w:ascii="Arial" w:hAnsi="Arial" w:eastAsia="Arial"/>
          <w:sz w:val="16"/>
        </w:rPr>
        <w:t>Rows marked in yellow come from a version mismatch. The current Role E is Customer Sales Manager; the previous Role E was PR &amp; Communications Manager. The 15% Gen Z/HR and Nissan/Panasonic competition evidence came from the previous Role E and was not reassigned in the current role sheets.</w:t>
      </w:r>
    </w:p>
    <w:p w14:paraId="75D2C857" w14:textId="77777777" w:rsidR="00ED0C67" w:rsidRDefault="00ED0C67" w:rsidP="002D103B"/>
    <w:p w14:paraId="65823DA0" w14:textId="77777777" w:rsidR="00960962" w:rsidRDefault="00960962" w:rsidP="002D103B">
      <w:pPr>
        <w:sectPr w:rsidR="00960962" w:rsidSect="00D72846">
          <w:footnotePr>
            <w:numRestart w:val="eachSect"/>
          </w:footnotePr>
          <w:type w:val="continuous"/>
          <w:pgSz w:w="11907" w:h="16840" w:code="9"/>
          <w:pgMar w:top="1985" w:right="1701" w:bottom="1701" w:left="1701" w:header="720" w:footer="720" w:gutter="0"/>
          <w:cols w:space="720"/>
        </w:sectPr>
      </w:pPr>
    </w:p>
    <w:p w14:paraId="427A885C" w14:textId="77777777" w:rsidR="00960962" w:rsidRDefault="00960962" w:rsidP="00A431DE">
      <w:pPr>
        <w:pStyle w:val="Heading2"/>
        <w:spacing w:before="0"/>
      </w:pPr>
      <w:bookmarkStart w:id="12" w:name="_Hlk211595437"/>
      <w:r>
        <w:lastRenderedPageBreak/>
        <w:t>Follow-Up</w:t>
      </w:r>
    </w:p>
    <w:p w14:paraId="71CE057D" w14:textId="77777777" w:rsidR="00960962" w:rsidRDefault="00960962" w:rsidP="00960962">
      <w:pPr>
        <w:pStyle w:val="FirstParagraph"/>
        <w:spacing w:before="0" w:after="240"/>
      </w:pPr>
      <w:r>
        <w:t xml:space="preserve">After the simulation, discuss: </w:t>
      </w:r>
    </w:p>
    <w:p w14:paraId="07B584F9" w14:textId="77777777" w:rsidR="00960962" w:rsidRDefault="00960962" w:rsidP="00960962">
      <w:pPr>
        <w:pStyle w:val="FirstParagraph"/>
        <w:numPr>
          <w:ilvl w:val="0"/>
          <w:numId w:val="4"/>
        </w:numPr>
        <w:spacing w:before="0" w:after="240"/>
      </w:pPr>
      <w:r>
        <w:t xml:space="preserve">Which argument was the most persuasive? Why? </w:t>
      </w:r>
    </w:p>
    <w:p w14:paraId="59BB01F9" w14:textId="77777777" w:rsidR="00960962" w:rsidRDefault="00960962" w:rsidP="00960962">
      <w:pPr>
        <w:pStyle w:val="FirstParagraph"/>
        <w:numPr>
          <w:ilvl w:val="0"/>
          <w:numId w:val="4"/>
        </w:numPr>
        <w:spacing w:before="0" w:after="240"/>
      </w:pPr>
      <w:r>
        <w:t xml:space="preserve">How well did participants use reasons and evidence to support their points? </w:t>
      </w:r>
    </w:p>
    <w:p w14:paraId="76478C2A" w14:textId="77777777" w:rsidR="00960962" w:rsidRDefault="00960962" w:rsidP="00960962">
      <w:pPr>
        <w:pStyle w:val="FirstParagraph"/>
        <w:numPr>
          <w:ilvl w:val="0"/>
          <w:numId w:val="4"/>
        </w:numPr>
        <w:spacing w:before="0" w:after="240"/>
      </w:pPr>
      <w:r>
        <w:t>What would you do differently next time to improve logical structure and communication clarity?</w:t>
      </w:r>
    </w:p>
    <w:bookmarkEnd w:id="12"/>
    <w:p w14:paraId="2D8A49BC" w14:textId="77777777" w:rsidR="00960962" w:rsidRDefault="00960962">
      <w:pPr>
        <w:spacing w:line="240" w:lineRule="auto"/>
      </w:pPr>
    </w:p>
    <w:sectPr w:rsidR="00960962" w:rsidSect="00960962">
      <w:footnotePr>
        <w:numRestart w:val="eachSect"/>
      </w:footnotePr>
      <w:pgSz w:w="11907" w:h="16840" w:code="9"/>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2E4E9" w14:textId="77777777" w:rsidR="00280254" w:rsidRDefault="00280254" w:rsidP="00ED0C67">
      <w:pPr>
        <w:spacing w:after="0"/>
      </w:pPr>
      <w:r>
        <w:separator/>
      </w:r>
    </w:p>
  </w:endnote>
  <w:endnote w:type="continuationSeparator" w:id="0">
    <w:p w14:paraId="7783447B" w14:textId="77777777" w:rsidR="00280254" w:rsidRDefault="00280254" w:rsidP="00ED0C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UI">
    <w:panose1 w:val="020B05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Yu Gothic UI Light">
    <w:panose1 w:val="020B0300000000000000"/>
    <w:charset w:val="80"/>
    <w:family w:val="modern"/>
    <w:pitch w:val="variable"/>
    <w:sig w:usb0="E00002FF" w:usb1="2AC7FDFF" w:usb2="00000016" w:usb3="00000000" w:csb0="0002009F" w:csb1="00000000"/>
  </w:font>
  <w:font w:name="Segoe UI Semilight">
    <w:panose1 w:val="020B04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CC81" w14:textId="0C3024DD" w:rsidR="00ED0C67" w:rsidRDefault="00ED0C67" w:rsidP="00ED0C67">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19329" w14:textId="77777777" w:rsidR="00280254" w:rsidRDefault="00280254" w:rsidP="00ED0C67">
      <w:pPr>
        <w:spacing w:after="0"/>
      </w:pPr>
      <w:r>
        <w:separator/>
      </w:r>
    </w:p>
  </w:footnote>
  <w:footnote w:type="continuationSeparator" w:id="0">
    <w:p w14:paraId="52E82C72" w14:textId="77777777" w:rsidR="00280254" w:rsidRDefault="00280254" w:rsidP="00ED0C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8429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ED0FF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73B0D5A"/>
    <w:multiLevelType w:val="hybridMultilevel"/>
    <w:tmpl w:val="B4ACC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381E3C"/>
    <w:multiLevelType w:val="hybridMultilevel"/>
    <w:tmpl w:val="4784168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173E54B8"/>
    <w:multiLevelType w:val="hybridMultilevel"/>
    <w:tmpl w:val="BB08B21C"/>
    <w:lvl w:ilvl="0" w:tplc="33803EC6">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F3295B"/>
    <w:multiLevelType w:val="hybridMultilevel"/>
    <w:tmpl w:val="91D2D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065A76"/>
    <w:multiLevelType w:val="multilevel"/>
    <w:tmpl w:val="7932C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7767EE"/>
    <w:multiLevelType w:val="hybridMultilevel"/>
    <w:tmpl w:val="DC38F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1F7B19"/>
    <w:multiLevelType w:val="hybridMultilevel"/>
    <w:tmpl w:val="9152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6443297">
    <w:abstractNumId w:val="0"/>
  </w:num>
  <w:num w:numId="2" w16cid:durableId="1390083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3858580">
    <w:abstractNumId w:val="8"/>
  </w:num>
  <w:num w:numId="4" w16cid:durableId="75442038">
    <w:abstractNumId w:val="4"/>
  </w:num>
  <w:num w:numId="5" w16cid:durableId="2101948751">
    <w:abstractNumId w:val="7"/>
  </w:num>
  <w:num w:numId="6" w16cid:durableId="1853493734">
    <w:abstractNumId w:val="2"/>
  </w:num>
  <w:num w:numId="7" w16cid:durableId="2135975772">
    <w:abstractNumId w:val="6"/>
  </w:num>
  <w:num w:numId="8" w16cid:durableId="1344163039">
    <w:abstractNumId w:val="5"/>
  </w:num>
  <w:num w:numId="9" w16cid:durableId="1562597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6A0"/>
    <w:rsid w:val="000726A0"/>
    <w:rsid w:val="00076DAE"/>
    <w:rsid w:val="0009423F"/>
    <w:rsid w:val="00120BE9"/>
    <w:rsid w:val="00155257"/>
    <w:rsid w:val="001E25AE"/>
    <w:rsid w:val="001E7F2E"/>
    <w:rsid w:val="00221F09"/>
    <w:rsid w:val="00275561"/>
    <w:rsid w:val="00280254"/>
    <w:rsid w:val="002B4A97"/>
    <w:rsid w:val="002D103B"/>
    <w:rsid w:val="002D74E8"/>
    <w:rsid w:val="00312A5C"/>
    <w:rsid w:val="00325DA5"/>
    <w:rsid w:val="00346092"/>
    <w:rsid w:val="00373745"/>
    <w:rsid w:val="003950D5"/>
    <w:rsid w:val="003C08F7"/>
    <w:rsid w:val="004527A1"/>
    <w:rsid w:val="004A4EF2"/>
    <w:rsid w:val="004A7621"/>
    <w:rsid w:val="005504A8"/>
    <w:rsid w:val="005E6CEC"/>
    <w:rsid w:val="006F5F00"/>
    <w:rsid w:val="0070077C"/>
    <w:rsid w:val="0072079B"/>
    <w:rsid w:val="007870EE"/>
    <w:rsid w:val="0086289D"/>
    <w:rsid w:val="00893C39"/>
    <w:rsid w:val="008A6C1E"/>
    <w:rsid w:val="008C2406"/>
    <w:rsid w:val="00906A75"/>
    <w:rsid w:val="009209D0"/>
    <w:rsid w:val="009541DD"/>
    <w:rsid w:val="00960962"/>
    <w:rsid w:val="00A25B2C"/>
    <w:rsid w:val="00A431DE"/>
    <w:rsid w:val="00A568E8"/>
    <w:rsid w:val="00AF6B50"/>
    <w:rsid w:val="00B17F9E"/>
    <w:rsid w:val="00B73F7C"/>
    <w:rsid w:val="00C1015E"/>
    <w:rsid w:val="00CA3048"/>
    <w:rsid w:val="00CB0D6F"/>
    <w:rsid w:val="00D04549"/>
    <w:rsid w:val="00D36511"/>
    <w:rsid w:val="00D52C88"/>
    <w:rsid w:val="00D72846"/>
    <w:rsid w:val="00D956B6"/>
    <w:rsid w:val="00E12CF4"/>
    <w:rsid w:val="00E50C31"/>
    <w:rsid w:val="00E6758E"/>
    <w:rsid w:val="00ED0C67"/>
    <w:rsid w:val="00F322F7"/>
    <w:rsid w:val="00F73A89"/>
    <w:rsid w:val="00F85215"/>
    <w:rsid w:val="00FF42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207B3"/>
  <w15:docId w15:val="{718AC40F-8391-467F-8A9D-5A7440E78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103B"/>
    <w:pPr>
      <w:spacing w:line="264" w:lineRule="auto"/>
    </w:pPr>
  </w:style>
  <w:style w:type="paragraph" w:styleId="Heading1">
    <w:name w:val="heading 1"/>
    <w:basedOn w:val="Normal"/>
    <w:next w:val="Normal"/>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3A89"/>
    <w:pPr>
      <w:keepNext/>
      <w:keepLines/>
      <w:pBdr>
        <w:bottom w:val="single" w:sz="24" w:space="1" w:color="0F4761" w:themeColor="accent1" w:themeShade="BF"/>
      </w:pBdr>
      <w:spacing w:before="360" w:after="180"/>
      <w:outlineLvl w:val="1"/>
    </w:pPr>
    <w:rPr>
      <w:rFonts w:ascii="Segoe UI Semilight" w:eastAsiaTheme="majorEastAsia" w:hAnsi="Segoe UI Semilight" w:cs="Segoe UI Semilight"/>
      <w:color w:val="0F4761" w:themeColor="accent1" w:themeShade="BF"/>
      <w:sz w:val="36"/>
      <w:szCs w:val="36"/>
      <w:lang w:eastAsia="ja-JP"/>
    </w:rPr>
  </w:style>
  <w:style w:type="paragraph" w:styleId="Heading3">
    <w:name w:val="heading 3"/>
    <w:basedOn w:val="Normal"/>
    <w:next w:val="Normal"/>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ragraph">
    <w:name w:val="First Paragraph"/>
    <w:basedOn w:val="Normal"/>
    <w:next w:val="Normal"/>
    <w:qFormat/>
    <w:rsid w:val="00AF6B50"/>
    <w:pPr>
      <w:spacing w:before="180" w:after="180"/>
    </w:pPr>
  </w:style>
  <w:style w:type="paragraph" w:styleId="Title">
    <w:name w:val="Title"/>
    <w:basedOn w:val="Normal"/>
    <w:next w:val="Normal"/>
    <w:link w:val="TitleChar"/>
    <w:uiPriority w:val="10"/>
    <w:qFormat/>
    <w:rsid w:val="00AF6B50"/>
    <w:pPr>
      <w:spacing w:after="120"/>
    </w:pPr>
    <w:rPr>
      <w:rFonts w:ascii="Segoe UI Semilight" w:hAnsi="Segoe UI Semilight" w:cs="Segoe UI Semilight"/>
      <w:color w:val="0F4761" w:themeColor="accent1" w:themeShade="BF"/>
      <w:sz w:val="64"/>
      <w:szCs w:val="64"/>
    </w:rPr>
  </w:style>
  <w:style w:type="character" w:customStyle="1" w:styleId="TitleChar">
    <w:name w:val="Title Char"/>
    <w:basedOn w:val="DefaultParagraphFont"/>
    <w:link w:val="Title"/>
    <w:uiPriority w:val="10"/>
    <w:rsid w:val="00C1015E"/>
    <w:rPr>
      <w:rFonts w:ascii="Segoe UI Semilight" w:hAnsi="Segoe UI Semilight" w:cs="Segoe UI Semilight"/>
      <w:color w:val="0F4761" w:themeColor="accent1" w:themeShade="BF"/>
      <w:sz w:val="64"/>
      <w:szCs w:val="64"/>
    </w:rPr>
  </w:style>
  <w:style w:type="paragraph" w:styleId="Subtitle">
    <w:name w:val="Subtitle"/>
    <w:basedOn w:val="Title"/>
    <w:next w:val="Normal"/>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Date">
    <w:name w:val="Date"/>
    <w:next w:val="Normal"/>
    <w:qFormat/>
    <w:pPr>
      <w:keepNext/>
      <w:keepLines/>
      <w:jc w:val="center"/>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3A89"/>
    <w:rPr>
      <w:rFonts w:ascii="Segoe UI Semilight" w:eastAsiaTheme="majorEastAsia" w:hAnsi="Segoe UI Semilight" w:cs="Segoe UI Semilight"/>
      <w:color w:val="0F4761" w:themeColor="accent1" w:themeShade="BF"/>
      <w:sz w:val="36"/>
      <w:szCs w:val="36"/>
      <w:lang w:eastAsia="ja-JP"/>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Normal"/>
    <w:uiPriority w:val="9"/>
    <w:unhideWhenUsed/>
    <w:qFormat/>
    <w:rsid w:val="00AF6B50"/>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Normal"/>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D0C67"/>
    <w:pPr>
      <w:tabs>
        <w:tab w:val="center" w:pos="4419"/>
        <w:tab w:val="right" w:pos="8838"/>
      </w:tabs>
      <w:spacing w:after="0"/>
    </w:pPr>
  </w:style>
  <w:style w:type="character" w:customStyle="1" w:styleId="HeaderChar">
    <w:name w:val="Header Char"/>
    <w:basedOn w:val="DefaultParagraphFont"/>
    <w:link w:val="Header"/>
    <w:rsid w:val="00ED0C67"/>
    <w:rPr>
      <w:sz w:val="21"/>
    </w:rPr>
  </w:style>
  <w:style w:type="paragraph" w:styleId="Footer">
    <w:name w:val="footer"/>
    <w:basedOn w:val="Normal"/>
    <w:link w:val="FooterChar"/>
    <w:rsid w:val="00ED0C67"/>
    <w:pPr>
      <w:tabs>
        <w:tab w:val="center" w:pos="4419"/>
        <w:tab w:val="right" w:pos="8838"/>
      </w:tabs>
      <w:spacing w:after="0"/>
    </w:pPr>
  </w:style>
  <w:style w:type="character" w:customStyle="1" w:styleId="FooterChar">
    <w:name w:val="Footer Char"/>
    <w:basedOn w:val="DefaultParagraphFont"/>
    <w:link w:val="Footer"/>
    <w:rsid w:val="00ED0C67"/>
    <w:rPr>
      <w:sz w:val="21"/>
    </w:rPr>
  </w:style>
  <w:style w:type="table" w:styleId="ListTable3-Accent1">
    <w:name w:val="List Table 3 Accent 1"/>
    <w:basedOn w:val="TableNormal"/>
    <w:uiPriority w:val="48"/>
    <w:rsid w:val="00ED0C67"/>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ListParagraph">
    <w:name w:val="List Paragraph"/>
    <w:basedOn w:val="Normal"/>
    <w:rsid w:val="00221F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DD Segoe Set">
      <a:majorFont>
        <a:latin typeface="Segoe UI Semibold"/>
        <a:ea typeface="Yu Gothic UI Light"/>
        <a:cs typeface=""/>
      </a:majorFont>
      <a:minorFont>
        <a:latin typeface="Segoe UI"/>
        <a:ea typeface="Yu Gothic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8</Pages>
  <Words>1690</Words>
  <Characters>9398</Characters>
  <Application>Microsoft Office Word</Application>
  <DocSecurity>0</DocSecurity>
  <Lines>348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33</cp:revision>
  <cp:lastPrinted>2025-10-17T03:13:00Z</cp:lastPrinted>
  <dcterms:created xsi:type="dcterms:W3CDTF">2025-10-16T07:57:00Z</dcterms:created>
  <dcterms:modified xsi:type="dcterms:W3CDTF">2025-11-12T06:39:00Z</dcterms:modified>
</cp:coreProperties>
</file>