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B3A15" w14:textId="77777777" w:rsidR="004B559C" w:rsidRPr="00022497" w:rsidRDefault="004B559C" w:rsidP="009066A4">
      <w:pPr>
        <w:pStyle w:val="Heading2nolevel"/>
      </w:pPr>
      <w:bookmarkStart w:id="0" w:name="_Toc240452332"/>
      <w:bookmarkStart w:id="1" w:name="Xc9906dcd5c9f3e29f173fb7e9d52f014a180092"/>
      <w:r w:rsidRPr="00022497">
        <w:t xml:space="preserve">How </w:t>
      </w:r>
      <w:r w:rsidR="00022497" w:rsidRPr="00022497">
        <w:rPr>
          <w:rFonts w:hint="eastAsia"/>
          <w:lang w:eastAsia="ja-JP"/>
        </w:rPr>
        <w:t>Let</w:t>
      </w:r>
      <w:r w:rsidR="00022497" w:rsidRPr="00022497">
        <w:rPr>
          <w:lang w:eastAsia="ja-JP"/>
        </w:rPr>
        <w:t>’</w:t>
      </w:r>
      <w:r w:rsidR="00022497" w:rsidRPr="00022497">
        <w:rPr>
          <w:rFonts w:hint="eastAsia"/>
          <w:lang w:eastAsia="ja-JP"/>
        </w:rPr>
        <w:t>s Talk Finance 1</w:t>
      </w:r>
      <w:r w:rsidR="00022497" w:rsidRPr="00022497">
        <w:t xml:space="preserve"> </w:t>
      </w:r>
      <w:r w:rsidR="00022497">
        <w:rPr>
          <w:rFonts w:hint="eastAsia"/>
          <w:lang w:eastAsia="ja-JP"/>
        </w:rPr>
        <w:t>i</w:t>
      </w:r>
      <w:r w:rsidRPr="00022497">
        <w:t>s Organized</w:t>
      </w:r>
    </w:p>
    <w:p w14:paraId="2C80172A" w14:textId="77777777" w:rsidR="00022497" w:rsidRPr="00F95F76" w:rsidRDefault="004B559C" w:rsidP="004B559C">
      <w:pPr>
        <w:pStyle w:val="BodyText"/>
        <w:rPr>
          <w:sz w:val="22"/>
          <w:szCs w:val="32"/>
        </w:rPr>
      </w:pPr>
      <w:r w:rsidRPr="00F95F76">
        <w:rPr>
          <w:sz w:val="22"/>
          <w:szCs w:val="32"/>
        </w:rPr>
        <w:t xml:space="preserve">The 20 topics in </w:t>
      </w:r>
      <w:r w:rsidR="00022497" w:rsidRPr="00F95F76">
        <w:rPr>
          <w:rFonts w:hint="eastAsia"/>
          <w:b/>
          <w:bCs/>
          <w:color w:val="124F1A" w:themeColor="accent3" w:themeShade="BF"/>
          <w:sz w:val="22"/>
          <w:szCs w:val="32"/>
          <w:lang w:eastAsia="ja-JP"/>
        </w:rPr>
        <w:t>Let</w:t>
      </w:r>
      <w:r w:rsidR="00022497" w:rsidRPr="00F95F76">
        <w:rPr>
          <w:b/>
          <w:bCs/>
          <w:color w:val="124F1A" w:themeColor="accent3" w:themeShade="BF"/>
          <w:sz w:val="22"/>
          <w:szCs w:val="32"/>
          <w:lang w:eastAsia="ja-JP"/>
        </w:rPr>
        <w:t>’</w:t>
      </w:r>
      <w:r w:rsidR="00022497" w:rsidRPr="00F95F76">
        <w:rPr>
          <w:rFonts w:hint="eastAsia"/>
          <w:b/>
          <w:bCs/>
          <w:color w:val="124F1A" w:themeColor="accent3" w:themeShade="BF"/>
          <w:sz w:val="22"/>
          <w:szCs w:val="32"/>
          <w:lang w:eastAsia="ja-JP"/>
        </w:rPr>
        <w:t>s Talk Finance 1</w:t>
      </w:r>
      <w:r w:rsidRPr="00F95F76">
        <w:rPr>
          <w:color w:val="124F1A" w:themeColor="accent3" w:themeShade="BF"/>
          <w:sz w:val="22"/>
          <w:szCs w:val="32"/>
        </w:rPr>
        <w:t xml:space="preserve"> </w:t>
      </w:r>
      <w:r w:rsidRPr="00F95F76">
        <w:rPr>
          <w:sz w:val="22"/>
          <w:szCs w:val="32"/>
        </w:rPr>
        <w:t xml:space="preserve">are organized around four ways that finance shapes public life beyond the household — the systems, institutions and rules that govern money at scale. </w:t>
      </w:r>
    </w:p>
    <w:p w14:paraId="49057070"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1: Money, Payments and Financial Technology</w:t>
      </w:r>
    </w:p>
    <w:p w14:paraId="70B74BC8" w14:textId="77777777" w:rsidR="004B559C" w:rsidRPr="00F95F76" w:rsidRDefault="004B559C" w:rsidP="004B559C">
      <w:pPr>
        <w:pStyle w:val="BodyText"/>
        <w:rPr>
          <w:sz w:val="22"/>
          <w:szCs w:val="32"/>
        </w:rPr>
      </w:pPr>
      <w:r w:rsidRPr="00F95F76">
        <w:rPr>
          <w:sz w:val="22"/>
          <w:szCs w:val="32"/>
        </w:rPr>
        <w:t>How new forms of money and payment technology are changing, and how regulators are responding.</w:t>
      </w:r>
    </w:p>
    <w:p w14:paraId="42E3225B"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2: Markets, Institutions and Financial Stability</w:t>
      </w:r>
    </w:p>
    <w:p w14:paraId="1EA9C9B6" w14:textId="77777777" w:rsidR="004B559C" w:rsidRPr="00F95F76" w:rsidRDefault="004B559C" w:rsidP="004B559C">
      <w:pPr>
        <w:pStyle w:val="BodyText"/>
        <w:rPr>
          <w:sz w:val="22"/>
          <w:szCs w:val="32"/>
        </w:rPr>
      </w:pPr>
      <w:r w:rsidRPr="00F95F76">
        <w:rPr>
          <w:sz w:val="22"/>
          <w:szCs w:val="32"/>
        </w:rPr>
        <w:t>How markets, credit ratings, insurers and banks are supervised, and what happens when the system comes under stress.</w:t>
      </w:r>
    </w:p>
    <w:p w14:paraId="72AC1DFC"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3: Capital, Investment and Public Policy</w:t>
      </w:r>
    </w:p>
    <w:p w14:paraId="500748B4" w14:textId="77777777" w:rsidR="004B559C" w:rsidRPr="00F95F76" w:rsidRDefault="004B559C" w:rsidP="004B559C">
      <w:pPr>
        <w:pStyle w:val="BodyText"/>
        <w:rPr>
          <w:sz w:val="22"/>
          <w:szCs w:val="32"/>
        </w:rPr>
      </w:pPr>
      <w:r w:rsidRPr="00F95F76">
        <w:rPr>
          <w:sz w:val="22"/>
          <w:szCs w:val="32"/>
        </w:rPr>
        <w:t>How large flows of capital — green finance, infrastructure, trade, pensions, recovery spending — are directed and governed.</w:t>
      </w:r>
    </w:p>
    <w:p w14:paraId="427CFA7B"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4: Finance, Fairness and Global Cooperation</w:t>
      </w:r>
    </w:p>
    <w:p w14:paraId="4FA21966" w14:textId="77777777" w:rsidR="004B559C" w:rsidRPr="00F95F76" w:rsidRDefault="004B559C" w:rsidP="004B559C">
      <w:pPr>
        <w:pStyle w:val="BodyText"/>
        <w:rPr>
          <w:sz w:val="22"/>
          <w:szCs w:val="32"/>
        </w:rPr>
      </w:pPr>
      <w:r w:rsidRPr="00F95F76">
        <w:rPr>
          <w:sz w:val="22"/>
          <w:szCs w:val="32"/>
        </w:rPr>
        <w:t>How financial systems address fairness, accountability and cooperation across borders.</w:t>
      </w:r>
    </w:p>
    <w:p w14:paraId="18B53A4B" w14:textId="77777777" w:rsidR="004B559C" w:rsidRDefault="004B559C">
      <w:r>
        <w:br w:type="page"/>
      </w:r>
      <w:r>
        <w:lastRenderedPageBreak/>
        <w:br w:type="page"/>
      </w:r>
    </w:p>
    <w:sdt>
      <w:sdtPr>
        <w:rPr>
          <w:rFonts w:ascii="Noto Sans" w:eastAsiaTheme="minorEastAsia" w:hAnsi="Noto Sans" w:cstheme="minorBidi"/>
          <w:color w:val="auto"/>
          <w:sz w:val="20"/>
          <w:szCs w:val="24"/>
        </w:rPr>
        <w:id w:val="2071232413"/>
        <w:docPartObj>
          <w:docPartGallery w:val="Table of Contents"/>
          <w:docPartUnique/>
        </w:docPartObj>
      </w:sdtPr>
      <w:sdtEndPr>
        <w:rPr>
          <w:b/>
          <w:bCs/>
          <w:noProof/>
        </w:rPr>
      </w:sdtEndPr>
      <w:sdtContent>
        <w:p w14:paraId="7B8A19B9" w14:textId="77777777" w:rsidR="004B559C" w:rsidRDefault="004B559C" w:rsidP="009066A4">
          <w:pPr>
            <w:pStyle w:val="Heading2nolevel"/>
          </w:pPr>
          <w:r>
            <w:t>Contents</w:t>
          </w:r>
        </w:p>
        <w:p w14:paraId="7C09BD2C" w14:textId="3ACB053F" w:rsidR="004B559C" w:rsidRDefault="004B559C" w:rsidP="004B559C">
          <w:pPr>
            <w:pStyle w:val="TOC1"/>
            <w:rPr>
              <w:rFonts w:asciiTheme="minorHAnsi" w:hAnsiTheme="minorHAnsi"/>
              <w:color w:val="auto"/>
              <w:kern w:val="2"/>
              <w:sz w:val="24"/>
              <w:lang w:eastAsia="ja-JP"/>
              <w14:ligatures w14:val="standardContextual"/>
            </w:rPr>
          </w:pPr>
          <w:r>
            <w:fldChar w:fldCharType="begin"/>
          </w:r>
          <w:r>
            <w:instrText xml:space="preserve"> TOC \o "1-2" \h \z \u </w:instrText>
          </w:r>
          <w:r>
            <w:fldChar w:fldCharType="separate"/>
          </w:r>
          <w:hyperlink w:anchor="_Toc240452332" w:history="1">
            <w:r w:rsidRPr="003451E8">
              <w:rPr>
                <w:rStyle w:val="Hyperlink"/>
              </w:rPr>
              <w:t>Part 1</w:t>
            </w:r>
            <w:r w:rsidRPr="003451E8">
              <w:rPr>
                <w:rStyle w:val="Hyperlink"/>
                <w:lang w:eastAsia="ja-JP"/>
              </w:rPr>
              <w:t xml:space="preserve">  </w:t>
            </w:r>
            <w:r w:rsidRPr="003451E8">
              <w:rPr>
                <w:rStyle w:val="Hyperlink"/>
              </w:rPr>
              <w:t>Money, Payments and Financial Technology</w:t>
            </w:r>
            <w:r>
              <w:rPr>
                <w:webHidden/>
              </w:rPr>
              <w:tab/>
            </w:r>
            <w:r>
              <w:rPr>
                <w:webHidden/>
              </w:rPr>
              <w:fldChar w:fldCharType="begin"/>
            </w:r>
            <w:r>
              <w:rPr>
                <w:webHidden/>
              </w:rPr>
              <w:instrText xml:space="preserve"> PAGEREF _Toc240452332 \h </w:instrText>
            </w:r>
            <w:r>
              <w:rPr>
                <w:webHidden/>
              </w:rPr>
            </w:r>
            <w:r>
              <w:rPr>
                <w:webHidden/>
              </w:rPr>
              <w:fldChar w:fldCharType="separate"/>
            </w:r>
            <w:r w:rsidR="00F62C48">
              <w:rPr>
                <w:webHidden/>
              </w:rPr>
              <w:t>1</w:t>
            </w:r>
            <w:r>
              <w:rPr>
                <w:webHidden/>
              </w:rPr>
              <w:fldChar w:fldCharType="end"/>
            </w:r>
          </w:hyperlink>
        </w:p>
        <w:p w14:paraId="1CAB41A4" w14:textId="3A8DCBB1" w:rsidR="004B559C" w:rsidRDefault="004B559C" w:rsidP="004B559C">
          <w:pPr>
            <w:pStyle w:val="TOC2"/>
            <w:rPr>
              <w:rFonts w:asciiTheme="minorHAnsi" w:hAnsiTheme="minorHAnsi"/>
              <w:color w:val="auto"/>
              <w:kern w:val="2"/>
              <w:sz w:val="24"/>
              <w:lang w:eastAsia="ja-JP"/>
              <w14:ligatures w14:val="standardContextual"/>
            </w:rPr>
          </w:pPr>
          <w:hyperlink w:anchor="_Toc240452333" w:history="1">
            <w:r w:rsidRPr="003451E8">
              <w:rPr>
                <w:rStyle w:val="Hyperlink"/>
              </w:rPr>
              <w:t>1.1. Crypt</w:t>
            </w:r>
            <w:r w:rsidRPr="003451E8">
              <w:rPr>
                <w:rStyle w:val="Hyperlink"/>
                <w:shd w:val="pct15" w:color="auto" w:fill="FFFFFF"/>
              </w:rPr>
              <w:t>ocurre</w:t>
            </w:r>
            <w:r w:rsidRPr="003451E8">
              <w:rPr>
                <w:rStyle w:val="Hyperlink"/>
              </w:rPr>
              <w:t>ncy Regulation</w:t>
            </w:r>
            <w:r>
              <w:rPr>
                <w:webHidden/>
              </w:rPr>
              <w:tab/>
            </w:r>
            <w:r>
              <w:rPr>
                <w:webHidden/>
              </w:rPr>
              <w:fldChar w:fldCharType="begin"/>
            </w:r>
            <w:r>
              <w:rPr>
                <w:webHidden/>
              </w:rPr>
              <w:instrText xml:space="preserve"> PAGEREF _Toc240452333 \h </w:instrText>
            </w:r>
            <w:r>
              <w:rPr>
                <w:webHidden/>
              </w:rPr>
            </w:r>
            <w:r>
              <w:rPr>
                <w:webHidden/>
              </w:rPr>
              <w:fldChar w:fldCharType="separate"/>
            </w:r>
            <w:r w:rsidR="00F62C48">
              <w:rPr>
                <w:webHidden/>
              </w:rPr>
              <w:t>2</w:t>
            </w:r>
            <w:r>
              <w:rPr>
                <w:webHidden/>
              </w:rPr>
              <w:fldChar w:fldCharType="end"/>
            </w:r>
          </w:hyperlink>
        </w:p>
        <w:p w14:paraId="7101DF68" w14:textId="5E907967" w:rsidR="004B559C" w:rsidRDefault="004B559C" w:rsidP="004B559C">
          <w:pPr>
            <w:pStyle w:val="TOC2"/>
            <w:rPr>
              <w:rFonts w:asciiTheme="minorHAnsi" w:hAnsiTheme="minorHAnsi"/>
              <w:color w:val="auto"/>
              <w:kern w:val="2"/>
              <w:sz w:val="24"/>
              <w:lang w:eastAsia="ja-JP"/>
              <w14:ligatures w14:val="standardContextual"/>
            </w:rPr>
          </w:pPr>
          <w:hyperlink w:anchor="_Toc240452334" w:history="1">
            <w:r w:rsidRPr="003451E8">
              <w:rPr>
                <w:rStyle w:val="Hyperlink"/>
              </w:rPr>
              <w:t>1.2. Central Bank Digital Currencies</w:t>
            </w:r>
            <w:r>
              <w:rPr>
                <w:webHidden/>
              </w:rPr>
              <w:tab/>
            </w:r>
            <w:r>
              <w:rPr>
                <w:webHidden/>
              </w:rPr>
              <w:fldChar w:fldCharType="begin"/>
            </w:r>
            <w:r>
              <w:rPr>
                <w:webHidden/>
              </w:rPr>
              <w:instrText xml:space="preserve"> PAGEREF _Toc240452334 \h </w:instrText>
            </w:r>
            <w:r>
              <w:rPr>
                <w:webHidden/>
              </w:rPr>
            </w:r>
            <w:r>
              <w:rPr>
                <w:webHidden/>
              </w:rPr>
              <w:fldChar w:fldCharType="separate"/>
            </w:r>
            <w:r w:rsidR="00F62C48">
              <w:rPr>
                <w:webHidden/>
              </w:rPr>
              <w:t>4</w:t>
            </w:r>
            <w:r>
              <w:rPr>
                <w:webHidden/>
              </w:rPr>
              <w:fldChar w:fldCharType="end"/>
            </w:r>
          </w:hyperlink>
        </w:p>
        <w:p w14:paraId="6FE486C6" w14:textId="0F12A4F5" w:rsidR="004B559C" w:rsidRDefault="004B559C" w:rsidP="004B559C">
          <w:pPr>
            <w:pStyle w:val="TOC2"/>
            <w:rPr>
              <w:rFonts w:asciiTheme="minorHAnsi" w:hAnsiTheme="minorHAnsi"/>
              <w:color w:val="auto"/>
              <w:kern w:val="2"/>
              <w:sz w:val="24"/>
              <w:lang w:eastAsia="ja-JP"/>
              <w14:ligatures w14:val="standardContextual"/>
            </w:rPr>
          </w:pPr>
          <w:hyperlink w:anchor="_Toc240452335" w:history="1">
            <w:r w:rsidRPr="003451E8">
              <w:rPr>
                <w:rStyle w:val="Hyperlink"/>
              </w:rPr>
              <w:t>1.3. Financial Technology (Fintech) Regulation</w:t>
            </w:r>
            <w:r>
              <w:rPr>
                <w:webHidden/>
              </w:rPr>
              <w:tab/>
            </w:r>
            <w:r>
              <w:rPr>
                <w:webHidden/>
              </w:rPr>
              <w:fldChar w:fldCharType="begin"/>
            </w:r>
            <w:r>
              <w:rPr>
                <w:webHidden/>
              </w:rPr>
              <w:instrText xml:space="preserve"> PAGEREF _Toc240452335 \h </w:instrText>
            </w:r>
            <w:r>
              <w:rPr>
                <w:webHidden/>
              </w:rPr>
            </w:r>
            <w:r>
              <w:rPr>
                <w:webHidden/>
              </w:rPr>
              <w:fldChar w:fldCharType="separate"/>
            </w:r>
            <w:r w:rsidR="00F62C48">
              <w:rPr>
                <w:webHidden/>
              </w:rPr>
              <w:t>6</w:t>
            </w:r>
            <w:r>
              <w:rPr>
                <w:webHidden/>
              </w:rPr>
              <w:fldChar w:fldCharType="end"/>
            </w:r>
          </w:hyperlink>
        </w:p>
        <w:p w14:paraId="2D134CA5" w14:textId="331B21E7" w:rsidR="004B559C" w:rsidRDefault="004B559C" w:rsidP="004B559C">
          <w:pPr>
            <w:pStyle w:val="TOC2"/>
            <w:rPr>
              <w:rFonts w:asciiTheme="minorHAnsi" w:hAnsiTheme="minorHAnsi"/>
              <w:color w:val="auto"/>
              <w:kern w:val="2"/>
              <w:sz w:val="24"/>
              <w:lang w:eastAsia="ja-JP"/>
              <w14:ligatures w14:val="standardContextual"/>
            </w:rPr>
          </w:pPr>
          <w:hyperlink w:anchor="_Toc240452336" w:history="1">
            <w:r w:rsidRPr="003451E8">
              <w:rPr>
                <w:rStyle w:val="Hyperlink"/>
              </w:rPr>
              <w:t>1.4. Data Privacy and Protection</w:t>
            </w:r>
            <w:r>
              <w:rPr>
                <w:webHidden/>
              </w:rPr>
              <w:tab/>
            </w:r>
            <w:r>
              <w:rPr>
                <w:webHidden/>
              </w:rPr>
              <w:fldChar w:fldCharType="begin"/>
            </w:r>
            <w:r>
              <w:rPr>
                <w:webHidden/>
              </w:rPr>
              <w:instrText xml:space="preserve"> PAGEREF _Toc240452336 \h </w:instrText>
            </w:r>
            <w:r>
              <w:rPr>
                <w:webHidden/>
              </w:rPr>
            </w:r>
            <w:r>
              <w:rPr>
                <w:webHidden/>
              </w:rPr>
              <w:fldChar w:fldCharType="separate"/>
            </w:r>
            <w:r w:rsidR="00F62C48">
              <w:rPr>
                <w:webHidden/>
              </w:rPr>
              <w:t>8</w:t>
            </w:r>
            <w:r>
              <w:rPr>
                <w:webHidden/>
              </w:rPr>
              <w:fldChar w:fldCharType="end"/>
            </w:r>
          </w:hyperlink>
        </w:p>
        <w:p w14:paraId="58703360" w14:textId="290FF631" w:rsidR="004B559C" w:rsidRDefault="004B559C" w:rsidP="004B559C">
          <w:pPr>
            <w:pStyle w:val="TOC2"/>
            <w:rPr>
              <w:rFonts w:asciiTheme="minorHAnsi" w:hAnsiTheme="minorHAnsi"/>
              <w:color w:val="auto"/>
              <w:kern w:val="2"/>
              <w:sz w:val="24"/>
              <w:lang w:eastAsia="ja-JP"/>
              <w14:ligatures w14:val="standardContextual"/>
            </w:rPr>
          </w:pPr>
          <w:hyperlink w:anchor="_Toc240452337" w:history="1">
            <w:r w:rsidRPr="003451E8">
              <w:rPr>
                <w:rStyle w:val="Hyperlink"/>
              </w:rPr>
              <w:t>1.5. Financial Inclusion Initiatives</w:t>
            </w:r>
            <w:r>
              <w:rPr>
                <w:webHidden/>
              </w:rPr>
              <w:tab/>
            </w:r>
            <w:r>
              <w:rPr>
                <w:webHidden/>
              </w:rPr>
              <w:fldChar w:fldCharType="begin"/>
            </w:r>
            <w:r>
              <w:rPr>
                <w:webHidden/>
              </w:rPr>
              <w:instrText xml:space="preserve"> PAGEREF _Toc240452337 \h </w:instrText>
            </w:r>
            <w:r>
              <w:rPr>
                <w:webHidden/>
              </w:rPr>
            </w:r>
            <w:r>
              <w:rPr>
                <w:webHidden/>
              </w:rPr>
              <w:fldChar w:fldCharType="separate"/>
            </w:r>
            <w:r w:rsidR="00F62C48">
              <w:rPr>
                <w:webHidden/>
              </w:rPr>
              <w:t>10</w:t>
            </w:r>
            <w:r>
              <w:rPr>
                <w:webHidden/>
              </w:rPr>
              <w:fldChar w:fldCharType="end"/>
            </w:r>
          </w:hyperlink>
        </w:p>
        <w:p w14:paraId="636FD71E" w14:textId="75E05A64" w:rsidR="004B559C" w:rsidRDefault="004B559C" w:rsidP="004B559C">
          <w:pPr>
            <w:pStyle w:val="TOC1"/>
            <w:rPr>
              <w:rFonts w:asciiTheme="minorHAnsi" w:hAnsiTheme="minorHAnsi"/>
              <w:color w:val="auto"/>
              <w:kern w:val="2"/>
              <w:sz w:val="24"/>
              <w:lang w:eastAsia="ja-JP"/>
              <w14:ligatures w14:val="standardContextual"/>
            </w:rPr>
          </w:pPr>
          <w:hyperlink w:anchor="_Toc240452338" w:history="1">
            <w:r w:rsidRPr="003451E8">
              <w:rPr>
                <w:rStyle w:val="Hyperlink"/>
              </w:rPr>
              <w:t>Part 2 Markets, Institutions and Financial Stability</w:t>
            </w:r>
            <w:r>
              <w:rPr>
                <w:webHidden/>
              </w:rPr>
              <w:tab/>
            </w:r>
            <w:r>
              <w:rPr>
                <w:webHidden/>
              </w:rPr>
              <w:fldChar w:fldCharType="begin"/>
            </w:r>
            <w:r>
              <w:rPr>
                <w:webHidden/>
              </w:rPr>
              <w:instrText xml:space="preserve"> PAGEREF _Toc240452338 \h </w:instrText>
            </w:r>
            <w:r>
              <w:rPr>
                <w:webHidden/>
              </w:rPr>
            </w:r>
            <w:r>
              <w:rPr>
                <w:webHidden/>
              </w:rPr>
              <w:fldChar w:fldCharType="separate"/>
            </w:r>
            <w:r w:rsidR="00F62C48">
              <w:rPr>
                <w:webHidden/>
              </w:rPr>
              <w:t>13</w:t>
            </w:r>
            <w:r>
              <w:rPr>
                <w:webHidden/>
              </w:rPr>
              <w:fldChar w:fldCharType="end"/>
            </w:r>
          </w:hyperlink>
        </w:p>
        <w:p w14:paraId="549C93A8" w14:textId="25EB8DF8" w:rsidR="004B559C" w:rsidRDefault="004B559C" w:rsidP="004B559C">
          <w:pPr>
            <w:pStyle w:val="TOC2"/>
            <w:rPr>
              <w:rFonts w:asciiTheme="minorHAnsi" w:hAnsiTheme="minorHAnsi"/>
              <w:color w:val="auto"/>
              <w:kern w:val="2"/>
              <w:sz w:val="24"/>
              <w:lang w:eastAsia="ja-JP"/>
              <w14:ligatures w14:val="standardContextual"/>
            </w:rPr>
          </w:pPr>
          <w:hyperlink w:anchor="_Toc240452339" w:history="1">
            <w:r w:rsidRPr="003451E8">
              <w:rPr>
                <w:rStyle w:val="Hyperlink"/>
              </w:rPr>
              <w:t>2.1. Regulatory Responses to Market Volatility</w:t>
            </w:r>
            <w:r>
              <w:rPr>
                <w:webHidden/>
              </w:rPr>
              <w:tab/>
            </w:r>
            <w:r>
              <w:rPr>
                <w:webHidden/>
              </w:rPr>
              <w:fldChar w:fldCharType="begin"/>
            </w:r>
            <w:r>
              <w:rPr>
                <w:webHidden/>
              </w:rPr>
              <w:instrText xml:space="preserve"> PAGEREF _Toc240452339 \h </w:instrText>
            </w:r>
            <w:r>
              <w:rPr>
                <w:webHidden/>
              </w:rPr>
            </w:r>
            <w:r>
              <w:rPr>
                <w:webHidden/>
              </w:rPr>
              <w:fldChar w:fldCharType="separate"/>
            </w:r>
            <w:r w:rsidR="00F62C48">
              <w:rPr>
                <w:webHidden/>
              </w:rPr>
              <w:t>14</w:t>
            </w:r>
            <w:r>
              <w:rPr>
                <w:webHidden/>
              </w:rPr>
              <w:fldChar w:fldCharType="end"/>
            </w:r>
          </w:hyperlink>
        </w:p>
        <w:p w14:paraId="15D9743E" w14:textId="008CD9A7" w:rsidR="004B559C" w:rsidRDefault="004B559C" w:rsidP="004B559C">
          <w:pPr>
            <w:pStyle w:val="TOC2"/>
            <w:rPr>
              <w:rFonts w:asciiTheme="minorHAnsi" w:hAnsiTheme="minorHAnsi"/>
              <w:color w:val="auto"/>
              <w:kern w:val="2"/>
              <w:sz w:val="24"/>
              <w:lang w:eastAsia="ja-JP"/>
              <w14:ligatures w14:val="standardContextual"/>
            </w:rPr>
          </w:pPr>
          <w:hyperlink w:anchor="_Toc240452340" w:history="1">
            <w:r w:rsidRPr="003451E8">
              <w:rPr>
                <w:rStyle w:val="Hyperlink"/>
              </w:rPr>
              <w:t>2.2. Credit Rating Agencies Oversight</w:t>
            </w:r>
            <w:r>
              <w:rPr>
                <w:webHidden/>
              </w:rPr>
              <w:tab/>
            </w:r>
            <w:r>
              <w:rPr>
                <w:webHidden/>
              </w:rPr>
              <w:fldChar w:fldCharType="begin"/>
            </w:r>
            <w:r>
              <w:rPr>
                <w:webHidden/>
              </w:rPr>
              <w:instrText xml:space="preserve"> PAGEREF _Toc240452340 \h </w:instrText>
            </w:r>
            <w:r>
              <w:rPr>
                <w:webHidden/>
              </w:rPr>
            </w:r>
            <w:r>
              <w:rPr>
                <w:webHidden/>
              </w:rPr>
              <w:fldChar w:fldCharType="separate"/>
            </w:r>
            <w:r w:rsidR="00F62C48">
              <w:rPr>
                <w:webHidden/>
              </w:rPr>
              <w:t>16</w:t>
            </w:r>
            <w:r>
              <w:rPr>
                <w:webHidden/>
              </w:rPr>
              <w:fldChar w:fldCharType="end"/>
            </w:r>
          </w:hyperlink>
        </w:p>
        <w:p w14:paraId="524D2AB1" w14:textId="7B0C2685" w:rsidR="004B559C" w:rsidRDefault="004B559C" w:rsidP="004B559C">
          <w:pPr>
            <w:pStyle w:val="TOC2"/>
            <w:rPr>
              <w:rFonts w:asciiTheme="minorHAnsi" w:hAnsiTheme="minorHAnsi"/>
              <w:color w:val="auto"/>
              <w:kern w:val="2"/>
              <w:sz w:val="24"/>
              <w:lang w:eastAsia="ja-JP"/>
              <w14:ligatures w14:val="standardContextual"/>
            </w:rPr>
          </w:pPr>
          <w:hyperlink w:anchor="_Toc240452341" w:history="1">
            <w:r w:rsidRPr="003451E8">
              <w:rPr>
                <w:rStyle w:val="Hyperlink"/>
              </w:rPr>
              <w:t>2.3. Insurance Market Regulation</w:t>
            </w:r>
            <w:r>
              <w:rPr>
                <w:webHidden/>
              </w:rPr>
              <w:tab/>
            </w:r>
            <w:r>
              <w:rPr>
                <w:webHidden/>
              </w:rPr>
              <w:fldChar w:fldCharType="begin"/>
            </w:r>
            <w:r>
              <w:rPr>
                <w:webHidden/>
              </w:rPr>
              <w:instrText xml:space="preserve"> PAGEREF _Toc240452341 \h </w:instrText>
            </w:r>
            <w:r>
              <w:rPr>
                <w:webHidden/>
              </w:rPr>
            </w:r>
            <w:r>
              <w:rPr>
                <w:webHidden/>
              </w:rPr>
              <w:fldChar w:fldCharType="separate"/>
            </w:r>
            <w:r w:rsidR="00F62C48">
              <w:rPr>
                <w:webHidden/>
              </w:rPr>
              <w:t>18</w:t>
            </w:r>
            <w:r>
              <w:rPr>
                <w:webHidden/>
              </w:rPr>
              <w:fldChar w:fldCharType="end"/>
            </w:r>
          </w:hyperlink>
        </w:p>
        <w:p w14:paraId="756B9CAB" w14:textId="46BF86D3" w:rsidR="004B559C" w:rsidRDefault="004B559C" w:rsidP="004B559C">
          <w:pPr>
            <w:pStyle w:val="TOC2"/>
            <w:rPr>
              <w:rFonts w:asciiTheme="minorHAnsi" w:hAnsiTheme="minorHAnsi"/>
              <w:color w:val="auto"/>
              <w:kern w:val="2"/>
              <w:sz w:val="24"/>
              <w:lang w:eastAsia="ja-JP"/>
              <w14:ligatures w14:val="standardContextual"/>
            </w:rPr>
          </w:pPr>
          <w:hyperlink w:anchor="_Toc240452342" w:history="1">
            <w:r w:rsidRPr="003451E8">
              <w:rPr>
                <w:rStyle w:val="Hyperlink"/>
              </w:rPr>
              <w:t>2.4. Stress Testing and Risk Management</w:t>
            </w:r>
            <w:r>
              <w:rPr>
                <w:webHidden/>
              </w:rPr>
              <w:tab/>
            </w:r>
            <w:r>
              <w:rPr>
                <w:webHidden/>
              </w:rPr>
              <w:fldChar w:fldCharType="begin"/>
            </w:r>
            <w:r>
              <w:rPr>
                <w:webHidden/>
              </w:rPr>
              <w:instrText xml:space="preserve"> PAGEREF _Toc240452342 \h </w:instrText>
            </w:r>
            <w:r>
              <w:rPr>
                <w:webHidden/>
              </w:rPr>
            </w:r>
            <w:r>
              <w:rPr>
                <w:webHidden/>
              </w:rPr>
              <w:fldChar w:fldCharType="separate"/>
            </w:r>
            <w:r w:rsidR="00F62C48">
              <w:rPr>
                <w:webHidden/>
              </w:rPr>
              <w:t>20</w:t>
            </w:r>
            <w:r>
              <w:rPr>
                <w:webHidden/>
              </w:rPr>
              <w:fldChar w:fldCharType="end"/>
            </w:r>
          </w:hyperlink>
        </w:p>
        <w:p w14:paraId="3C663A31" w14:textId="102E7EB4" w:rsidR="004B559C" w:rsidRDefault="004B559C" w:rsidP="004B559C">
          <w:pPr>
            <w:pStyle w:val="TOC2"/>
            <w:rPr>
              <w:rFonts w:asciiTheme="minorHAnsi" w:hAnsiTheme="minorHAnsi"/>
              <w:color w:val="auto"/>
              <w:kern w:val="2"/>
              <w:sz w:val="24"/>
              <w:lang w:eastAsia="ja-JP"/>
              <w14:ligatures w14:val="standardContextual"/>
            </w:rPr>
          </w:pPr>
          <w:hyperlink w:anchor="_Toc240452343" w:history="1">
            <w:r w:rsidRPr="003451E8">
              <w:rPr>
                <w:rStyle w:val="Hyperlink"/>
              </w:rPr>
              <w:t>2.5. Sovereign Debt Management</w:t>
            </w:r>
            <w:r>
              <w:rPr>
                <w:webHidden/>
              </w:rPr>
              <w:tab/>
            </w:r>
            <w:r>
              <w:rPr>
                <w:webHidden/>
              </w:rPr>
              <w:fldChar w:fldCharType="begin"/>
            </w:r>
            <w:r>
              <w:rPr>
                <w:webHidden/>
              </w:rPr>
              <w:instrText xml:space="preserve"> PAGEREF _Toc240452343 \h </w:instrText>
            </w:r>
            <w:r>
              <w:rPr>
                <w:webHidden/>
              </w:rPr>
            </w:r>
            <w:r>
              <w:rPr>
                <w:webHidden/>
              </w:rPr>
              <w:fldChar w:fldCharType="separate"/>
            </w:r>
            <w:r w:rsidR="00F62C48">
              <w:rPr>
                <w:webHidden/>
              </w:rPr>
              <w:t>22</w:t>
            </w:r>
            <w:r>
              <w:rPr>
                <w:webHidden/>
              </w:rPr>
              <w:fldChar w:fldCharType="end"/>
            </w:r>
          </w:hyperlink>
        </w:p>
        <w:p w14:paraId="38D33D32" w14:textId="30AFEEC4" w:rsidR="004B559C" w:rsidRDefault="004B559C" w:rsidP="004B559C">
          <w:pPr>
            <w:pStyle w:val="TOC1"/>
            <w:rPr>
              <w:rFonts w:asciiTheme="minorHAnsi" w:hAnsiTheme="minorHAnsi"/>
              <w:color w:val="auto"/>
              <w:kern w:val="2"/>
              <w:sz w:val="24"/>
              <w:lang w:eastAsia="ja-JP"/>
              <w14:ligatures w14:val="standardContextual"/>
            </w:rPr>
          </w:pPr>
          <w:hyperlink w:anchor="_Toc240452344" w:history="1">
            <w:r w:rsidRPr="003451E8">
              <w:rPr>
                <w:rStyle w:val="Hyperlink"/>
              </w:rPr>
              <w:t>Part 3</w:t>
            </w:r>
            <w:r w:rsidRPr="003451E8">
              <w:rPr>
                <w:rStyle w:val="Hyperlink"/>
                <w:lang w:eastAsia="ja-JP"/>
              </w:rPr>
              <w:t xml:space="preserve">  </w:t>
            </w:r>
            <w:r w:rsidRPr="003451E8">
              <w:rPr>
                <w:rStyle w:val="Hyperlink"/>
              </w:rPr>
              <w:t>Capital, Investment and Public Policy</w:t>
            </w:r>
            <w:r>
              <w:rPr>
                <w:webHidden/>
              </w:rPr>
              <w:tab/>
            </w:r>
            <w:r>
              <w:rPr>
                <w:webHidden/>
              </w:rPr>
              <w:fldChar w:fldCharType="begin"/>
            </w:r>
            <w:r>
              <w:rPr>
                <w:webHidden/>
              </w:rPr>
              <w:instrText xml:space="preserve"> PAGEREF _Toc240452344 \h </w:instrText>
            </w:r>
            <w:r>
              <w:rPr>
                <w:webHidden/>
              </w:rPr>
            </w:r>
            <w:r>
              <w:rPr>
                <w:webHidden/>
              </w:rPr>
              <w:fldChar w:fldCharType="separate"/>
            </w:r>
            <w:r w:rsidR="00F62C48">
              <w:rPr>
                <w:webHidden/>
              </w:rPr>
              <w:t>25</w:t>
            </w:r>
            <w:r>
              <w:rPr>
                <w:webHidden/>
              </w:rPr>
              <w:fldChar w:fldCharType="end"/>
            </w:r>
          </w:hyperlink>
        </w:p>
        <w:p w14:paraId="1ADF8760" w14:textId="3AE297FF" w:rsidR="004B559C" w:rsidRDefault="004B559C" w:rsidP="004B559C">
          <w:pPr>
            <w:pStyle w:val="TOC2"/>
            <w:rPr>
              <w:rFonts w:asciiTheme="minorHAnsi" w:hAnsiTheme="minorHAnsi"/>
              <w:color w:val="auto"/>
              <w:kern w:val="2"/>
              <w:sz w:val="24"/>
              <w:lang w:eastAsia="ja-JP"/>
              <w14:ligatures w14:val="standardContextual"/>
            </w:rPr>
          </w:pPr>
          <w:hyperlink w:anchor="_Toc240452345" w:history="1">
            <w:r w:rsidRPr="003451E8">
              <w:rPr>
                <w:rStyle w:val="Hyperlink"/>
              </w:rPr>
              <w:t>3.1. Green Finance Initiatives</w:t>
            </w:r>
            <w:r>
              <w:rPr>
                <w:webHidden/>
              </w:rPr>
              <w:tab/>
            </w:r>
            <w:r>
              <w:rPr>
                <w:webHidden/>
              </w:rPr>
              <w:fldChar w:fldCharType="begin"/>
            </w:r>
            <w:r>
              <w:rPr>
                <w:webHidden/>
              </w:rPr>
              <w:instrText xml:space="preserve"> PAGEREF _Toc240452345 \h </w:instrText>
            </w:r>
            <w:r>
              <w:rPr>
                <w:webHidden/>
              </w:rPr>
            </w:r>
            <w:r>
              <w:rPr>
                <w:webHidden/>
              </w:rPr>
              <w:fldChar w:fldCharType="separate"/>
            </w:r>
            <w:r w:rsidR="00F62C48">
              <w:rPr>
                <w:webHidden/>
              </w:rPr>
              <w:t>26</w:t>
            </w:r>
            <w:r>
              <w:rPr>
                <w:webHidden/>
              </w:rPr>
              <w:fldChar w:fldCharType="end"/>
            </w:r>
          </w:hyperlink>
        </w:p>
        <w:p w14:paraId="0C592A0C" w14:textId="4081CE4B" w:rsidR="004B559C" w:rsidRDefault="004B559C" w:rsidP="004B559C">
          <w:pPr>
            <w:pStyle w:val="TOC2"/>
            <w:rPr>
              <w:rFonts w:asciiTheme="minorHAnsi" w:hAnsiTheme="minorHAnsi"/>
              <w:color w:val="auto"/>
              <w:kern w:val="2"/>
              <w:sz w:val="24"/>
              <w:lang w:eastAsia="ja-JP"/>
              <w14:ligatures w14:val="standardContextual"/>
            </w:rPr>
          </w:pPr>
          <w:hyperlink w:anchor="_Toc240452346" w:history="1">
            <w:r w:rsidRPr="003451E8">
              <w:rPr>
                <w:rStyle w:val="Hyperlink"/>
              </w:rPr>
              <w:t>3.2. Infrastructure Investment</w:t>
            </w:r>
            <w:r>
              <w:rPr>
                <w:webHidden/>
              </w:rPr>
              <w:tab/>
            </w:r>
            <w:r>
              <w:rPr>
                <w:webHidden/>
              </w:rPr>
              <w:fldChar w:fldCharType="begin"/>
            </w:r>
            <w:r>
              <w:rPr>
                <w:webHidden/>
              </w:rPr>
              <w:instrText xml:space="preserve"> PAGEREF _Toc240452346 \h </w:instrText>
            </w:r>
            <w:r>
              <w:rPr>
                <w:webHidden/>
              </w:rPr>
            </w:r>
            <w:r>
              <w:rPr>
                <w:webHidden/>
              </w:rPr>
              <w:fldChar w:fldCharType="separate"/>
            </w:r>
            <w:r w:rsidR="00F62C48">
              <w:rPr>
                <w:webHidden/>
              </w:rPr>
              <w:t>28</w:t>
            </w:r>
            <w:r>
              <w:rPr>
                <w:webHidden/>
              </w:rPr>
              <w:fldChar w:fldCharType="end"/>
            </w:r>
          </w:hyperlink>
        </w:p>
        <w:p w14:paraId="53AEBC5D" w14:textId="2B662A28" w:rsidR="004B559C" w:rsidRDefault="004B559C" w:rsidP="004B559C">
          <w:pPr>
            <w:pStyle w:val="TOC2"/>
            <w:rPr>
              <w:rFonts w:asciiTheme="minorHAnsi" w:hAnsiTheme="minorHAnsi"/>
              <w:color w:val="auto"/>
              <w:kern w:val="2"/>
              <w:sz w:val="24"/>
              <w:lang w:eastAsia="ja-JP"/>
              <w14:ligatures w14:val="standardContextual"/>
            </w:rPr>
          </w:pPr>
          <w:hyperlink w:anchor="_Toc240452347" w:history="1">
            <w:r w:rsidRPr="003451E8">
              <w:rPr>
                <w:rStyle w:val="Hyperlink"/>
              </w:rPr>
              <w:t>3.3. Trade Policies and Tariffs</w:t>
            </w:r>
            <w:r>
              <w:rPr>
                <w:webHidden/>
              </w:rPr>
              <w:tab/>
            </w:r>
            <w:r>
              <w:rPr>
                <w:webHidden/>
              </w:rPr>
              <w:fldChar w:fldCharType="begin"/>
            </w:r>
            <w:r>
              <w:rPr>
                <w:webHidden/>
              </w:rPr>
              <w:instrText xml:space="preserve"> PAGEREF _Toc240452347 \h </w:instrText>
            </w:r>
            <w:r>
              <w:rPr>
                <w:webHidden/>
              </w:rPr>
            </w:r>
            <w:r>
              <w:rPr>
                <w:webHidden/>
              </w:rPr>
              <w:fldChar w:fldCharType="separate"/>
            </w:r>
            <w:r w:rsidR="00F62C48">
              <w:rPr>
                <w:webHidden/>
              </w:rPr>
              <w:t>30</w:t>
            </w:r>
            <w:r>
              <w:rPr>
                <w:webHidden/>
              </w:rPr>
              <w:fldChar w:fldCharType="end"/>
            </w:r>
          </w:hyperlink>
        </w:p>
        <w:p w14:paraId="717D29DA" w14:textId="59F43B6F" w:rsidR="004B559C" w:rsidRDefault="004B559C" w:rsidP="004B559C">
          <w:pPr>
            <w:pStyle w:val="TOC2"/>
            <w:rPr>
              <w:rFonts w:asciiTheme="minorHAnsi" w:hAnsiTheme="minorHAnsi"/>
              <w:color w:val="auto"/>
              <w:kern w:val="2"/>
              <w:sz w:val="24"/>
              <w:lang w:eastAsia="ja-JP"/>
              <w14:ligatures w14:val="standardContextual"/>
            </w:rPr>
          </w:pPr>
          <w:hyperlink w:anchor="_Toc240452348" w:history="1">
            <w:r w:rsidRPr="003451E8">
              <w:rPr>
                <w:rStyle w:val="Hyperlink"/>
              </w:rPr>
              <w:t>3.4. Pension Reform</w:t>
            </w:r>
            <w:r>
              <w:rPr>
                <w:webHidden/>
              </w:rPr>
              <w:tab/>
            </w:r>
            <w:r>
              <w:rPr>
                <w:webHidden/>
              </w:rPr>
              <w:fldChar w:fldCharType="begin"/>
            </w:r>
            <w:r>
              <w:rPr>
                <w:webHidden/>
              </w:rPr>
              <w:instrText xml:space="preserve"> PAGEREF _Toc240452348 \h </w:instrText>
            </w:r>
            <w:r>
              <w:rPr>
                <w:webHidden/>
              </w:rPr>
            </w:r>
            <w:r>
              <w:rPr>
                <w:webHidden/>
              </w:rPr>
              <w:fldChar w:fldCharType="separate"/>
            </w:r>
            <w:r w:rsidR="00F62C48">
              <w:rPr>
                <w:webHidden/>
              </w:rPr>
              <w:t>32</w:t>
            </w:r>
            <w:r>
              <w:rPr>
                <w:webHidden/>
              </w:rPr>
              <w:fldChar w:fldCharType="end"/>
            </w:r>
          </w:hyperlink>
        </w:p>
        <w:p w14:paraId="69BB89E0" w14:textId="1851B6F7" w:rsidR="004B559C" w:rsidRDefault="004B559C" w:rsidP="004B559C">
          <w:pPr>
            <w:pStyle w:val="TOC2"/>
            <w:rPr>
              <w:rFonts w:asciiTheme="minorHAnsi" w:hAnsiTheme="minorHAnsi"/>
              <w:color w:val="auto"/>
              <w:kern w:val="2"/>
              <w:sz w:val="24"/>
              <w:lang w:eastAsia="ja-JP"/>
              <w14:ligatures w14:val="standardContextual"/>
            </w:rPr>
          </w:pPr>
          <w:hyperlink w:anchor="_Toc240452349" w:history="1">
            <w:r w:rsidRPr="003451E8">
              <w:rPr>
                <w:rStyle w:val="Hyperlink"/>
              </w:rPr>
              <w:t>3.5. Global Economic Recovery Post-COVID</w:t>
            </w:r>
            <w:r>
              <w:rPr>
                <w:webHidden/>
              </w:rPr>
              <w:tab/>
            </w:r>
            <w:r>
              <w:rPr>
                <w:webHidden/>
              </w:rPr>
              <w:fldChar w:fldCharType="begin"/>
            </w:r>
            <w:r>
              <w:rPr>
                <w:webHidden/>
              </w:rPr>
              <w:instrText xml:space="preserve"> PAGEREF _Toc240452349 \h </w:instrText>
            </w:r>
            <w:r>
              <w:rPr>
                <w:webHidden/>
              </w:rPr>
            </w:r>
            <w:r>
              <w:rPr>
                <w:webHidden/>
              </w:rPr>
              <w:fldChar w:fldCharType="separate"/>
            </w:r>
            <w:r w:rsidR="00F62C48">
              <w:rPr>
                <w:webHidden/>
              </w:rPr>
              <w:t>34</w:t>
            </w:r>
            <w:r>
              <w:rPr>
                <w:webHidden/>
              </w:rPr>
              <w:fldChar w:fldCharType="end"/>
            </w:r>
          </w:hyperlink>
        </w:p>
        <w:p w14:paraId="5AA555FA" w14:textId="7047BA2B" w:rsidR="004B559C" w:rsidRDefault="004B559C" w:rsidP="004B559C">
          <w:pPr>
            <w:pStyle w:val="TOC1"/>
            <w:rPr>
              <w:rFonts w:asciiTheme="minorHAnsi" w:hAnsiTheme="minorHAnsi"/>
              <w:color w:val="auto"/>
              <w:kern w:val="2"/>
              <w:sz w:val="24"/>
              <w:lang w:eastAsia="ja-JP"/>
              <w14:ligatures w14:val="standardContextual"/>
            </w:rPr>
          </w:pPr>
          <w:hyperlink w:anchor="_Toc240452350" w:history="1">
            <w:r w:rsidRPr="003451E8">
              <w:rPr>
                <w:rStyle w:val="Hyperlink"/>
              </w:rPr>
              <w:t>Part 4 Finance, Fairness and Global Cooperation</w:t>
            </w:r>
            <w:r>
              <w:rPr>
                <w:webHidden/>
              </w:rPr>
              <w:tab/>
            </w:r>
            <w:r>
              <w:rPr>
                <w:webHidden/>
              </w:rPr>
              <w:fldChar w:fldCharType="begin"/>
            </w:r>
            <w:r>
              <w:rPr>
                <w:webHidden/>
              </w:rPr>
              <w:instrText xml:space="preserve"> PAGEREF _Toc240452350 \h </w:instrText>
            </w:r>
            <w:r>
              <w:rPr>
                <w:webHidden/>
              </w:rPr>
            </w:r>
            <w:r>
              <w:rPr>
                <w:webHidden/>
              </w:rPr>
              <w:fldChar w:fldCharType="separate"/>
            </w:r>
            <w:r w:rsidR="00F62C48">
              <w:rPr>
                <w:webHidden/>
              </w:rPr>
              <w:t>37</w:t>
            </w:r>
            <w:r>
              <w:rPr>
                <w:webHidden/>
              </w:rPr>
              <w:fldChar w:fldCharType="end"/>
            </w:r>
          </w:hyperlink>
        </w:p>
        <w:p w14:paraId="13E03E7A" w14:textId="4F669707" w:rsidR="004B559C" w:rsidRDefault="004B559C" w:rsidP="004B559C">
          <w:pPr>
            <w:pStyle w:val="TOC2"/>
            <w:rPr>
              <w:rFonts w:asciiTheme="minorHAnsi" w:hAnsiTheme="minorHAnsi"/>
              <w:color w:val="auto"/>
              <w:kern w:val="2"/>
              <w:sz w:val="24"/>
              <w:lang w:eastAsia="ja-JP"/>
              <w14:ligatures w14:val="standardContextual"/>
            </w:rPr>
          </w:pPr>
          <w:hyperlink w:anchor="_Toc240452351" w:history="1">
            <w:r w:rsidRPr="003451E8">
              <w:rPr>
                <w:rStyle w:val="Hyperlink"/>
              </w:rPr>
              <w:t>4.1. Anti-Money Laundering (AML) Regulations</w:t>
            </w:r>
            <w:r>
              <w:rPr>
                <w:webHidden/>
              </w:rPr>
              <w:tab/>
            </w:r>
            <w:r>
              <w:rPr>
                <w:webHidden/>
              </w:rPr>
              <w:fldChar w:fldCharType="begin"/>
            </w:r>
            <w:r>
              <w:rPr>
                <w:webHidden/>
              </w:rPr>
              <w:instrText xml:space="preserve"> PAGEREF _Toc240452351 \h </w:instrText>
            </w:r>
            <w:r>
              <w:rPr>
                <w:webHidden/>
              </w:rPr>
            </w:r>
            <w:r>
              <w:rPr>
                <w:webHidden/>
              </w:rPr>
              <w:fldChar w:fldCharType="separate"/>
            </w:r>
            <w:r w:rsidR="00F62C48">
              <w:rPr>
                <w:webHidden/>
              </w:rPr>
              <w:t>38</w:t>
            </w:r>
            <w:r>
              <w:rPr>
                <w:webHidden/>
              </w:rPr>
              <w:fldChar w:fldCharType="end"/>
            </w:r>
          </w:hyperlink>
        </w:p>
        <w:p w14:paraId="1CC97BF4" w14:textId="48E584B5" w:rsidR="004B559C" w:rsidRDefault="004B559C" w:rsidP="004B559C">
          <w:pPr>
            <w:pStyle w:val="TOC2"/>
            <w:rPr>
              <w:rFonts w:asciiTheme="minorHAnsi" w:hAnsiTheme="minorHAnsi"/>
              <w:color w:val="auto"/>
              <w:kern w:val="2"/>
              <w:sz w:val="24"/>
              <w:lang w:eastAsia="ja-JP"/>
              <w14:ligatures w14:val="standardContextual"/>
            </w:rPr>
          </w:pPr>
          <w:hyperlink w:anchor="_Toc240452352" w:history="1">
            <w:r w:rsidRPr="003451E8">
              <w:rPr>
                <w:rStyle w:val="Hyperlink"/>
              </w:rPr>
              <w:t>4.2. Financial Literacy Programs</w:t>
            </w:r>
            <w:r>
              <w:rPr>
                <w:webHidden/>
              </w:rPr>
              <w:tab/>
            </w:r>
            <w:r>
              <w:rPr>
                <w:webHidden/>
              </w:rPr>
              <w:fldChar w:fldCharType="begin"/>
            </w:r>
            <w:r>
              <w:rPr>
                <w:webHidden/>
              </w:rPr>
              <w:instrText xml:space="preserve"> PAGEREF _Toc240452352 \h </w:instrText>
            </w:r>
            <w:r>
              <w:rPr>
                <w:webHidden/>
              </w:rPr>
            </w:r>
            <w:r>
              <w:rPr>
                <w:webHidden/>
              </w:rPr>
              <w:fldChar w:fldCharType="separate"/>
            </w:r>
            <w:r w:rsidR="00F62C48">
              <w:rPr>
                <w:webHidden/>
              </w:rPr>
              <w:t>40</w:t>
            </w:r>
            <w:r>
              <w:rPr>
                <w:webHidden/>
              </w:rPr>
              <w:fldChar w:fldCharType="end"/>
            </w:r>
          </w:hyperlink>
        </w:p>
        <w:p w14:paraId="78A50ADE" w14:textId="26654CF4" w:rsidR="004B559C" w:rsidRDefault="004B559C" w:rsidP="004B559C">
          <w:pPr>
            <w:pStyle w:val="TOC2"/>
            <w:rPr>
              <w:rFonts w:asciiTheme="minorHAnsi" w:hAnsiTheme="minorHAnsi"/>
              <w:color w:val="auto"/>
              <w:kern w:val="2"/>
              <w:sz w:val="24"/>
              <w:lang w:eastAsia="ja-JP"/>
              <w14:ligatures w14:val="standardContextual"/>
            </w:rPr>
          </w:pPr>
          <w:hyperlink w:anchor="_Toc240452353" w:history="1">
            <w:r w:rsidRPr="003451E8">
              <w:rPr>
                <w:rStyle w:val="Hyperlink"/>
              </w:rPr>
              <w:t>4.3. Wealth Inequality and Redistribution Policies</w:t>
            </w:r>
            <w:r>
              <w:rPr>
                <w:webHidden/>
              </w:rPr>
              <w:tab/>
            </w:r>
            <w:r>
              <w:rPr>
                <w:webHidden/>
              </w:rPr>
              <w:fldChar w:fldCharType="begin"/>
            </w:r>
            <w:r>
              <w:rPr>
                <w:webHidden/>
              </w:rPr>
              <w:instrText xml:space="preserve"> PAGEREF _Toc240452353 \h </w:instrText>
            </w:r>
            <w:r>
              <w:rPr>
                <w:webHidden/>
              </w:rPr>
            </w:r>
            <w:r>
              <w:rPr>
                <w:webHidden/>
              </w:rPr>
              <w:fldChar w:fldCharType="separate"/>
            </w:r>
            <w:r w:rsidR="00F62C48">
              <w:rPr>
                <w:webHidden/>
              </w:rPr>
              <w:t>42</w:t>
            </w:r>
            <w:r>
              <w:rPr>
                <w:webHidden/>
              </w:rPr>
              <w:fldChar w:fldCharType="end"/>
            </w:r>
          </w:hyperlink>
        </w:p>
        <w:p w14:paraId="6E9ECE92" w14:textId="4C0027E0" w:rsidR="004B559C" w:rsidRDefault="004B559C" w:rsidP="004B559C">
          <w:pPr>
            <w:pStyle w:val="TOC2"/>
            <w:rPr>
              <w:rFonts w:asciiTheme="minorHAnsi" w:hAnsiTheme="minorHAnsi"/>
              <w:color w:val="auto"/>
              <w:kern w:val="2"/>
              <w:sz w:val="24"/>
              <w:lang w:eastAsia="ja-JP"/>
              <w14:ligatures w14:val="standardContextual"/>
            </w:rPr>
          </w:pPr>
          <w:hyperlink w:anchor="_Toc240452354" w:history="1">
            <w:r w:rsidRPr="003451E8">
              <w:rPr>
                <w:rStyle w:val="Hyperlink"/>
              </w:rPr>
              <w:t>4.4. Corporate Governance and Accountability</w:t>
            </w:r>
            <w:r>
              <w:rPr>
                <w:webHidden/>
              </w:rPr>
              <w:tab/>
            </w:r>
            <w:r>
              <w:rPr>
                <w:webHidden/>
              </w:rPr>
              <w:fldChar w:fldCharType="begin"/>
            </w:r>
            <w:r>
              <w:rPr>
                <w:webHidden/>
              </w:rPr>
              <w:instrText xml:space="preserve"> PAGEREF _Toc240452354 \h </w:instrText>
            </w:r>
            <w:r>
              <w:rPr>
                <w:webHidden/>
              </w:rPr>
            </w:r>
            <w:r>
              <w:rPr>
                <w:webHidden/>
              </w:rPr>
              <w:fldChar w:fldCharType="separate"/>
            </w:r>
            <w:r w:rsidR="00F62C48">
              <w:rPr>
                <w:webHidden/>
              </w:rPr>
              <w:t>44</w:t>
            </w:r>
            <w:r>
              <w:rPr>
                <w:webHidden/>
              </w:rPr>
              <w:fldChar w:fldCharType="end"/>
            </w:r>
          </w:hyperlink>
        </w:p>
        <w:p w14:paraId="5D67B4D8" w14:textId="6A7640A0" w:rsidR="004B559C" w:rsidRDefault="004B559C" w:rsidP="004B559C">
          <w:pPr>
            <w:pStyle w:val="TOC2"/>
            <w:rPr>
              <w:rFonts w:asciiTheme="minorHAnsi" w:hAnsiTheme="minorHAnsi"/>
              <w:color w:val="auto"/>
              <w:kern w:val="2"/>
              <w:sz w:val="24"/>
              <w:lang w:eastAsia="ja-JP"/>
              <w14:ligatures w14:val="standardContextual"/>
            </w:rPr>
          </w:pPr>
          <w:hyperlink w:anchor="_Toc240452355" w:history="1">
            <w:r w:rsidRPr="003451E8">
              <w:rPr>
                <w:rStyle w:val="Hyperlink"/>
              </w:rPr>
              <w:t>4.5. Economic Diplomacy and International Cooperation</w:t>
            </w:r>
            <w:r>
              <w:rPr>
                <w:webHidden/>
              </w:rPr>
              <w:tab/>
            </w:r>
            <w:r>
              <w:rPr>
                <w:webHidden/>
              </w:rPr>
              <w:fldChar w:fldCharType="begin"/>
            </w:r>
            <w:r>
              <w:rPr>
                <w:webHidden/>
              </w:rPr>
              <w:instrText xml:space="preserve"> PAGEREF _Toc240452355 \h </w:instrText>
            </w:r>
            <w:r>
              <w:rPr>
                <w:webHidden/>
              </w:rPr>
            </w:r>
            <w:r>
              <w:rPr>
                <w:webHidden/>
              </w:rPr>
              <w:fldChar w:fldCharType="separate"/>
            </w:r>
            <w:r w:rsidR="00F62C48">
              <w:rPr>
                <w:webHidden/>
              </w:rPr>
              <w:t>46</w:t>
            </w:r>
            <w:r>
              <w:rPr>
                <w:webHidden/>
              </w:rPr>
              <w:fldChar w:fldCharType="end"/>
            </w:r>
          </w:hyperlink>
        </w:p>
        <w:p w14:paraId="6E919B68" w14:textId="77777777" w:rsidR="004B559C" w:rsidRDefault="004B559C" w:rsidP="004B559C">
          <w:pPr>
            <w:rPr>
              <w:b/>
              <w:bCs/>
              <w:noProof/>
            </w:rPr>
          </w:pPr>
          <w:r>
            <w:rPr>
              <w:noProof/>
              <w:color w:val="BF4E14" w:themeColor="accent2" w:themeShade="BF"/>
            </w:rPr>
            <w:fldChar w:fldCharType="end"/>
          </w:r>
        </w:p>
      </w:sdtContent>
    </w:sdt>
    <w:p w14:paraId="6303D5EC" w14:textId="77777777" w:rsidR="004F1690" w:rsidRDefault="004F1690">
      <w:r>
        <w:br w:type="page"/>
      </w:r>
    </w:p>
    <w:p w14:paraId="2532A35D" w14:textId="77777777" w:rsidR="004B559C" w:rsidRDefault="004B559C" w:rsidP="004B559C">
      <w:pPr>
        <w:pStyle w:val="BodyText"/>
      </w:pPr>
    </w:p>
    <w:p w14:paraId="22B1FE74" w14:textId="77777777" w:rsidR="004B559C" w:rsidRDefault="004B559C" w:rsidP="004B559C">
      <w:pPr>
        <w:pStyle w:val="BodyText"/>
        <w:sectPr w:rsidR="004B559C" w:rsidSect="00B366BE">
          <w:footnotePr>
            <w:numRestart w:val="eachSect"/>
          </w:footnotePr>
          <w:pgSz w:w="11907" w:h="16840" w:code="9"/>
          <w:pgMar w:top="1134" w:right="1701" w:bottom="1134" w:left="1701" w:header="567" w:footer="454" w:gutter="0"/>
          <w:cols w:space="720"/>
        </w:sectPr>
      </w:pPr>
    </w:p>
    <w:p w14:paraId="217B6F8D" w14:textId="77777777" w:rsidR="00C046B1" w:rsidRPr="00C30EC8" w:rsidRDefault="007451B4" w:rsidP="00C30EC8">
      <w:pPr>
        <w:pStyle w:val="Heading1"/>
      </w:pPr>
      <w:r w:rsidRPr="00C30EC8">
        <w:rPr>
          <w:color w:val="FF9233"/>
        </w:rPr>
        <w:lastRenderedPageBreak/>
        <w:t>Part 1</w:t>
      </w:r>
      <w:r w:rsidR="00B366BE">
        <w:rPr>
          <w:color w:val="FF9233"/>
          <w:lang w:eastAsia="ja-JP"/>
        </w:rPr>
        <w:br/>
      </w:r>
      <w:r w:rsidRPr="00C30EC8">
        <w:t>Money, Payments and Financial Technology</w:t>
      </w:r>
      <w:bookmarkEnd w:id="0"/>
    </w:p>
    <w:p w14:paraId="17732BAC" w14:textId="77777777" w:rsidR="00C046B1" w:rsidRDefault="007451B4" w:rsidP="00F858DD">
      <w:pPr>
        <w:pStyle w:val="BodyText"/>
        <w:jc w:val="both"/>
      </w:pPr>
      <w:r w:rsidRPr="00C30EC8">
        <w:rPr>
          <w:b/>
          <w:bCs/>
          <w:color w:val="124F1A" w:themeColor="accent3" w:themeShade="BF"/>
        </w:rPr>
        <w:t>Money, Payments and Financial Technology</w:t>
      </w:r>
      <w:r w:rsidRPr="00C30EC8">
        <w:rPr>
          <w:color w:val="124F1A" w:themeColor="accent3" w:themeShade="BF"/>
        </w:rPr>
        <w:t xml:space="preserve"> </w:t>
      </w:r>
      <w:r>
        <w:t>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offer a public digital alternative at all, and almost every country studying one has so far chosen not to launch.</w:t>
      </w:r>
    </w:p>
    <w:p w14:paraId="385F28D9" w14:textId="77777777" w:rsidR="00C046B1" w:rsidRDefault="007451B4" w:rsidP="00F858DD">
      <w:pPr>
        <w:pStyle w:val="BodyText"/>
        <w:jc w:val="both"/>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35AECB9F" w14:textId="77777777" w:rsidR="00C046B1" w:rsidRPr="00C30EC8" w:rsidRDefault="007451B4" w:rsidP="009066A4">
      <w:pPr>
        <w:pStyle w:val="Heading2"/>
      </w:pPr>
      <w:bookmarkStart w:id="2" w:name="_Toc240452333"/>
      <w:bookmarkStart w:id="3" w:name="cryptocurrency-regulation"/>
      <w:r w:rsidRPr="00C30EC8">
        <w:lastRenderedPageBreak/>
        <w:t>1.1. Cryptocurrency Regulation</w:t>
      </w:r>
      <w:bookmarkEnd w:id="2"/>
    </w:p>
    <w:p w14:paraId="0DC674D9" w14:textId="77777777" w:rsidR="00C046B1" w:rsidRPr="00C30EC8" w:rsidRDefault="007451B4" w:rsidP="00C30EC8">
      <w:pPr>
        <w:pStyle w:val="Heading3"/>
      </w:pPr>
      <w:bookmarkStart w:id="4" w:name="goal"/>
      <w:r w:rsidRPr="00C30EC8">
        <w:t>1.1.1. Goal</w:t>
      </w:r>
    </w:p>
    <w:p w14:paraId="117D5365" w14:textId="77777777" w:rsidR="00C046B1" w:rsidRDefault="007451B4">
      <w:pPr>
        <w:pStyle w:val="BodyText"/>
      </w:pPr>
      <w:r>
        <w:t>Explain why governments have moved to regulate crypto-assets, and how the main approaches around the world differ.</w:t>
      </w:r>
    </w:p>
    <w:p w14:paraId="0FF503C4" w14:textId="77777777" w:rsidR="00C046B1" w:rsidRDefault="007451B4" w:rsidP="00C30EC8">
      <w:pPr>
        <w:pStyle w:val="Heading3"/>
        <w:sectPr w:rsidR="00C046B1" w:rsidSect="004B559C">
          <w:footerReference w:type="default" r:id="rId8"/>
          <w:footnotePr>
            <w:numRestart w:val="eachSect"/>
          </w:footnotePr>
          <w:pgSz w:w="11907" w:h="16840" w:code="9"/>
          <w:pgMar w:top="1134" w:right="1701" w:bottom="1134" w:left="1701" w:header="567" w:footer="454" w:gutter="0"/>
          <w:pgNumType w:start="1"/>
          <w:cols w:space="720"/>
        </w:sectPr>
      </w:pPr>
      <w:bookmarkStart w:id="5" w:name="reading"/>
      <w:bookmarkEnd w:id="4"/>
      <w:r>
        <w:t>1.1.2. Reading</w:t>
      </w:r>
    </w:p>
    <w:p w14:paraId="459E20EA"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5E617903" w14:textId="77777777"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w:t>
      </w:r>
      <w:r w:rsidR="00152693" w:rsidRPr="00152693">
        <w:rPr>
          <w:vertAlign w:val="superscript"/>
        </w:rPr>
        <w:t>[1]</w:t>
      </w:r>
      <w:r>
        <w:t>. The second was collapse. In November 2022, FTX, then one of the world’s largest exchanges, failed in a few days with at least US$8 billion of customer money missing; its founder was later sentenced to 25 years in prison for fraud</w:t>
      </w:r>
      <w:r w:rsidR="00152693" w:rsidRPr="00152693">
        <w:rPr>
          <w:vertAlign w:val="superscript"/>
        </w:rPr>
        <w:t>[2]</w:t>
      </w:r>
      <w:r>
        <w:t>. In both kinds of case, firms that looked established turned out to be poorly supervised.</w:t>
      </w:r>
    </w:p>
    <w:p w14:paraId="5C6C5748" w14:textId="77777777" w:rsidR="00C046B1" w:rsidRDefault="007451B4">
      <w:pPr>
        <w:pStyle w:val="articlebodytext"/>
      </w:pPr>
      <w:r>
        <w:t>Governments have responded in different ways. Japan acted early: from 2017, a company running a crypto exchange has had to register with the Financial Services Agency and follow rules on customer protection</w:t>
      </w:r>
      <w:r w:rsidR="00152693" w:rsidRPr="00152693">
        <w:rPr>
          <w:vertAlign w:val="superscript"/>
        </w:rPr>
        <w:t>[1]</w:t>
      </w:r>
      <w:r>
        <w:t>. The European Union chose a single large framework. Its Markets in Crypto-Assets Regulation, known as MiCA, applies across all member states; its rules for stablecoins started on 30 June 2024 and its rules for exchanges on 30 December 2024</w:t>
      </w:r>
      <w:r w:rsidR="00152693" w:rsidRPr="00152693">
        <w:rPr>
          <w:vertAlign w:val="superscript"/>
        </w:rPr>
        <w:t>[3]</w:t>
      </w:r>
      <w:r>
        <w:t xml:space="preserve">. The United States moved later and more narrowly: its first federal crypto </w:t>
      </w:r>
      <w:r>
        <w:t>law, the GENIUS Act, was signed in July 2025 and covers only payment stablecoins</w:t>
      </w:r>
      <w:r w:rsidR="00152693" w:rsidRPr="00152693">
        <w:rPr>
          <w:vertAlign w:val="superscript"/>
        </w:rPr>
        <w:t>[4]</w:t>
      </w:r>
      <w:r>
        <w:t>.</w:t>
      </w:r>
    </w:p>
    <w:p w14:paraId="435D5446" w14:textId="77777777" w:rsidR="00C046B1" w:rsidRDefault="007451B4">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w:t>
      </w:r>
      <w:r w:rsidR="00152693" w:rsidRPr="00152693">
        <w:rPr>
          <w:vertAlign w:val="superscript"/>
        </w:rPr>
        <w:t>[3]</w:t>
      </w:r>
      <w:r w:rsidRPr="00EE5BEF">
        <w:rPr>
          <w:vertAlign w:val="superscript"/>
        </w:rPr>
        <w:t>[4]</w:t>
      </w:r>
      <w:r>
        <w:t>. In Japan, only a licensed bank, a registered fund-transfer firm, or a trust company may issue one for the public</w:t>
      </w:r>
      <w:r w:rsidR="00152693" w:rsidRPr="00152693">
        <w:rPr>
          <w:vertAlign w:val="superscript"/>
        </w:rPr>
        <w:t>[1]</w:t>
      </w:r>
      <w:r>
        <w:t>. The shared worry is that a coin advertised as “always worth one dollar” could fail if the assets behind it are not real or not safe.</w:t>
      </w:r>
    </w:p>
    <w:p w14:paraId="6E76E994" w14:textId="77777777" w:rsidR="00C046B1" w:rsidRDefault="007451B4">
      <w:pPr>
        <w:pStyle w:val="articlebodytext"/>
        <w:sectPr w:rsidR="00C046B1" w:rsidSect="00B75C3E">
          <w:footerReference w:type="default" r:id="rId9"/>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62EBBF09" w14:textId="77777777" w:rsidR="00C046B1" w:rsidRDefault="007451B4" w:rsidP="00C30EC8">
      <w:pPr>
        <w:pStyle w:val="Heading3"/>
      </w:pPr>
      <w:bookmarkStart w:id="6" w:name="vocabulary-focus"/>
      <w:bookmarkEnd w:id="5"/>
      <w:r>
        <w:lastRenderedPageBreak/>
        <w:t>1.1.3. Vocabulary Focus</w:t>
      </w:r>
    </w:p>
    <w:p w14:paraId="090CA83F" w14:textId="77777777" w:rsidR="00C046B1" w:rsidRDefault="007451B4">
      <w:pPr>
        <w:pStyle w:val="FirstParagraph"/>
      </w:pPr>
      <w:r>
        <w:t>cryptocurrency, blockchain, crypto exchange, stablecoin, issuer, supervision</w:t>
      </w:r>
    </w:p>
    <w:p w14:paraId="459F228C" w14:textId="77777777" w:rsidR="00C046B1" w:rsidRDefault="007451B4" w:rsidP="00C30EC8">
      <w:pPr>
        <w:pStyle w:val="Heading3"/>
      </w:pPr>
      <w:bookmarkStart w:id="7" w:name="reading-questions"/>
      <w:bookmarkEnd w:id="6"/>
      <w:r>
        <w:t>1.1.4. Reading Questions</w:t>
      </w:r>
    </w:p>
    <w:p w14:paraId="04FD2E67" w14:textId="77777777" w:rsidR="00C046B1" w:rsidRDefault="007451B4" w:rsidP="007451B4">
      <w:pPr>
        <w:pStyle w:val="Compact"/>
        <w:numPr>
          <w:ilvl w:val="0"/>
          <w:numId w:val="2"/>
        </w:numPr>
      </w:pPr>
      <w:r>
        <w:t>Why does the design of cryptocurrencies make some old problems harder to control?</w:t>
      </w:r>
    </w:p>
    <w:p w14:paraId="7FE9DB37" w14:textId="77777777" w:rsidR="00C046B1" w:rsidRDefault="007451B4" w:rsidP="007451B4">
      <w:pPr>
        <w:pStyle w:val="Compact"/>
        <w:numPr>
          <w:ilvl w:val="0"/>
          <w:numId w:val="2"/>
        </w:numPr>
      </w:pPr>
      <w:r>
        <w:t>What are the “two kinds of event” that the reading says changed how governments act?</w:t>
      </w:r>
    </w:p>
    <w:p w14:paraId="498BB6DB" w14:textId="77777777" w:rsidR="00C046B1" w:rsidRDefault="007451B4" w:rsidP="007451B4">
      <w:pPr>
        <w:pStyle w:val="Compact"/>
        <w:numPr>
          <w:ilvl w:val="0"/>
          <w:numId w:val="2"/>
        </w:numPr>
      </w:pPr>
      <w:r>
        <w:t>How does the EU’s approach to crypto regulation differ from the United States’ approach?</w:t>
      </w:r>
    </w:p>
    <w:p w14:paraId="0FF2BC5D" w14:textId="77777777" w:rsidR="00C046B1" w:rsidRDefault="007451B4" w:rsidP="007451B4">
      <w:pPr>
        <w:pStyle w:val="Compact"/>
        <w:numPr>
          <w:ilvl w:val="0"/>
          <w:numId w:val="2"/>
        </w:numPr>
      </w:pPr>
      <w:r>
        <w:t>What must a stablecoin issuer do under both MiCA and the GENIUS Act?</w:t>
      </w:r>
    </w:p>
    <w:p w14:paraId="6E30F63A" w14:textId="77777777" w:rsidR="00C046B1" w:rsidRDefault="007451B4" w:rsidP="007451B4">
      <w:pPr>
        <w:pStyle w:val="Compact"/>
        <w:numPr>
          <w:ilvl w:val="0"/>
          <w:numId w:val="2"/>
        </w:numPr>
        <w:spacing w:after="0"/>
      </w:pPr>
      <w:r>
        <w:t>Why does the reading say regulators “increasingly compare notes”?</w:t>
      </w:r>
    </w:p>
    <w:p w14:paraId="676302FB" w14:textId="77777777" w:rsidR="00C046B1" w:rsidRDefault="007451B4" w:rsidP="00C30EC8">
      <w:pPr>
        <w:pStyle w:val="Heading3"/>
      </w:pPr>
      <w:bookmarkStart w:id="8" w:name="discussion-questions"/>
      <w:bookmarkEnd w:id="7"/>
      <w:r>
        <w:t>1.1.5. Discussion Questions</w:t>
      </w:r>
    </w:p>
    <w:p w14:paraId="5C765762"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430342A3"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F20409A" w14:textId="77777777" w:rsidR="00C046B1" w:rsidRDefault="007451B4" w:rsidP="007451B4">
      <w:pPr>
        <w:pStyle w:val="Compact"/>
        <w:numPr>
          <w:ilvl w:val="0"/>
          <w:numId w:val="3"/>
        </w:numPr>
      </w:pPr>
      <w:r>
        <w:t>Should a stablecoin be treated like money, like an investment, or like something new? Explain your choice.</w:t>
      </w:r>
    </w:p>
    <w:p w14:paraId="435B4889" w14:textId="77777777" w:rsidR="00C046B1" w:rsidRDefault="007451B4" w:rsidP="007451B4">
      <w:pPr>
        <w:pStyle w:val="Compact"/>
        <w:numPr>
          <w:ilvl w:val="0"/>
          <w:numId w:val="3"/>
        </w:numPr>
      </w:pPr>
      <w:r>
        <w:t>A friend says crypto does not need rules because “people choose the risk themselves.” How would you respond?</w:t>
      </w:r>
    </w:p>
    <w:p w14:paraId="1FFA7B86"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67618FA8" w14:textId="77777777" w:rsidR="00C046B1" w:rsidRDefault="007451B4" w:rsidP="00C30EC8">
      <w:pPr>
        <w:pStyle w:val="Heading3"/>
      </w:pPr>
      <w:bookmarkStart w:id="9" w:name="source-notes"/>
      <w:bookmarkEnd w:id="8"/>
      <w:r>
        <w:t>1.1.6. Source Notes</w:t>
      </w:r>
    </w:p>
    <w:p w14:paraId="24D100EA" w14:textId="77777777" w:rsidR="00C046B1" w:rsidRPr="00B366BE" w:rsidRDefault="007451B4" w:rsidP="00B366BE">
      <w:pPr>
        <w:pStyle w:val="Compact"/>
        <w:numPr>
          <w:ilvl w:val="0"/>
          <w:numId w:val="4"/>
        </w:numPr>
        <w:spacing w:after="0"/>
        <w:rPr>
          <w:sz w:val="16"/>
          <w:szCs w:val="16"/>
        </w:rPr>
      </w:pPr>
      <w:r w:rsidRPr="00B366BE">
        <w:rPr>
          <w:sz w:val="16"/>
          <w:szCs w:val="16"/>
        </w:rPr>
        <w:t>Financial Services Agency, Japan: Regulating the crypto assets landscape in Japan (see “Development of Japan’s Regulatory Framework” and “Stablecoin Issuers”), December 2022</w:t>
      </w:r>
      <w:r w:rsidR="00B366BE" w:rsidRPr="00B366BE">
        <w:rPr>
          <w:sz w:val="16"/>
          <w:szCs w:val="16"/>
        </w:rPr>
        <w:t xml:space="preserve"> </w:t>
      </w:r>
      <w:hyperlink r:id="rId10">
        <w:r w:rsidRPr="00B366BE">
          <w:rPr>
            <w:rStyle w:val="Hyperlink"/>
            <w:sz w:val="16"/>
            <w:szCs w:val="16"/>
          </w:rPr>
          <w:t>https://www.fsa.go.jp/en/news/2022/20221207/01.pdf</w:t>
        </w:r>
      </w:hyperlink>
    </w:p>
    <w:p w14:paraId="011CE588" w14:textId="77777777" w:rsidR="00C046B1" w:rsidRPr="00B366BE" w:rsidRDefault="007451B4" w:rsidP="00B366BE">
      <w:pPr>
        <w:pStyle w:val="Compact"/>
        <w:numPr>
          <w:ilvl w:val="0"/>
          <w:numId w:val="4"/>
        </w:numPr>
        <w:spacing w:after="0"/>
        <w:rPr>
          <w:sz w:val="16"/>
          <w:szCs w:val="16"/>
        </w:rPr>
      </w:pPr>
      <w:r w:rsidRPr="00B366BE">
        <w:rPr>
          <w:sz w:val="16"/>
          <w:szCs w:val="16"/>
        </w:rPr>
        <w:t>PBS NewsHour: Bankman-Fried sentenced to 25 years in prison for massive FTX fraud, March 28, 2024</w:t>
      </w:r>
      <w:r w:rsidR="00B366BE" w:rsidRPr="00B366BE">
        <w:rPr>
          <w:sz w:val="16"/>
          <w:szCs w:val="16"/>
        </w:rPr>
        <w:t xml:space="preserve"> </w:t>
      </w:r>
      <w:hyperlink r:id="rId11">
        <w:r w:rsidRPr="00B366BE">
          <w:rPr>
            <w:rStyle w:val="Hyperlink"/>
            <w:sz w:val="16"/>
            <w:szCs w:val="16"/>
          </w:rPr>
          <w:t>https://www.pbs.org/newshour/show/bankman-fried-sentenced-to-25-years-in-prison-for-massive-ftx-fraud</w:t>
        </w:r>
      </w:hyperlink>
    </w:p>
    <w:p w14:paraId="4C9E41B0" w14:textId="77777777" w:rsidR="00C046B1" w:rsidRPr="00B366BE" w:rsidRDefault="007451B4" w:rsidP="00B366BE">
      <w:pPr>
        <w:pStyle w:val="Compact"/>
        <w:numPr>
          <w:ilvl w:val="0"/>
          <w:numId w:val="4"/>
        </w:numPr>
        <w:spacing w:after="0"/>
        <w:rPr>
          <w:sz w:val="16"/>
          <w:szCs w:val="16"/>
        </w:rPr>
      </w:pPr>
      <w:r w:rsidRPr="00B366BE">
        <w:rPr>
          <w:sz w:val="16"/>
          <w:szCs w:val="16"/>
        </w:rPr>
        <w:t>European Securities and Markets Authority: Markets in Crypto-Assets Regulation (MiCA)</w:t>
      </w:r>
      <w:r w:rsidR="00B366BE" w:rsidRPr="00B366BE">
        <w:rPr>
          <w:sz w:val="16"/>
          <w:szCs w:val="16"/>
        </w:rPr>
        <w:t xml:space="preserve"> </w:t>
      </w:r>
      <w:hyperlink r:id="rId12">
        <w:r w:rsidRPr="00B366BE">
          <w:rPr>
            <w:rStyle w:val="Hyperlink"/>
            <w:sz w:val="16"/>
            <w:szCs w:val="16"/>
          </w:rPr>
          <w:t>https://www.esma.europa.eu/esmas-activities/digital-finance-and-innovation/markets-crypto-assets-regulation-mica</w:t>
        </w:r>
      </w:hyperlink>
    </w:p>
    <w:p w14:paraId="6E4AC804" w14:textId="77777777" w:rsidR="00C046B1" w:rsidRPr="00B366BE" w:rsidRDefault="007451B4" w:rsidP="00B366BE">
      <w:pPr>
        <w:pStyle w:val="Compact"/>
        <w:numPr>
          <w:ilvl w:val="0"/>
          <w:numId w:val="4"/>
        </w:numPr>
        <w:spacing w:after="0"/>
        <w:rPr>
          <w:sz w:val="16"/>
          <w:szCs w:val="16"/>
        </w:rPr>
      </w:pPr>
      <w:r w:rsidRPr="00B366BE">
        <w:rPr>
          <w:sz w:val="16"/>
          <w:szCs w:val="16"/>
        </w:rPr>
        <w:t>The White House: Fact Sheet — President Donald J. Trump Signs GENIUS Act into Law, July 18, 2025</w:t>
      </w:r>
      <w:r w:rsidR="00B366BE" w:rsidRPr="00B366BE">
        <w:rPr>
          <w:sz w:val="16"/>
          <w:szCs w:val="16"/>
        </w:rPr>
        <w:t xml:space="preserve"> </w:t>
      </w:r>
      <w:hyperlink r:id="rId13">
        <w:r w:rsidRPr="00B366BE">
          <w:rPr>
            <w:rStyle w:val="Hyperlink"/>
            <w:sz w:val="16"/>
            <w:szCs w:val="16"/>
          </w:rPr>
          <w:t>https://www.whitehouse.gov/fact-sheets/2025/07/fact-sheet-president-donald-j-trump-signs-genius-act-into-law/</w:t>
        </w:r>
      </w:hyperlink>
    </w:p>
    <w:p w14:paraId="45E826E8" w14:textId="77777777" w:rsidR="00C046B1" w:rsidRDefault="007451B4" w:rsidP="009066A4">
      <w:pPr>
        <w:pStyle w:val="Heading2"/>
      </w:pPr>
      <w:bookmarkStart w:id="10" w:name="_Toc240452334"/>
      <w:bookmarkStart w:id="11" w:name="central-bank-digital-currencies"/>
      <w:bookmarkEnd w:id="3"/>
      <w:bookmarkEnd w:id="9"/>
      <w:r>
        <w:lastRenderedPageBreak/>
        <w:t>1.2. Central Bank Digital Currencies</w:t>
      </w:r>
      <w:bookmarkEnd w:id="10"/>
    </w:p>
    <w:p w14:paraId="76296A05" w14:textId="77777777" w:rsidR="00C046B1" w:rsidRDefault="007451B4" w:rsidP="00C30EC8">
      <w:pPr>
        <w:pStyle w:val="Heading3"/>
      </w:pPr>
      <w:bookmarkStart w:id="12" w:name="goal-1"/>
      <w:r>
        <w:t>1.2.1. Goal</w:t>
      </w:r>
    </w:p>
    <w:p w14:paraId="2DD5368E" w14:textId="77777777" w:rsidR="00C046B1" w:rsidRDefault="007451B4">
      <w:pPr>
        <w:pStyle w:val="BodyText"/>
      </w:pPr>
      <w:r>
        <w:t>Explain what a central bank digital currency is, why most central banks are studying one, and why almost none have launched.</w:t>
      </w:r>
    </w:p>
    <w:p w14:paraId="679ABF6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 w:name="reading-1"/>
      <w:bookmarkEnd w:id="12"/>
      <w:r>
        <w:t>1.2.2. Reading</w:t>
      </w:r>
    </w:p>
    <w:p w14:paraId="36AE8A45" w14:textId="77777777"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w:t>
      </w:r>
      <w:r w:rsidR="00152693" w:rsidRPr="00152693">
        <w:rPr>
          <w:vertAlign w:val="superscript"/>
        </w:rPr>
        <w:t>[1]</w:t>
      </w:r>
      <w:r>
        <w:t>. Yet by 2026 only three small economies had actually launched one for everyday public use, and use in all three has been very low.</w:t>
      </w:r>
    </w:p>
    <w:p w14:paraId="60FB5274" w14:textId="77777777" w:rsidR="00C046B1" w:rsidRDefault="007451B4">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249720BB" w14:textId="77777777"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w:t>
      </w:r>
      <w:r w:rsidR="001943E7" w:rsidRPr="001943E7">
        <w:rPr>
          <w:vertAlign w:val="superscript"/>
        </w:rPr>
        <w:t>[5]</w:t>
      </w:r>
      <w:r>
        <w:t>. Take-up has been weak in every case. The International Monetary Fund found that the large majority of eNaira digital wallets had never been used at all</w:t>
      </w:r>
      <w:r w:rsidR="00152693" w:rsidRPr="00152693">
        <w:rPr>
          <w:vertAlign w:val="superscript"/>
        </w:rPr>
        <w:t>[2]</w:t>
      </w:r>
      <w:r>
        <w:t>.</w:t>
      </w:r>
    </w:p>
    <w:p w14:paraId="54CF71AF" w14:textId="77777777" w:rsidR="00C046B1" w:rsidRDefault="007451B4">
      <w:pPr>
        <w:pStyle w:val="articlebodytext"/>
      </w:pPr>
      <w:r>
        <w:t>The larger economies are still testing. China has run by far the biggest trial. Its digital yuan had handled a cumulative 7 trillion yuan, about US$1 trillion, in transactions by mid-2024, across 17 regions</w:t>
      </w:r>
      <w:r w:rsidR="00152693" w:rsidRPr="00152693">
        <w:rPr>
          <w:vertAlign w:val="superscript"/>
        </w:rPr>
        <w:t>[3]</w:t>
      </w:r>
      <w:r>
        <w:t xml:space="preserve">. But much of that use was pushed by the </w:t>
      </w:r>
      <w:r>
        <w:t>government, through things like staff payments, rather than chosen by shoppers, who already rely on Alipay and WeChat Pay. The European Central Bank ran a “preparation phase” from 2023 and moved to the next stage in October 2025</w:t>
      </w:r>
      <w:r w:rsidR="00257EA7" w:rsidRPr="00257EA7">
        <w:rPr>
          <w:vertAlign w:val="superscript"/>
        </w:rPr>
        <w:t>[6]</w:t>
      </w:r>
      <w:r>
        <w:t>. Even so, a digital euro cannot be issued unless EU lawmakers pass a new law, and a first issuance would not come before 2029</w:t>
      </w:r>
      <w:r w:rsidR="00152693" w:rsidRPr="00152693">
        <w:rPr>
          <w:vertAlign w:val="superscript"/>
        </w:rPr>
        <w:t>[4]</w:t>
      </w:r>
      <w:r>
        <w:t>. The Bank of Japan has run a pilot since 2023 and says no decision to issue has been made</w:t>
      </w:r>
      <w:r w:rsidR="00DE0C1F" w:rsidRPr="00DE0C1F">
        <w:rPr>
          <w:vertAlign w:val="superscript"/>
        </w:rPr>
        <w:t>[7]</w:t>
      </w:r>
      <w:r>
        <w:t xml:space="preserve">. </w:t>
      </w:r>
      <w:r w:rsidR="0002044E">
        <w:t>A government inquiry into Sweden’s e-krona concluded there was not yet enough need for one</w:t>
      </w:r>
      <w:r w:rsidR="009F5D03" w:rsidRPr="009F5D03">
        <w:rPr>
          <w:vertAlign w:val="superscript"/>
        </w:rPr>
        <w:t>[8]</w:t>
      </w:r>
      <w:r w:rsidR="0002044E">
        <w:t>.</w:t>
      </w:r>
    </w:p>
    <w:p w14:paraId="354938E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551949E4" w14:textId="77777777" w:rsidR="00C046B1" w:rsidRDefault="007451B4" w:rsidP="00C30EC8">
      <w:pPr>
        <w:pStyle w:val="Heading3"/>
      </w:pPr>
      <w:bookmarkStart w:id="14" w:name="vocabulary-focus-1"/>
      <w:bookmarkEnd w:id="13"/>
      <w:r>
        <w:lastRenderedPageBreak/>
        <w:t>1.2.3. Vocabulary Focus</w:t>
      </w:r>
    </w:p>
    <w:p w14:paraId="46348459" w14:textId="77777777" w:rsidR="00C046B1" w:rsidRDefault="007451B4">
      <w:pPr>
        <w:pStyle w:val="FirstParagraph"/>
      </w:pPr>
      <w:r>
        <w:t>central bank digital currency (CBDC), retail CBDC, wholesale CBDC, claim (on the central bank), pilot, disintermediation</w:t>
      </w:r>
    </w:p>
    <w:p w14:paraId="67C61FF9" w14:textId="77777777" w:rsidR="00C046B1" w:rsidRDefault="007451B4" w:rsidP="00C30EC8">
      <w:pPr>
        <w:pStyle w:val="Heading3"/>
      </w:pPr>
      <w:bookmarkStart w:id="15" w:name="reading-questions-1"/>
      <w:bookmarkEnd w:id="14"/>
      <w:r>
        <w:t>1.2.4. Reading Questions</w:t>
      </w:r>
    </w:p>
    <w:p w14:paraId="36C584E6" w14:textId="77777777" w:rsidR="00C046B1" w:rsidRDefault="007451B4" w:rsidP="007451B4">
      <w:pPr>
        <w:pStyle w:val="Compact"/>
        <w:numPr>
          <w:ilvl w:val="0"/>
          <w:numId w:val="5"/>
        </w:numPr>
        <w:spacing w:after="80"/>
      </w:pPr>
      <w:r>
        <w:t>What is the difference between the cash in your pocket and the money in your bank account, according to the reading?</w:t>
      </w:r>
    </w:p>
    <w:p w14:paraId="5288458B" w14:textId="77777777" w:rsidR="00C046B1" w:rsidRDefault="007451B4" w:rsidP="007451B4">
      <w:pPr>
        <w:pStyle w:val="Compact"/>
        <w:numPr>
          <w:ilvl w:val="0"/>
          <w:numId w:val="5"/>
        </w:numPr>
        <w:spacing w:after="80"/>
      </w:pPr>
      <w:r>
        <w:t>What is a “retail” CBDC, and how does it differ from a “wholesale” one?</w:t>
      </w:r>
    </w:p>
    <w:p w14:paraId="50E0C51B" w14:textId="77777777" w:rsidR="00C046B1" w:rsidRDefault="007451B4" w:rsidP="007451B4">
      <w:pPr>
        <w:pStyle w:val="Compact"/>
        <w:numPr>
          <w:ilvl w:val="0"/>
          <w:numId w:val="5"/>
        </w:numPr>
        <w:spacing w:after="80"/>
      </w:pPr>
      <w:r>
        <w:t>What does the reading say happened with Nigeria’s eNaira after it launched?</w:t>
      </w:r>
    </w:p>
    <w:p w14:paraId="59F66DF4" w14:textId="77777777" w:rsidR="00C046B1" w:rsidRDefault="007451B4" w:rsidP="007451B4">
      <w:pPr>
        <w:pStyle w:val="Compact"/>
        <w:numPr>
          <w:ilvl w:val="0"/>
          <w:numId w:val="5"/>
        </w:numPr>
        <w:spacing w:after="80"/>
      </w:pPr>
      <w:r>
        <w:t>Why is China’s 7 trillion yuan figure described with some caution?</w:t>
      </w:r>
    </w:p>
    <w:p w14:paraId="5DE51EFA" w14:textId="77777777" w:rsidR="00C046B1" w:rsidRDefault="007451B4" w:rsidP="007451B4">
      <w:pPr>
        <w:pStyle w:val="Compact"/>
        <w:numPr>
          <w:ilvl w:val="0"/>
          <w:numId w:val="5"/>
        </w:numPr>
        <w:spacing w:after="80"/>
      </w:pPr>
      <w:r>
        <w:t>What conditions must be met before the European Central Bank can issue a digital euro?</w:t>
      </w:r>
    </w:p>
    <w:p w14:paraId="39E247E5" w14:textId="77777777" w:rsidR="00C046B1" w:rsidRDefault="007451B4" w:rsidP="00C30EC8">
      <w:pPr>
        <w:pStyle w:val="Heading3"/>
      </w:pPr>
      <w:bookmarkStart w:id="16" w:name="discussion-questions-1"/>
      <w:bookmarkEnd w:id="15"/>
      <w:r>
        <w:t>1.2.5. Discussion Questions</w:t>
      </w:r>
    </w:p>
    <w:p w14:paraId="38ECE552" w14:textId="77777777" w:rsidR="00C046B1" w:rsidRDefault="007451B4" w:rsidP="007451B4">
      <w:pPr>
        <w:pStyle w:val="Compact"/>
        <w:numPr>
          <w:ilvl w:val="0"/>
          <w:numId w:val="6"/>
        </w:numPr>
        <w:spacing w:after="80"/>
      </w:pPr>
      <w:r>
        <w:t>The reading says central banks give “defensive” reasons for this work. Are those reasons strong enough to justify the cost and effort? Give your view.</w:t>
      </w:r>
    </w:p>
    <w:p w14:paraId="73265F6A" w14:textId="77777777" w:rsidR="00C046B1" w:rsidRDefault="007451B4" w:rsidP="007451B4">
      <w:pPr>
        <w:pStyle w:val="Compact"/>
        <w:numPr>
          <w:ilvl w:val="0"/>
          <w:numId w:val="6"/>
        </w:numPr>
        <w:spacing w:after="80"/>
      </w:pPr>
      <w:r>
        <w:t>Compare the risks of issuing a CBDC with the risks of not issuing one. Which set of risks is more serious?</w:t>
      </w:r>
    </w:p>
    <w:p w14:paraId="2227638A" w14:textId="77777777" w:rsidR="00C046B1" w:rsidRDefault="007451B4" w:rsidP="007451B4">
      <w:pPr>
        <w:pStyle w:val="Compact"/>
        <w:numPr>
          <w:ilvl w:val="0"/>
          <w:numId w:val="6"/>
        </w:numPr>
        <w:spacing w:after="80"/>
      </w:pPr>
      <w:r>
        <w:t>If a digital yen were introduced in Japan, what would make you use it instead of cash or a payment app? What would put you off?</w:t>
      </w:r>
    </w:p>
    <w:p w14:paraId="5C226CB0" w14:textId="77777777" w:rsidR="00C046B1" w:rsidRDefault="007451B4" w:rsidP="007451B4">
      <w:pPr>
        <w:pStyle w:val="Compact"/>
        <w:numPr>
          <w:ilvl w:val="0"/>
          <w:numId w:val="6"/>
        </w:numPr>
        <w:spacing w:after="80"/>
      </w:pPr>
      <w:r>
        <w:t>Several countries launched a CBDC and then saw very low use. What lessons should other central banks take from that?</w:t>
      </w:r>
    </w:p>
    <w:p w14:paraId="2FB087B0" w14:textId="77777777" w:rsidR="00C046B1" w:rsidRDefault="007451B4" w:rsidP="007451B4">
      <w:pPr>
        <w:pStyle w:val="Compact"/>
        <w:numPr>
          <w:ilvl w:val="0"/>
          <w:numId w:val="6"/>
        </w:numPr>
        <w:spacing w:after="80"/>
      </w:pPr>
      <w:r>
        <w:t>Advise a central bank that is deciding between launching a CBDC now, running a longer pilot, or stopping the project. What should it weigh?</w:t>
      </w:r>
    </w:p>
    <w:p w14:paraId="2252260F" w14:textId="77777777" w:rsidR="00C046B1" w:rsidRDefault="007451B4" w:rsidP="00C30EC8">
      <w:pPr>
        <w:pStyle w:val="Heading3"/>
      </w:pPr>
      <w:bookmarkStart w:id="17" w:name="source-notes-1"/>
      <w:bookmarkEnd w:id="16"/>
      <w:r>
        <w:t>1.2.6. Source Notes</w:t>
      </w:r>
    </w:p>
    <w:p w14:paraId="448ACCFD" w14:textId="77777777" w:rsidR="00C046B1" w:rsidRPr="00C10A00" w:rsidRDefault="007451B4" w:rsidP="00C10A00">
      <w:pPr>
        <w:pStyle w:val="Compact"/>
        <w:numPr>
          <w:ilvl w:val="0"/>
          <w:numId w:val="7"/>
        </w:numPr>
        <w:spacing w:after="0"/>
        <w:ind w:hanging="357"/>
        <w:rPr>
          <w:sz w:val="16"/>
        </w:rPr>
      </w:pPr>
      <w:r w:rsidRPr="00C10A00">
        <w:rPr>
          <w:sz w:val="16"/>
        </w:rPr>
        <w:t>Bank for International Settlements: Advancing in tandem — results of the 2024 BIS survey on central bank digital currencies and crypto (BIS Papers No 159), August 2025</w:t>
      </w:r>
      <w:r w:rsidR="00B366BE" w:rsidRPr="00C10A00">
        <w:rPr>
          <w:sz w:val="16"/>
        </w:rPr>
        <w:t xml:space="preserve"> </w:t>
      </w:r>
      <w:hyperlink r:id="rId14">
        <w:r w:rsidRPr="00C10A00">
          <w:rPr>
            <w:rStyle w:val="Hyperlink"/>
            <w:sz w:val="16"/>
          </w:rPr>
          <w:t>https://www.bis.org/publ/bppdf/bispap159.htm</w:t>
        </w:r>
      </w:hyperlink>
    </w:p>
    <w:p w14:paraId="1BE6E0F3" w14:textId="77777777" w:rsidR="00C046B1" w:rsidRPr="00C10A00" w:rsidRDefault="007451B4" w:rsidP="00C10A00">
      <w:pPr>
        <w:pStyle w:val="Compact"/>
        <w:numPr>
          <w:ilvl w:val="0"/>
          <w:numId w:val="7"/>
        </w:numPr>
        <w:spacing w:after="0"/>
        <w:ind w:hanging="357"/>
        <w:rPr>
          <w:sz w:val="16"/>
        </w:rPr>
      </w:pPr>
      <w:r w:rsidRPr="00C10A00">
        <w:rPr>
          <w:sz w:val="16"/>
        </w:rPr>
        <w:t>International Monetary Fund: Central Bank Digital Currency Adoption — Inclusive but Constrained (IMF Fintech Note 2024/005), 2024</w:t>
      </w:r>
      <w:r w:rsidR="00B366BE" w:rsidRPr="00C10A00">
        <w:rPr>
          <w:sz w:val="16"/>
        </w:rPr>
        <w:t xml:space="preserve"> </w:t>
      </w:r>
      <w:hyperlink r:id="rId15">
        <w:r w:rsidRPr="00C10A00">
          <w:rPr>
            <w:rStyle w:val="Hyperlink"/>
            <w:sz w:val="16"/>
          </w:rPr>
          <w:t>https://www.imf.org/-/media/files/publications/ftn063/2024/english/ftnea2024005.pdf</w:t>
        </w:r>
      </w:hyperlink>
    </w:p>
    <w:p w14:paraId="0350985B" w14:textId="77777777" w:rsidR="00C046B1" w:rsidRPr="00C10A00" w:rsidRDefault="007451B4" w:rsidP="00C10A00">
      <w:pPr>
        <w:pStyle w:val="Compact"/>
        <w:numPr>
          <w:ilvl w:val="0"/>
          <w:numId w:val="7"/>
        </w:numPr>
        <w:spacing w:after="0"/>
        <w:ind w:hanging="357"/>
        <w:rPr>
          <w:sz w:val="16"/>
        </w:rPr>
      </w:pPr>
      <w:r w:rsidRPr="00C10A00">
        <w:rPr>
          <w:sz w:val="16"/>
        </w:rPr>
        <w:t>Government of China: China’s digital yuan transactions hit 7 trln yuan (People’s Bank of China), 5 September 2024</w:t>
      </w:r>
      <w:r w:rsidR="00B366BE" w:rsidRPr="00C10A00">
        <w:rPr>
          <w:sz w:val="16"/>
        </w:rPr>
        <w:t xml:space="preserve"> </w:t>
      </w:r>
      <w:hyperlink r:id="rId16">
        <w:r w:rsidRPr="00C10A00">
          <w:rPr>
            <w:rStyle w:val="Hyperlink"/>
            <w:sz w:val="16"/>
          </w:rPr>
          <w:t>https://english.www.gov.cn/archive/statistics/202409/05/content_WS66d9ab78c6d0868f4e8eaa27.html</w:t>
        </w:r>
      </w:hyperlink>
    </w:p>
    <w:p w14:paraId="45F198E0" w14:textId="77777777"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7">
        <w:r w:rsidRPr="00C10A00">
          <w:rPr>
            <w:rStyle w:val="Hyperlink"/>
            <w:sz w:val="16"/>
          </w:rPr>
          <w:t>https://www.ecb.europa.eu/press/pr/date/2025/html/ecb.pr251030~8c5b5beef0.en.html</w:t>
        </w:r>
      </w:hyperlink>
    </w:p>
    <w:p w14:paraId="60829D98" w14:textId="77777777" w:rsidR="00C046B1" w:rsidRPr="00C10A00" w:rsidRDefault="007451B4" w:rsidP="00C10A00">
      <w:pPr>
        <w:pStyle w:val="Compact"/>
        <w:numPr>
          <w:ilvl w:val="0"/>
          <w:numId w:val="7"/>
        </w:numPr>
        <w:spacing w:after="0"/>
        <w:ind w:hanging="357"/>
        <w:rPr>
          <w:sz w:val="16"/>
        </w:rPr>
      </w:pPr>
      <w:r w:rsidRPr="00C10A00">
        <w:rPr>
          <w:sz w:val="16"/>
        </w:rPr>
        <w:t>Central Bank of The Bahamas: The Sand Dollar is on Schedule for Gradual National Release to The Bahamas in mid-October 2020, 2020</w:t>
      </w:r>
      <w:r w:rsidR="00B366BE" w:rsidRPr="00C10A00">
        <w:rPr>
          <w:sz w:val="16"/>
        </w:rPr>
        <w:t xml:space="preserve"> </w:t>
      </w:r>
      <w:hyperlink r:id="rId18">
        <w:r w:rsidRPr="00C10A00">
          <w:rPr>
            <w:rStyle w:val="Hyperlink"/>
            <w:sz w:val="16"/>
          </w:rPr>
          <w:t>https://www.centralbankbahamas.com/news/public-notices/the-sand-dollar-is-on-schedule-for-gradual-national-release-to-the-bahamas-in-mid-october-2020</w:t>
        </w:r>
      </w:hyperlink>
    </w:p>
    <w:p w14:paraId="0DE4C75C" w14:textId="77777777"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9">
        <w:r w:rsidRPr="00C10A00">
          <w:rPr>
            <w:rStyle w:val="Hyperlink"/>
            <w:sz w:val="16"/>
          </w:rPr>
          <w:t>https://www.ecb.europa.eu/press/pr/date/2025/html/ecb.pr251030~8c5b5beef0.en.html</w:t>
        </w:r>
      </w:hyperlink>
    </w:p>
    <w:p w14:paraId="1CC0C08F" w14:textId="77777777" w:rsidR="00C046B1" w:rsidRPr="00C10A00" w:rsidRDefault="007451B4" w:rsidP="00C10A00">
      <w:pPr>
        <w:pStyle w:val="Compact"/>
        <w:numPr>
          <w:ilvl w:val="0"/>
          <w:numId w:val="7"/>
        </w:numPr>
        <w:spacing w:after="0"/>
        <w:ind w:hanging="357"/>
        <w:rPr>
          <w:sz w:val="16"/>
        </w:rPr>
      </w:pPr>
      <w:r w:rsidRPr="00C10A00">
        <w:rPr>
          <w:sz w:val="16"/>
        </w:rPr>
        <w:t>Bank of Japan: Central Bank Digital Currency (CBDC)</w:t>
      </w:r>
      <w:r w:rsidR="00B366BE" w:rsidRPr="00C10A00">
        <w:rPr>
          <w:sz w:val="16"/>
        </w:rPr>
        <w:t xml:space="preserve"> </w:t>
      </w:r>
      <w:hyperlink r:id="rId20">
        <w:r w:rsidRPr="00C10A00">
          <w:rPr>
            <w:rStyle w:val="Hyperlink"/>
            <w:sz w:val="16"/>
          </w:rPr>
          <w:t>https://www.boj.or.jp/en/paym/digital/index.htm</w:t>
        </w:r>
      </w:hyperlink>
    </w:p>
    <w:p w14:paraId="29A7E0E7" w14:textId="77777777" w:rsidR="00C046B1" w:rsidRPr="00C10A00" w:rsidRDefault="007451B4" w:rsidP="00C10A00">
      <w:pPr>
        <w:pStyle w:val="Compact"/>
        <w:numPr>
          <w:ilvl w:val="0"/>
          <w:numId w:val="7"/>
        </w:numPr>
        <w:spacing w:after="0"/>
        <w:ind w:hanging="357"/>
        <w:rPr>
          <w:sz w:val="16"/>
        </w:rPr>
      </w:pPr>
      <w:r w:rsidRPr="00C10A00">
        <w:rPr>
          <w:sz w:val="16"/>
        </w:rPr>
        <w:t>Central Banking: Digital euro could reopen e-krona debate for Riksbank – Bunge, 2025</w:t>
      </w:r>
      <w:r w:rsidR="00B366BE" w:rsidRPr="00C10A00">
        <w:rPr>
          <w:sz w:val="16"/>
        </w:rPr>
        <w:t xml:space="preserve"> </w:t>
      </w:r>
      <w:hyperlink r:id="rId21">
        <w:r w:rsidRPr="00C10A00">
          <w:rPr>
            <w:rStyle w:val="Hyperlink"/>
            <w:sz w:val="16"/>
          </w:rPr>
          <w:t>https://www.centralbanking.com/fintech/cbdc/7974406/digital-euro-could-reopen-e-krona-debate-for-riksbank-bunge</w:t>
        </w:r>
      </w:hyperlink>
    </w:p>
    <w:p w14:paraId="286BC52D" w14:textId="77777777" w:rsidR="00C046B1" w:rsidRDefault="007451B4" w:rsidP="009066A4">
      <w:pPr>
        <w:pStyle w:val="Heading2"/>
      </w:pPr>
      <w:bookmarkStart w:id="18" w:name="_Toc240452335"/>
      <w:bookmarkStart w:id="19" w:name="financial-technology-fintech-regulation"/>
      <w:bookmarkEnd w:id="11"/>
      <w:bookmarkEnd w:id="17"/>
      <w:r>
        <w:lastRenderedPageBreak/>
        <w:t>1.3. Financial Technology (Fintech) Regulation</w:t>
      </w:r>
      <w:bookmarkEnd w:id="18"/>
    </w:p>
    <w:p w14:paraId="49781F39" w14:textId="77777777" w:rsidR="00C046B1" w:rsidRDefault="007451B4" w:rsidP="00C30EC8">
      <w:pPr>
        <w:pStyle w:val="Heading3"/>
      </w:pPr>
      <w:bookmarkStart w:id="20" w:name="goal-2"/>
      <w:r>
        <w:t>1.3.1. Goal</w:t>
      </w:r>
    </w:p>
    <w:p w14:paraId="20529950" w14:textId="77777777" w:rsidR="00C046B1" w:rsidRDefault="007451B4">
      <w:pPr>
        <w:pStyle w:val="BodyText"/>
      </w:pPr>
      <w:r>
        <w:t>Compare the main ways governments regulate fintech, and show why a firm licensed in one country usually cannot operate in another.</w:t>
      </w:r>
    </w:p>
    <w:p w14:paraId="1BD0501B"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1" w:name="reading-2"/>
      <w:bookmarkEnd w:id="20"/>
      <w:r>
        <w:t>1.3.2. Reading</w:t>
      </w:r>
    </w:p>
    <w:p w14:paraId="219DDE92" w14:textId="77777777" w:rsidR="00C046B1" w:rsidRDefault="007451B4">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w:t>
      </w:r>
      <w:r w:rsidR="00152693" w:rsidRPr="00152693">
        <w:rPr>
          <w:vertAlign w:val="superscript"/>
        </w:rPr>
        <w:t>[1]</w:t>
      </w:r>
      <w:r>
        <w:t>. A sandbox lets a new firm test a product with real customers for a limited time, under tailored rules and close supervision. The idea spread fast. By 2020 the World Bank counted 73 sandboxes in 57 countries</w:t>
      </w:r>
      <w:r w:rsidR="00152693" w:rsidRPr="00152693">
        <w:rPr>
          <w:vertAlign w:val="superscript"/>
        </w:rPr>
        <w:t>[2]</w:t>
      </w:r>
      <w:r>
        <w:t>. But a sandbox is only one tool, and countries have taken very different overall approaches.</w:t>
      </w:r>
    </w:p>
    <w:p w14:paraId="40705ACF" w14:textId="77777777" w:rsidR="00C046B1" w:rsidRDefault="007451B4">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w:t>
      </w:r>
      <w:r w:rsidR="00152693" w:rsidRPr="00152693">
        <w:rPr>
          <w:vertAlign w:val="superscript"/>
        </w:rPr>
        <w:t>[3]</w:t>
      </w:r>
      <w:r>
        <w:t>. A firm authorised in one EU country can then offer services across all the others. The EU agreed a further update, PSD3, in late 2025.</w:t>
      </w:r>
    </w:p>
    <w:p w14:paraId="315893E3" w14:textId="77777777" w:rsidR="00C046B1" w:rsidRDefault="007451B4">
      <w:pPr>
        <w:pStyle w:val="articlebodytext"/>
      </w:pPr>
      <w:r>
        <w:t>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national open-banking rule have so far stalled in the courts.</w:t>
      </w:r>
    </w:p>
    <w:p w14:paraId="2E2E3964" w14:textId="77777777" w:rsidR="00C046B1" w:rsidRDefault="007451B4">
      <w:pPr>
        <w:pStyle w:val="articlebodytext"/>
      </w:pPr>
      <w:r>
        <w:t>India built public infrastructure instead of a broad rulebook. Its Unified Pay</w:t>
      </w:r>
      <w:r>
        <w:t>ments Interface, launched in 2016 and overseen by the Reserve Bank of India, processed more than 240 billion transactions in the 2025–26 financial year</w:t>
      </w:r>
      <w:r w:rsidR="00152693" w:rsidRPr="00152693">
        <w:rPr>
          <w:vertAlign w:val="superscript"/>
        </w:rPr>
        <w:t>[4]</w:t>
      </w:r>
      <w:r>
        <w:t>. That makes it the world’s largest real-time payment system, and it is free to use for individuals. Private apps compete on top of it, but the underlying rails are public, so no single company controls access.</w:t>
      </w:r>
    </w:p>
    <w:p w14:paraId="3E5C8792" w14:textId="77777777" w:rsidR="00C046B1" w:rsidRDefault="002E23BB">
      <w:pPr>
        <w:pStyle w:val="articlebodytext"/>
      </w:pPr>
      <w:r>
        <w:t>Japan’s Financial Services Agency uses a lighter, cooperation-based model. A 2017 amendment to the Banking Act, in force from 2018, created a registration system for the payment and data firms that connect to banks, and required banks to make best efforts to build open-API systems for them within two years</w:t>
      </w:r>
      <w:r w:rsidRPr="002E23BB">
        <w:rPr>
          <w:vertAlign w:val="superscript"/>
        </w:rPr>
        <w:t>[5]</w:t>
      </w:r>
      <w:r w:rsidR="007F2D5D" w:rsidRPr="008E446A">
        <w:t>.</w:t>
      </w:r>
      <w:r w:rsidRPr="002E23BB">
        <w:t xml:space="preserve"> A 2020 change then split non-bank money-transfer providers into three licence tiers by transfer size. Only the tier for the largest transfers needs full FSA authorisation</w:t>
      </w:r>
      <w:r w:rsidR="007F2D5D">
        <w:t xml:space="preserve">; </w:t>
      </w:r>
      <w:r w:rsidRPr="002E23BB">
        <w:t>the two smaller tiers need registration only</w:t>
      </w:r>
      <w:r w:rsidRPr="002E23BB">
        <w:rPr>
          <w:vertAlign w:val="superscript"/>
        </w:rPr>
        <w:t>[6]</w:t>
      </w:r>
      <w:r w:rsidRPr="002E23BB">
        <w:t>.</w:t>
      </w:r>
    </w:p>
    <w:p w14:paraId="7EC9C87F"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1E1DB5E3" w14:textId="77777777" w:rsidR="00C046B1" w:rsidRDefault="007451B4" w:rsidP="00C30EC8">
      <w:pPr>
        <w:pStyle w:val="Heading3"/>
      </w:pPr>
      <w:bookmarkStart w:id="22" w:name="vocabulary-focus-2"/>
      <w:bookmarkEnd w:id="21"/>
      <w:r>
        <w:lastRenderedPageBreak/>
        <w:t>1.3.3. Vocabulary Focus</w:t>
      </w:r>
    </w:p>
    <w:p w14:paraId="74D781C7" w14:textId="77777777" w:rsidR="00C046B1" w:rsidRDefault="007451B4">
      <w:pPr>
        <w:pStyle w:val="FirstParagraph"/>
      </w:pPr>
      <w:r>
        <w:t>fintech, regulatory sandbox, open banking, application programming interface (API), licensing, real-time payment system</w:t>
      </w:r>
    </w:p>
    <w:p w14:paraId="0A9AB7F7" w14:textId="77777777" w:rsidR="00C046B1" w:rsidRDefault="007451B4" w:rsidP="00C30EC8">
      <w:pPr>
        <w:pStyle w:val="Heading3"/>
      </w:pPr>
      <w:bookmarkStart w:id="23" w:name="reading-questions-2"/>
      <w:bookmarkEnd w:id="22"/>
      <w:r>
        <w:t>1.3.4. Reading Questions</w:t>
      </w:r>
    </w:p>
    <w:p w14:paraId="6C903E31" w14:textId="77777777" w:rsidR="00C046B1" w:rsidRDefault="007451B4" w:rsidP="007451B4">
      <w:pPr>
        <w:pStyle w:val="Compact"/>
        <w:numPr>
          <w:ilvl w:val="0"/>
          <w:numId w:val="8"/>
        </w:numPr>
      </w:pPr>
      <w:r>
        <w:t>What does a regulatory sandbox allow a new firm to do?</w:t>
      </w:r>
    </w:p>
    <w:p w14:paraId="74AED83B" w14:textId="77777777" w:rsidR="00C046B1" w:rsidRDefault="007451B4" w:rsidP="007451B4">
      <w:pPr>
        <w:pStyle w:val="Compact"/>
        <w:numPr>
          <w:ilvl w:val="0"/>
          <w:numId w:val="8"/>
        </w:numPr>
      </w:pPr>
      <w:r>
        <w:t>How does an EU authorisation help a fintech firm, according to the reading?</w:t>
      </w:r>
    </w:p>
    <w:p w14:paraId="72AA4824" w14:textId="77777777" w:rsidR="00C046B1" w:rsidRDefault="007451B4" w:rsidP="007451B4">
      <w:pPr>
        <w:pStyle w:val="Compact"/>
        <w:numPr>
          <w:ilvl w:val="0"/>
          <w:numId w:val="8"/>
        </w:numPr>
      </w:pPr>
      <w:r>
        <w:t>Why might a fintech firm need “dozens of separate licences” to operate across the United States?</w:t>
      </w:r>
    </w:p>
    <w:p w14:paraId="099E7EE6" w14:textId="77777777" w:rsidR="00C046B1" w:rsidRDefault="007451B4" w:rsidP="007451B4">
      <w:pPr>
        <w:pStyle w:val="Compact"/>
        <w:numPr>
          <w:ilvl w:val="0"/>
          <w:numId w:val="8"/>
        </w:numPr>
      </w:pPr>
      <w:r>
        <w:t>What did India build instead of a broad fintech law, and how large has it become?</w:t>
      </w:r>
    </w:p>
    <w:p w14:paraId="2076EDBC"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0D8B1746" w14:textId="77777777" w:rsidR="00C046B1" w:rsidRDefault="007451B4" w:rsidP="00C30EC8">
      <w:pPr>
        <w:pStyle w:val="Heading3"/>
      </w:pPr>
      <w:bookmarkStart w:id="24" w:name="discussion-questions-2"/>
      <w:bookmarkEnd w:id="23"/>
      <w:r>
        <w:t>1.3.5. Discussion Questions</w:t>
      </w:r>
    </w:p>
    <w:p w14:paraId="2C0880F8"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5D4867D5"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3DC449FE"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2E577987"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6CDE0B3A"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D61B273" w14:textId="77777777" w:rsidR="00C046B1" w:rsidRDefault="007451B4" w:rsidP="00C30EC8">
      <w:pPr>
        <w:pStyle w:val="Heading3"/>
      </w:pPr>
      <w:bookmarkStart w:id="25" w:name="source-notes-2"/>
      <w:bookmarkEnd w:id="24"/>
      <w:r>
        <w:t>1.3.6. Source Notes</w:t>
      </w:r>
    </w:p>
    <w:p w14:paraId="48079B5A" w14:textId="77777777" w:rsidR="00C046B1" w:rsidRPr="00C10A00" w:rsidRDefault="007451B4" w:rsidP="00C10A00">
      <w:pPr>
        <w:pStyle w:val="Compact"/>
        <w:numPr>
          <w:ilvl w:val="0"/>
          <w:numId w:val="63"/>
        </w:numPr>
        <w:spacing w:after="0"/>
        <w:ind w:hanging="357"/>
        <w:rPr>
          <w:sz w:val="16"/>
        </w:rPr>
      </w:pPr>
      <w:r w:rsidRPr="00C10A00">
        <w:rPr>
          <w:sz w:val="16"/>
        </w:rPr>
        <w:t>Financial Conduct Authority (UK): Financial Conduct Authority’s regulatory sandbox opens to applications, 9 May 2016</w:t>
      </w:r>
      <w:r w:rsidR="00B366BE" w:rsidRPr="00C10A00">
        <w:rPr>
          <w:sz w:val="16"/>
        </w:rPr>
        <w:t xml:space="preserve"> </w:t>
      </w:r>
      <w:hyperlink r:id="rId22">
        <w:r w:rsidRPr="00C10A00">
          <w:rPr>
            <w:rStyle w:val="Hyperlink"/>
            <w:sz w:val="16"/>
          </w:rPr>
          <w:t>https://www.fca.org.uk/news/press-releases/financial-conduct-authority%E2%80%99s-regulatory-sandbox-opens-applications</w:t>
        </w:r>
      </w:hyperlink>
    </w:p>
    <w:p w14:paraId="66DFA0A9" w14:textId="77777777" w:rsidR="00C046B1" w:rsidRPr="00C10A00" w:rsidRDefault="007451B4" w:rsidP="00C10A00">
      <w:pPr>
        <w:pStyle w:val="Compact"/>
        <w:numPr>
          <w:ilvl w:val="0"/>
          <w:numId w:val="63"/>
        </w:numPr>
        <w:spacing w:after="0"/>
        <w:ind w:hanging="357"/>
        <w:rPr>
          <w:sz w:val="16"/>
        </w:rPr>
      </w:pPr>
      <w:r w:rsidRPr="00C10A00">
        <w:rPr>
          <w:sz w:val="16"/>
        </w:rPr>
        <w:t>World Bank Group: Global Experiences from Regulatory Sandboxes, 2020</w:t>
      </w:r>
      <w:r w:rsidR="00B366BE" w:rsidRPr="00C10A00">
        <w:rPr>
          <w:sz w:val="16"/>
        </w:rPr>
        <w:t xml:space="preserve"> </w:t>
      </w:r>
      <w:hyperlink r:id="rId23">
        <w:r w:rsidRPr="00C10A00">
          <w:rPr>
            <w:rStyle w:val="Hyperlink"/>
            <w:sz w:val="16"/>
          </w:rPr>
          <w:t>https://documents1.worldbank.org/curated/en/912001605241080935/txt/Global-Experiences-from-Regulatory-Sandboxes.txt</w:t>
        </w:r>
      </w:hyperlink>
    </w:p>
    <w:p w14:paraId="2C2372D9" w14:textId="77777777" w:rsidR="00C046B1" w:rsidRPr="00C10A00" w:rsidRDefault="007451B4" w:rsidP="00C10A00">
      <w:pPr>
        <w:pStyle w:val="Compact"/>
        <w:numPr>
          <w:ilvl w:val="0"/>
          <w:numId w:val="63"/>
        </w:numPr>
        <w:spacing w:after="0"/>
        <w:ind w:hanging="357"/>
        <w:rPr>
          <w:sz w:val="16"/>
        </w:rPr>
      </w:pPr>
      <w:r w:rsidRPr="00C10A00">
        <w:rPr>
          <w:sz w:val="16"/>
        </w:rPr>
        <w:t>European Commission: Payment services</w:t>
      </w:r>
      <w:r w:rsidR="00B366BE" w:rsidRPr="00C10A00">
        <w:rPr>
          <w:sz w:val="16"/>
        </w:rPr>
        <w:t xml:space="preserve"> </w:t>
      </w:r>
      <w:hyperlink r:id="rId24">
        <w:r w:rsidRPr="00C10A00">
          <w:rPr>
            <w:rStyle w:val="Hyperlink"/>
            <w:sz w:val="16"/>
          </w:rPr>
          <w:t>https://finance.ec.europa.eu/consumer-finance-and-payments/payment-services/payment-services_en</w:t>
        </w:r>
      </w:hyperlink>
    </w:p>
    <w:p w14:paraId="66F9C78C" w14:textId="77777777" w:rsidR="00C046B1" w:rsidRPr="0027476D" w:rsidRDefault="007451B4" w:rsidP="00C10A00">
      <w:pPr>
        <w:pStyle w:val="Compact"/>
        <w:numPr>
          <w:ilvl w:val="0"/>
          <w:numId w:val="63"/>
        </w:numPr>
        <w:spacing w:after="0"/>
        <w:ind w:hanging="357"/>
        <w:rPr>
          <w:sz w:val="16"/>
        </w:rPr>
      </w:pPr>
      <w:r w:rsidRPr="00C10A00">
        <w:rPr>
          <w:sz w:val="16"/>
        </w:rPr>
        <w:t>Business Standard (India): UPI completes 10 years, clocks nearly 13,000-fold rise in transaction volume, 24 August 2026</w:t>
      </w:r>
      <w:r w:rsidR="00B366BE" w:rsidRPr="00C10A00">
        <w:rPr>
          <w:sz w:val="16"/>
        </w:rPr>
        <w:t xml:space="preserve"> </w:t>
      </w:r>
      <w:hyperlink r:id="rId25">
        <w:r w:rsidRPr="00C10A00">
          <w:rPr>
            <w:rStyle w:val="Hyperlink"/>
            <w:sz w:val="16"/>
          </w:rPr>
          <w:t>https://www.business-standard.com/finance/news/upi-completes-10-years-clocks-nearly-13k-fold-rise-in-transaction-volume-126082400604_1.html</w:t>
        </w:r>
      </w:hyperlink>
    </w:p>
    <w:p w14:paraId="17692219" w14:textId="77777777" w:rsidR="00C046B1" w:rsidRPr="0027476D" w:rsidRDefault="007451B4" w:rsidP="00C10A00">
      <w:pPr>
        <w:pStyle w:val="Compact"/>
        <w:numPr>
          <w:ilvl w:val="0"/>
          <w:numId w:val="63"/>
        </w:numPr>
        <w:spacing w:after="0"/>
        <w:ind w:hanging="357"/>
        <w:rPr>
          <w:sz w:val="16"/>
        </w:rPr>
      </w:pPr>
      <w:r>
        <w:rPr>
          <w:sz w:val="16"/>
        </w:rPr>
        <w:t xml:space="preserve">Torys LLP: Update on Japanese Fintech Law, July 2017 </w:t>
      </w:r>
      <w:hyperlink r:id="rId26">
        <w:r>
          <w:rPr>
            <w:rStyle w:val="Hyperlink"/>
            <w:sz w:val="16"/>
          </w:rPr>
          <w:t>https://www.torys.com/insights/publications/2017/07/update-on-japanese-fintech-law</w:t>
        </w:r>
      </w:hyperlink>
    </w:p>
    <w:p w14:paraId="374DE390" w14:textId="77777777" w:rsidR="00C046B1" w:rsidRPr="0027476D" w:rsidRDefault="007451B4" w:rsidP="00C10A00">
      <w:pPr>
        <w:pStyle w:val="Compact"/>
        <w:numPr>
          <w:ilvl w:val="0"/>
          <w:numId w:val="63"/>
        </w:numPr>
        <w:spacing w:after="0"/>
        <w:ind w:hanging="357"/>
        <w:rPr>
          <w:sz w:val="16"/>
        </w:rPr>
      </w:pPr>
      <w:r>
        <w:rPr>
          <w:sz w:val="16"/>
        </w:rPr>
        <w:t xml:space="preserve">Jones Day: Japan’s New Regime for Fund Transfer Services, May 2021 </w:t>
      </w:r>
      <w:hyperlink r:id="rId27">
        <w:r>
          <w:rPr>
            <w:rStyle w:val="Hyperlink"/>
            <w:sz w:val="16"/>
          </w:rPr>
          <w:t>https://www.jonesday.com/en/insights/2021/05/japans-amended-payment-services-act-could-prompt-more-nonbank-entries-into-traditional-banking-services</w:t>
        </w:r>
      </w:hyperlink>
    </w:p>
    <w:p w14:paraId="421FD3EB" w14:textId="77777777" w:rsidR="00C046B1" w:rsidRDefault="007451B4" w:rsidP="009066A4">
      <w:pPr>
        <w:pStyle w:val="Heading2"/>
      </w:pPr>
      <w:bookmarkStart w:id="26" w:name="_Toc240452336"/>
      <w:bookmarkStart w:id="27" w:name="data-privacy-and-protection"/>
      <w:bookmarkEnd w:id="19"/>
      <w:bookmarkEnd w:id="25"/>
      <w:r>
        <w:lastRenderedPageBreak/>
        <w:t>1.4. Data Privacy and Protection</w:t>
      </w:r>
      <w:bookmarkEnd w:id="26"/>
    </w:p>
    <w:p w14:paraId="5A11B895" w14:textId="77777777" w:rsidR="00C046B1" w:rsidRDefault="007451B4" w:rsidP="00C30EC8">
      <w:pPr>
        <w:pStyle w:val="Heading3"/>
      </w:pPr>
      <w:bookmarkStart w:id="28" w:name="goal-3"/>
      <w:r>
        <w:t>1.4.1. Goal</w:t>
      </w:r>
    </w:p>
    <w:p w14:paraId="74E320A4" w14:textId="77777777" w:rsidR="00C046B1" w:rsidRDefault="007451B4">
      <w:pPr>
        <w:pStyle w:val="BodyText"/>
      </w:pPr>
      <w:r>
        <w:t>Explain how personal financial data is protected by law, and why moving that data between countries is the hardest part.</w:t>
      </w:r>
    </w:p>
    <w:p w14:paraId="48681EBA"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9" w:name="reading-3"/>
      <w:bookmarkEnd w:id="28"/>
      <w:r>
        <w:t>1.4.2. Reading</w:t>
      </w:r>
    </w:p>
    <w:p w14:paraId="5D6F95D1" w14:textId="77777777" w:rsidR="00C046B1" w:rsidRDefault="007451B4">
      <w:pPr>
        <w:pStyle w:val="articlebodytext"/>
      </w:pPr>
      <w:r>
        <w:t>In 2023 an Irish regulator fined the technology company Meta EUR 1.2 billion. It was the largest privacy fine ever imposed in the European Union</w:t>
      </w:r>
      <w:r w:rsidR="00152693" w:rsidRPr="00152693">
        <w:rPr>
          <w:vertAlign w:val="superscript"/>
        </w:rPr>
        <w:t>[1]</w:t>
      </w:r>
      <w:r>
        <w:t>.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1CD3615F"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744B494F" w14:textId="77777777" w:rsidR="00C046B1" w:rsidRDefault="007451B4">
      <w:pPr>
        <w:pStyle w:val="articlebodytext"/>
      </w:pPr>
      <w:r>
        <w:t>The European Union’s rules, known as the GDPR, have applied since 2018 and let regulators impose very large fines. By early 2025, EU regulators had issued close to EUR 6 billion in GDPR fines in total, and companies were reporting hundreds of data breaches every day</w:t>
      </w:r>
      <w:r w:rsidR="00152693" w:rsidRPr="00152693">
        <w:rPr>
          <w:vertAlign w:val="superscript"/>
        </w:rPr>
        <w:t>[2]</w:t>
      </w:r>
      <w:r>
        <w:t>. Other regions rely more on penalties after a specific breach. After a 2017 attack on the US credit bureau Equifax exposed the records of about 147 million people, the company agreed to pay up to US$700 million to settle claims from US regulators and states</w:t>
      </w:r>
      <w:r w:rsidR="00152693" w:rsidRPr="00152693">
        <w:rPr>
          <w:vertAlign w:val="superscript"/>
        </w:rPr>
        <w:t>[3]</w:t>
      </w:r>
      <w:r>
        <w:t xml:space="preserve">. The United States still has no single national privacy law. California and </w:t>
      </w:r>
      <w:r>
        <w:t>several other states have written their own.</w:t>
      </w:r>
    </w:p>
    <w:p w14:paraId="074846B3" w14:textId="77777777" w:rsidR="00C046B1" w:rsidRDefault="007451B4">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w:t>
      </w:r>
      <w:r w:rsidR="005F6CBD" w:rsidRPr="005F6CBD">
        <w:rPr>
          <w:vertAlign w:val="superscript"/>
        </w:rPr>
        <w:t>[6]</w:t>
      </w:r>
      <w:r>
        <w:t>. In 2019 the EU and Japan recognised each other’s systems as offering “adequate” protection</w:t>
      </w:r>
      <w:r w:rsidR="00152693" w:rsidRPr="00152693">
        <w:rPr>
          <w:vertAlign w:val="superscript"/>
        </w:rPr>
        <w:t>[4]</w:t>
      </w:r>
      <w:r>
        <w:t>. Personal data can now flow both ways without extra paperwork. It was the first such mutual arrangement the EU concluded</w:t>
      </w:r>
      <w:r w:rsidR="00507385" w:rsidRPr="00507385">
        <w:rPr>
          <w:vertAlign w:val="superscript"/>
        </w:rPr>
        <w:t>[7]</w:t>
      </w:r>
      <w:r>
        <w:t>. Newer laws elsewhere, such as India’s Digital Personal Data Protection Act of 2023, follow similar lines</w:t>
      </w:r>
      <w:r w:rsidR="00152693" w:rsidRPr="00152693">
        <w:rPr>
          <w:vertAlign w:val="superscript"/>
        </w:rPr>
        <w:t>[5]</w:t>
      </w:r>
      <w:r>
        <w:t>.</w:t>
      </w:r>
    </w:p>
    <w:p w14:paraId="7ACD0330"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26003130" w14:textId="77777777" w:rsidR="00C046B1" w:rsidRDefault="007451B4" w:rsidP="00C30EC8">
      <w:pPr>
        <w:pStyle w:val="Heading3"/>
      </w:pPr>
      <w:bookmarkStart w:id="30" w:name="vocabulary-focus-3"/>
      <w:bookmarkEnd w:id="29"/>
      <w:r>
        <w:lastRenderedPageBreak/>
        <w:t>1.4.3. Vocabulary Focus</w:t>
      </w:r>
    </w:p>
    <w:p w14:paraId="706BD5E0" w14:textId="77777777" w:rsidR="00C046B1" w:rsidRDefault="007451B4">
      <w:pPr>
        <w:pStyle w:val="FirstParagraph"/>
      </w:pPr>
      <w:r>
        <w:t>personal data, data breach, data protection authority, consent, cross-border data transfer, adequacy decision</w:t>
      </w:r>
    </w:p>
    <w:p w14:paraId="73F8F19A" w14:textId="77777777" w:rsidR="00C046B1" w:rsidRDefault="007451B4" w:rsidP="00C30EC8">
      <w:pPr>
        <w:pStyle w:val="Heading3"/>
      </w:pPr>
      <w:bookmarkStart w:id="31" w:name="reading-questions-3"/>
      <w:bookmarkEnd w:id="30"/>
      <w:r>
        <w:t>1.4.4. Reading Questions</w:t>
      </w:r>
    </w:p>
    <w:p w14:paraId="30598B45" w14:textId="77777777" w:rsidR="00C046B1" w:rsidRDefault="007451B4" w:rsidP="007451B4">
      <w:pPr>
        <w:pStyle w:val="Compact"/>
        <w:numPr>
          <w:ilvl w:val="0"/>
          <w:numId w:val="11"/>
        </w:numPr>
        <w:spacing w:after="80"/>
      </w:pPr>
      <w:r>
        <w:t>What exactly did Meta do wrong, according to the reading?</w:t>
      </w:r>
    </w:p>
    <w:p w14:paraId="7640A650" w14:textId="77777777" w:rsidR="00C046B1" w:rsidRDefault="007451B4" w:rsidP="007451B4">
      <w:pPr>
        <w:pStyle w:val="Compact"/>
        <w:numPr>
          <w:ilvl w:val="0"/>
          <w:numId w:val="11"/>
        </w:numPr>
        <w:spacing w:after="80"/>
      </w:pPr>
      <w:r>
        <w:t>Why do financial firms want access to large amounts of personal data?</w:t>
      </w:r>
    </w:p>
    <w:p w14:paraId="29393982" w14:textId="77777777" w:rsidR="00C046B1" w:rsidRDefault="007451B4" w:rsidP="007451B4">
      <w:pPr>
        <w:pStyle w:val="Compact"/>
        <w:numPr>
          <w:ilvl w:val="0"/>
          <w:numId w:val="11"/>
        </w:numPr>
        <w:spacing w:after="80"/>
      </w:pPr>
      <w:r>
        <w:t>How does the United States protect financial data differently from the European Union?</w:t>
      </w:r>
    </w:p>
    <w:p w14:paraId="1360002E" w14:textId="77777777" w:rsidR="00C046B1" w:rsidRDefault="007451B4" w:rsidP="007451B4">
      <w:pPr>
        <w:pStyle w:val="Compact"/>
        <w:numPr>
          <w:ilvl w:val="0"/>
          <w:numId w:val="11"/>
        </w:numPr>
        <w:spacing w:after="80"/>
      </w:pPr>
      <w:r>
        <w:t>What did the EU and Japan agree in 2019, and why does it matter?</w:t>
      </w:r>
    </w:p>
    <w:p w14:paraId="64F390EB" w14:textId="77777777" w:rsidR="00C046B1" w:rsidRDefault="007451B4" w:rsidP="007451B4">
      <w:pPr>
        <w:pStyle w:val="Compact"/>
        <w:numPr>
          <w:ilvl w:val="0"/>
          <w:numId w:val="11"/>
        </w:numPr>
        <w:spacing w:after="80"/>
      </w:pPr>
      <w:r>
        <w:t>What does the reading mean when it says “privacy rules stop at national borders”?</w:t>
      </w:r>
    </w:p>
    <w:p w14:paraId="6F0B67A7" w14:textId="77777777" w:rsidR="00C046B1" w:rsidRDefault="007451B4" w:rsidP="00C30EC8">
      <w:pPr>
        <w:pStyle w:val="Heading3"/>
      </w:pPr>
      <w:bookmarkStart w:id="32" w:name="discussion-questions-3"/>
      <w:bookmarkEnd w:id="31"/>
      <w:r>
        <w:t>1.4.5. Discussion Questions</w:t>
      </w:r>
    </w:p>
    <w:p w14:paraId="23945B2B" w14:textId="77777777" w:rsidR="00C046B1" w:rsidRDefault="007451B4" w:rsidP="007451B4">
      <w:pPr>
        <w:pStyle w:val="Compact"/>
        <w:numPr>
          <w:ilvl w:val="0"/>
          <w:numId w:val="12"/>
        </w:numPr>
        <w:spacing w:after="80"/>
      </w:pPr>
      <w:r>
        <w:t>The reading describes a tension between using data and protecting it. Where would you draw the line for a bank that wants to use customer data to detect fraud?</w:t>
      </w:r>
    </w:p>
    <w:p w14:paraId="0D7A50DF" w14:textId="77777777" w:rsidR="00C046B1" w:rsidRDefault="007451B4" w:rsidP="007451B4">
      <w:pPr>
        <w:pStyle w:val="Compact"/>
        <w:numPr>
          <w:ilvl w:val="0"/>
          <w:numId w:val="12"/>
        </w:numPr>
        <w:spacing w:after="80"/>
      </w:pPr>
      <w:r>
        <w:t>Is a very large fine, like the one imposed on Meta, an effective way to change how big companies handle data? Explain.</w:t>
      </w:r>
    </w:p>
    <w:p w14:paraId="287D4318" w14:textId="77777777" w:rsidR="00C046B1" w:rsidRDefault="007451B4" w:rsidP="007451B4">
      <w:pPr>
        <w:pStyle w:val="Compact"/>
        <w:numPr>
          <w:ilvl w:val="0"/>
          <w:numId w:val="12"/>
        </w:numPr>
        <w:spacing w:after="80"/>
      </w:pPr>
      <w:r>
        <w:t>Compare protecting data through strict rules (the EU approach) with protecting it through breach penalties (the US approach). Which is likely to work better, and for whom?</w:t>
      </w:r>
    </w:p>
    <w:p w14:paraId="6883BF84" w14:textId="77777777" w:rsidR="00C046B1" w:rsidRDefault="007451B4" w:rsidP="007451B4">
      <w:pPr>
        <w:pStyle w:val="Compact"/>
        <w:numPr>
          <w:ilvl w:val="0"/>
          <w:numId w:val="12"/>
        </w:numPr>
        <w:spacing w:after="80"/>
      </w:pPr>
      <w:r>
        <w:t>Should a person be able to refuse to let their bank share their data, even if that means fewer services or a worse credit offer? Give your view.</w:t>
      </w:r>
    </w:p>
    <w:p w14:paraId="215715F4" w14:textId="77777777" w:rsidR="00C046B1" w:rsidRDefault="007451B4" w:rsidP="007451B4">
      <w:pPr>
        <w:pStyle w:val="Compact"/>
        <w:numPr>
          <w:ilvl w:val="0"/>
          <w:numId w:val="12"/>
        </w:numPr>
        <w:spacing w:after="80"/>
      </w:pPr>
      <w:r>
        <w:t>Advise two countries that want to allow data to flow freely between them. What would each need to check about the other first?</w:t>
      </w:r>
    </w:p>
    <w:p w14:paraId="24F1F3CE" w14:textId="77777777" w:rsidR="00C046B1" w:rsidRDefault="007451B4" w:rsidP="00C30EC8">
      <w:pPr>
        <w:pStyle w:val="Heading3"/>
      </w:pPr>
      <w:bookmarkStart w:id="33" w:name="source-notes-3"/>
      <w:bookmarkEnd w:id="32"/>
      <w:r>
        <w:t>1.4.6. Source Notes</w:t>
      </w:r>
    </w:p>
    <w:p w14:paraId="7122E838" w14:textId="77777777" w:rsidR="00C046B1" w:rsidRPr="00C10A00" w:rsidRDefault="007451B4" w:rsidP="00C10A00">
      <w:pPr>
        <w:pStyle w:val="Compact"/>
        <w:numPr>
          <w:ilvl w:val="0"/>
          <w:numId w:val="13"/>
        </w:numPr>
        <w:spacing w:after="0"/>
        <w:ind w:hanging="357"/>
        <w:rPr>
          <w:sz w:val="16"/>
        </w:rPr>
      </w:pPr>
      <w:r w:rsidRPr="00C10A00">
        <w:rPr>
          <w:sz w:val="16"/>
        </w:rPr>
        <w:t>Data Protection Commission (Ireland): Data Protection Commission announces conclusion of inquiry into Meta Ireland, 22 May 2023</w:t>
      </w:r>
      <w:r w:rsidR="00B366BE" w:rsidRPr="00C10A00">
        <w:rPr>
          <w:sz w:val="16"/>
        </w:rPr>
        <w:t xml:space="preserve"> </w:t>
      </w:r>
      <w:hyperlink r:id="rId28">
        <w:r w:rsidRPr="00C10A00">
          <w:rPr>
            <w:rStyle w:val="Hyperlink"/>
            <w:sz w:val="16"/>
          </w:rPr>
          <w:t>https://www.dataprotection.ie/en/news-media/press-releases/Data-Protection-Commission-announces-conclusion-of-inquiry-into-Meta-Ireland</w:t>
        </w:r>
      </w:hyperlink>
    </w:p>
    <w:p w14:paraId="6333A9FF" w14:textId="77777777" w:rsidR="00C046B1" w:rsidRPr="00C10A00" w:rsidRDefault="007451B4" w:rsidP="00C10A00">
      <w:pPr>
        <w:pStyle w:val="Compact"/>
        <w:numPr>
          <w:ilvl w:val="0"/>
          <w:numId w:val="13"/>
        </w:numPr>
        <w:spacing w:after="0"/>
        <w:ind w:hanging="357"/>
        <w:rPr>
          <w:sz w:val="16"/>
        </w:rPr>
      </w:pPr>
      <w:r w:rsidRPr="00C10A00">
        <w:rPr>
          <w:sz w:val="16"/>
        </w:rPr>
        <w:t>DLA Piper: GDPR Fines and Data Breach Survey, January 2025</w:t>
      </w:r>
      <w:r w:rsidR="00B366BE" w:rsidRPr="00C10A00">
        <w:rPr>
          <w:sz w:val="16"/>
        </w:rPr>
        <w:t xml:space="preserve"> </w:t>
      </w:r>
      <w:hyperlink r:id="rId29">
        <w:r w:rsidRPr="00C10A00">
          <w:rPr>
            <w:rStyle w:val="Hyperlink"/>
            <w:sz w:val="16"/>
          </w:rPr>
          <w:t>https://www.dlapiper.com/en/insights/publications/2025/01/dla-piper-gdpr-fines-and-data-breach-survey-january-2025</w:t>
        </w:r>
      </w:hyperlink>
    </w:p>
    <w:p w14:paraId="500D8D01" w14:textId="77777777" w:rsidR="00C046B1" w:rsidRPr="00C10A00" w:rsidRDefault="007451B4" w:rsidP="00C10A00">
      <w:pPr>
        <w:pStyle w:val="Compact"/>
        <w:numPr>
          <w:ilvl w:val="0"/>
          <w:numId w:val="13"/>
        </w:numPr>
        <w:spacing w:after="0"/>
        <w:ind w:hanging="357"/>
        <w:rPr>
          <w:sz w:val="16"/>
        </w:rPr>
      </w:pPr>
      <w:r w:rsidRPr="00C10A00">
        <w:rPr>
          <w:sz w:val="16"/>
        </w:rPr>
        <w:t>Consumer Financial Protection Bureau (US): CFPB, FTC and States Announce Settlement with Equifax Over 2017 Data Breach, 22 July 2019</w:t>
      </w:r>
      <w:r w:rsidR="00B366BE" w:rsidRPr="00C10A00">
        <w:rPr>
          <w:sz w:val="16"/>
        </w:rPr>
        <w:t xml:space="preserve"> </w:t>
      </w:r>
      <w:hyperlink r:id="rId30">
        <w:r w:rsidRPr="00C10A00">
          <w:rPr>
            <w:rStyle w:val="Hyperlink"/>
            <w:sz w:val="16"/>
          </w:rPr>
          <w:t>https://www.consumerfinance.gov/archive/newsroom/cfpb-ftc-states-announce-settlement-with-equifax-over-2017-data-breach/</w:t>
        </w:r>
      </w:hyperlink>
    </w:p>
    <w:p w14:paraId="32E73263" w14:textId="77777777" w:rsidR="00C046B1" w:rsidRPr="00C10A00" w:rsidRDefault="007451B4" w:rsidP="00C10A00">
      <w:pPr>
        <w:pStyle w:val="Compact"/>
        <w:numPr>
          <w:ilvl w:val="0"/>
          <w:numId w:val="13"/>
        </w:numPr>
        <w:spacing w:after="0"/>
        <w:ind w:hanging="357"/>
        <w:rPr>
          <w:sz w:val="16"/>
        </w:rPr>
      </w:pPr>
      <w:r w:rsidRPr="00C10A00">
        <w:rPr>
          <w:sz w:val="16"/>
        </w:rPr>
        <w:t>European Commission: Commission Implementing Decision (EU) 2019/419 of 23 January 2019 on the adequate protection of personal data by Japan (EUR-Lex)</w:t>
      </w:r>
      <w:r w:rsidR="00B366BE" w:rsidRPr="00C10A00">
        <w:rPr>
          <w:sz w:val="16"/>
        </w:rPr>
        <w:t xml:space="preserve"> </w:t>
      </w:r>
      <w:hyperlink r:id="rId31">
        <w:r w:rsidRPr="00C10A00">
          <w:rPr>
            <w:rStyle w:val="Hyperlink"/>
            <w:sz w:val="16"/>
          </w:rPr>
          <w:t>https://eur-lex.europa.eu/legal-content/EN/TXT/?uri=CELEX%3A32019D0419</w:t>
        </w:r>
      </w:hyperlink>
    </w:p>
    <w:p w14:paraId="6A84BD54" w14:textId="77777777" w:rsidR="00C046B1" w:rsidRPr="00C10A00" w:rsidRDefault="007451B4" w:rsidP="00C10A00">
      <w:pPr>
        <w:pStyle w:val="Compact"/>
        <w:numPr>
          <w:ilvl w:val="0"/>
          <w:numId w:val="13"/>
        </w:numPr>
        <w:spacing w:after="0"/>
        <w:ind w:hanging="357"/>
        <w:rPr>
          <w:sz w:val="16"/>
        </w:rPr>
      </w:pPr>
      <w:r w:rsidRPr="00C10A00">
        <w:rPr>
          <w:sz w:val="16"/>
        </w:rPr>
        <w:t>Future of Privacy Forum: The Digital Personal Data Protection Act of India, Explained</w:t>
      </w:r>
      <w:r w:rsidR="00B366BE" w:rsidRPr="00C10A00">
        <w:rPr>
          <w:sz w:val="16"/>
        </w:rPr>
        <w:t xml:space="preserve"> </w:t>
      </w:r>
      <w:hyperlink r:id="rId32">
        <w:r w:rsidRPr="00C10A00">
          <w:rPr>
            <w:rStyle w:val="Hyperlink"/>
            <w:sz w:val="16"/>
          </w:rPr>
          <w:t>https://fpf.org/blog/the-digital-personal-data-protection-act-of-india-explained/</w:t>
        </w:r>
      </w:hyperlink>
    </w:p>
    <w:p w14:paraId="016036A8" w14:textId="77777777" w:rsidR="00C046B1" w:rsidRPr="00C10A00" w:rsidRDefault="007451B4" w:rsidP="00C10A00">
      <w:pPr>
        <w:pStyle w:val="Compact"/>
        <w:numPr>
          <w:ilvl w:val="0"/>
          <w:numId w:val="13"/>
        </w:numPr>
        <w:spacing w:after="0"/>
        <w:ind w:hanging="357"/>
        <w:rPr>
          <w:sz w:val="16"/>
        </w:rPr>
      </w:pPr>
      <w:r w:rsidRPr="00C10A00">
        <w:rPr>
          <w:sz w:val="16"/>
        </w:rPr>
        <w:t>Personal Information Protection Commission, Japan: Act on the Protection of Personal Information, amended 2022</w:t>
      </w:r>
      <w:r w:rsidR="00B366BE" w:rsidRPr="00C10A00">
        <w:rPr>
          <w:sz w:val="16"/>
        </w:rPr>
        <w:t xml:space="preserve"> </w:t>
      </w:r>
      <w:hyperlink r:id="rId33">
        <w:r w:rsidRPr="00C10A00">
          <w:rPr>
            <w:rStyle w:val="Hyperlink"/>
            <w:sz w:val="16"/>
          </w:rPr>
          <w:t>https://www.ppc.go.jp/en/legal/</w:t>
        </w:r>
      </w:hyperlink>
    </w:p>
    <w:p w14:paraId="631D772A" w14:textId="77777777" w:rsidR="00C046B1" w:rsidRPr="00C10A00" w:rsidRDefault="007451B4" w:rsidP="00C10A00">
      <w:pPr>
        <w:pStyle w:val="Compact"/>
        <w:numPr>
          <w:ilvl w:val="0"/>
          <w:numId w:val="13"/>
        </w:numPr>
        <w:spacing w:after="0"/>
        <w:ind w:hanging="357"/>
        <w:rPr>
          <w:sz w:val="16"/>
        </w:rPr>
      </w:pPr>
      <w:r w:rsidRPr="00C10A00">
        <w:rPr>
          <w:sz w:val="16"/>
        </w:rPr>
        <w:t>European Commission: European Commission adopts adequacy decision on Japan, creating the world’s largest area of safe data flows, 23 January 2019</w:t>
      </w:r>
      <w:r w:rsidR="00B366BE" w:rsidRPr="00C10A00">
        <w:rPr>
          <w:sz w:val="16"/>
        </w:rPr>
        <w:t xml:space="preserve"> </w:t>
      </w:r>
      <w:hyperlink r:id="rId34">
        <w:r w:rsidRPr="00C10A00">
          <w:rPr>
            <w:rStyle w:val="Hyperlink"/>
            <w:sz w:val="16"/>
          </w:rPr>
          <w:t>https://ec.europa.eu/commission/presscorner/detail/en/IP_19_421</w:t>
        </w:r>
      </w:hyperlink>
    </w:p>
    <w:p w14:paraId="7C715F92" w14:textId="77777777" w:rsidR="00C046B1" w:rsidRDefault="007451B4" w:rsidP="009066A4">
      <w:pPr>
        <w:pStyle w:val="Heading2"/>
      </w:pPr>
      <w:bookmarkStart w:id="34" w:name="_Toc240452337"/>
      <w:bookmarkStart w:id="35" w:name="financial-inclusion-initiatives"/>
      <w:bookmarkEnd w:id="27"/>
      <w:bookmarkEnd w:id="33"/>
      <w:r>
        <w:lastRenderedPageBreak/>
        <w:t>1.5. Financial Inclusion Initiatives</w:t>
      </w:r>
      <w:bookmarkEnd w:id="34"/>
    </w:p>
    <w:p w14:paraId="246C5D20" w14:textId="77777777" w:rsidR="00C046B1" w:rsidRDefault="007451B4" w:rsidP="00C30EC8">
      <w:pPr>
        <w:pStyle w:val="Heading3"/>
      </w:pPr>
      <w:bookmarkStart w:id="36" w:name="goal-4"/>
      <w:r>
        <w:t>1.5.1. Goal</w:t>
      </w:r>
    </w:p>
    <w:p w14:paraId="6C3D5C7B" w14:textId="77777777" w:rsidR="00C046B1" w:rsidRDefault="007451B4">
      <w:pPr>
        <w:pStyle w:val="BodyText"/>
      </w:pPr>
      <w:r>
        <w:t>Explain what financial inclusion means, how developing countries have widened access to accounts, and why it means something different in a rich country.</w:t>
      </w:r>
    </w:p>
    <w:p w14:paraId="0911BBF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37" w:name="reading-4"/>
      <w:bookmarkEnd w:id="36"/>
      <w:r>
        <w:t>1.5.2. Reading</w:t>
      </w:r>
    </w:p>
    <w:p w14:paraId="0863DDB4" w14:textId="77777777" w:rsidR="00C046B1" w:rsidRDefault="007451B4">
      <w:pPr>
        <w:pStyle w:val="articlebodytext"/>
      </w:pPr>
      <w:r>
        <w:t>About 1.3 billion adults worldwide still have no bank account of any kind. That is far fewer than a decade ago. The share of adults with an account rose from roughly half in 2011 to nearly 80% by 2024</w:t>
      </w:r>
      <w:r w:rsidR="00152693" w:rsidRPr="00152693">
        <w:rPr>
          <w:vertAlign w:val="superscript"/>
        </w:rPr>
        <w:t>[1]</w:t>
      </w:r>
      <w:r>
        <w:t>. But progress has been uneven, and most of the people still left out live in just eight countries.</w:t>
      </w:r>
    </w:p>
    <w:p w14:paraId="7A3CEB00" w14:textId="77777777" w:rsidR="00C046B1" w:rsidRDefault="007451B4">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0E104A13" w14:textId="77777777"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w:t>
      </w:r>
      <w:r w:rsidR="00152693" w:rsidRPr="00152693">
        <w:rPr>
          <w:vertAlign w:val="superscript"/>
        </w:rPr>
        <w:t>[1]</w:t>
      </w:r>
      <w:r>
        <w:t>. In Kenya itself, the share of adults with access to formal financial services has reached about 85%</w:t>
      </w:r>
      <w:r w:rsidR="00152693" w:rsidRPr="00152693">
        <w:rPr>
          <w:vertAlign w:val="superscript"/>
        </w:rPr>
        <w:t>[2]</w:t>
      </w:r>
      <w:r>
        <w:t>.</w:t>
      </w:r>
    </w:p>
    <w:p w14:paraId="21F6841C" w14:textId="77777777" w:rsidR="00C046B1" w:rsidRDefault="007451B4">
      <w:pPr>
        <w:pStyle w:val="articlebodytext"/>
      </w:pPr>
      <w:r>
        <w:t>Governments have also built the infrastructure directly. India’s Jan Dhan programme, started in 2014, had opened more than 500 million basic bank accounts by the mid-2020s</w:t>
      </w:r>
      <w:r w:rsidR="00142BF4" w:rsidRPr="00142BF4">
        <w:rPr>
          <w:vertAlign w:val="superscript"/>
        </w:rPr>
        <w:t>[5]</w:t>
      </w:r>
      <w:r>
        <w:t>. Most are held by women and rural residents. In Brazil, the central bank acted as regulator and infrastructure builder at once, launching an instant-payment system called Pix in 2020. Within about a year, two-thirds of Brazilian adults were using it, including mil</w:t>
      </w:r>
      <w:r>
        <w:t>lions who had never made an electronic transfer before</w:t>
      </w:r>
      <w:r w:rsidR="00152693" w:rsidRPr="00152693">
        <w:rPr>
          <w:vertAlign w:val="superscript"/>
        </w:rPr>
        <w:t>[3]</w:t>
      </w:r>
      <w:r>
        <w:t>.</w:t>
      </w:r>
    </w:p>
    <w:p w14:paraId="0936EB69" w14:textId="77777777" w:rsidR="00C046B1" w:rsidRDefault="007451B4">
      <w:pPr>
        <w:pStyle w:val="articlebodytext"/>
      </w:pPr>
      <w:r>
        <w:t>Having an account, though, is not the same as using one. In India, about 16% of account holders have an inactive account — roughly four times the rate in other middle-income countries</w:t>
      </w:r>
      <w:r w:rsidR="00152693" w:rsidRPr="00152693">
        <w:rPr>
          <w:vertAlign w:val="superscript"/>
        </w:rPr>
        <w:t>[1]</w:t>
      </w:r>
      <w:r>
        <w:t>. A programme can put a card in someone’s hand and still not change how they manage money.</w:t>
      </w:r>
    </w:p>
    <w:p w14:paraId="1AF1C85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w:t>
      </w:r>
      <w:r w:rsidR="00152693" w:rsidRPr="00152693">
        <w:rPr>
          <w:vertAlign w:val="superscript"/>
        </w:rPr>
        <w:t>[4]</w:t>
      </w:r>
      <w:r>
        <w:t>.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w:t>
      </w:r>
      <w:r w:rsidR="0042301F" w:rsidRPr="0042301F">
        <w:rPr>
          <w:vertAlign w:val="superscript"/>
        </w:rPr>
        <w:t>[6]</w:t>
      </w:r>
      <w:r>
        <w:t>. Whether the goal is a first account in Kenya or keeping cash access in rural Japan, the harder part is not reaching people once but making the service one they will actually use.</w:t>
      </w:r>
    </w:p>
    <w:p w14:paraId="489F064C" w14:textId="77777777" w:rsidR="00C046B1" w:rsidRDefault="007451B4" w:rsidP="00C30EC8">
      <w:pPr>
        <w:pStyle w:val="Heading3"/>
      </w:pPr>
      <w:bookmarkStart w:id="38" w:name="vocabulary-focus-4"/>
      <w:bookmarkEnd w:id="37"/>
      <w:r>
        <w:lastRenderedPageBreak/>
        <w:t>1.5.3. Vocabulary Focus</w:t>
      </w:r>
    </w:p>
    <w:p w14:paraId="17C16BE7" w14:textId="77777777" w:rsidR="00C046B1" w:rsidRDefault="007451B4">
      <w:pPr>
        <w:pStyle w:val="FirstParagraph"/>
      </w:pPr>
      <w:r>
        <w:t>financial inclusion, the unbanked, mobile money, agent banking, instant payment system, cashless payment</w:t>
      </w:r>
    </w:p>
    <w:p w14:paraId="72552BAC" w14:textId="77777777" w:rsidR="00C046B1" w:rsidRDefault="007451B4" w:rsidP="00C30EC8">
      <w:pPr>
        <w:pStyle w:val="Heading3"/>
      </w:pPr>
      <w:bookmarkStart w:id="39" w:name="reading-questions-4"/>
      <w:bookmarkEnd w:id="38"/>
      <w:r>
        <w:t>1.5.4. Reading Questions</w:t>
      </w:r>
    </w:p>
    <w:p w14:paraId="48794C83" w14:textId="77777777" w:rsidR="00C046B1" w:rsidRDefault="007451B4" w:rsidP="007451B4">
      <w:pPr>
        <w:pStyle w:val="Compact"/>
        <w:numPr>
          <w:ilvl w:val="0"/>
          <w:numId w:val="14"/>
        </w:numPr>
        <w:spacing w:after="80"/>
      </w:pPr>
      <w:r>
        <w:t>How much did the share of adults worldwide with an account change between 2011 and 2024?</w:t>
      </w:r>
    </w:p>
    <w:p w14:paraId="70790E23" w14:textId="77777777" w:rsidR="00C046B1" w:rsidRDefault="007451B4" w:rsidP="007451B4">
      <w:pPr>
        <w:pStyle w:val="Compact"/>
        <w:numPr>
          <w:ilvl w:val="0"/>
          <w:numId w:val="14"/>
        </w:numPr>
        <w:spacing w:after="80"/>
      </w:pPr>
      <w:r>
        <w:t>How does M-Pesa let people hold and move money without a bank branch?</w:t>
      </w:r>
    </w:p>
    <w:p w14:paraId="6F2038AB" w14:textId="77777777" w:rsidR="00C046B1" w:rsidRDefault="007451B4" w:rsidP="007451B4">
      <w:pPr>
        <w:pStyle w:val="Compact"/>
        <w:numPr>
          <w:ilvl w:val="0"/>
          <w:numId w:val="14"/>
        </w:numPr>
        <w:spacing w:after="80"/>
      </w:pPr>
      <w:r>
        <w:t>What did India’s Jan Dhan programme do, and who mainly holds the accounts?</w:t>
      </w:r>
    </w:p>
    <w:p w14:paraId="422ADDF3" w14:textId="77777777" w:rsidR="00C046B1" w:rsidRDefault="007451B4" w:rsidP="007451B4">
      <w:pPr>
        <w:pStyle w:val="Compact"/>
        <w:numPr>
          <w:ilvl w:val="0"/>
          <w:numId w:val="14"/>
        </w:numPr>
        <w:spacing w:after="80"/>
      </w:pPr>
      <w:r>
        <w:t>Why does the reading say financial inclusion “means something different” in Japan?</w:t>
      </w:r>
    </w:p>
    <w:p w14:paraId="0191876D" w14:textId="77777777" w:rsidR="00C046B1" w:rsidRDefault="007451B4" w:rsidP="007451B4">
      <w:pPr>
        <w:pStyle w:val="Compact"/>
        <w:numPr>
          <w:ilvl w:val="0"/>
          <w:numId w:val="14"/>
        </w:numPr>
        <w:spacing w:after="80"/>
      </w:pPr>
      <w:r>
        <w:t>What role did Japan Post Bank historically play in financial inclusion?</w:t>
      </w:r>
    </w:p>
    <w:p w14:paraId="47051366" w14:textId="77777777" w:rsidR="00C046B1" w:rsidRDefault="007451B4" w:rsidP="00C30EC8">
      <w:pPr>
        <w:pStyle w:val="Heading3"/>
      </w:pPr>
      <w:bookmarkStart w:id="40" w:name="discussion-questions-4"/>
      <w:bookmarkEnd w:id="39"/>
      <w:r>
        <w:t>1.5.5. Discussion Questions</w:t>
      </w:r>
    </w:p>
    <w:p w14:paraId="28C60FBE" w14:textId="77777777" w:rsidR="00C046B1" w:rsidRDefault="007451B4" w:rsidP="007451B4">
      <w:pPr>
        <w:pStyle w:val="Compact"/>
        <w:numPr>
          <w:ilvl w:val="0"/>
          <w:numId w:val="15"/>
        </w:numPr>
        <w:spacing w:after="80"/>
      </w:pPr>
      <w:r>
        <w:t>In several countries, governments rather than private banks built the tools that widened access. When is that the right choice, and when is it not?</w:t>
      </w:r>
    </w:p>
    <w:p w14:paraId="5156A93D" w14:textId="77777777" w:rsidR="00C046B1" w:rsidRDefault="007451B4" w:rsidP="007451B4">
      <w:pPr>
        <w:pStyle w:val="Compact"/>
        <w:numPr>
          <w:ilvl w:val="0"/>
          <w:numId w:val="15"/>
        </w:numPr>
        <w:spacing w:after="80"/>
      </w:pPr>
      <w:r>
        <w:t>Having an account is not the same as using one. What might stop someone from using an account they have been given?</w:t>
      </w:r>
    </w:p>
    <w:p w14:paraId="04A7725D" w14:textId="77777777" w:rsidR="00C046B1" w:rsidRDefault="007451B4" w:rsidP="007451B4">
      <w:pPr>
        <w:pStyle w:val="Compact"/>
        <w:numPr>
          <w:ilvl w:val="0"/>
          <w:numId w:val="15"/>
        </w:numPr>
        <w:spacing w:after="80"/>
      </w:pPr>
      <w:r>
        <w:t>Compare Kenya’s mobile-money route with Brazil’s central-bank payment system. What are the strengths of each?</w:t>
      </w:r>
    </w:p>
    <w:p w14:paraId="26DB0E29" w14:textId="77777777" w:rsidR="00C046B1" w:rsidRDefault="007451B4" w:rsidP="007451B4">
      <w:pPr>
        <w:pStyle w:val="Compact"/>
        <w:numPr>
          <w:ilvl w:val="0"/>
          <w:numId w:val="15"/>
        </w:numPr>
        <w:spacing w:after="80"/>
      </w:pPr>
      <w:r>
        <w:t>In a rich country, who is most at risk of being “left behind” as cash and branches disappear, and what could be done for them?</w:t>
      </w:r>
    </w:p>
    <w:p w14:paraId="3CBB1376" w14:textId="77777777" w:rsidR="00C046B1" w:rsidRDefault="007451B4" w:rsidP="007451B4">
      <w:pPr>
        <w:pStyle w:val="Compact"/>
        <w:numPr>
          <w:ilvl w:val="0"/>
          <w:numId w:val="15"/>
        </w:numPr>
        <w:spacing w:after="80"/>
      </w:pPr>
      <w:r>
        <w:t>Advise a government that wants to bring its unbanked population into the financial system. What two steps would you tell it to take first?</w:t>
      </w:r>
    </w:p>
    <w:p w14:paraId="6FE6642A" w14:textId="77777777" w:rsidR="00C046B1" w:rsidRDefault="007451B4" w:rsidP="00C30EC8">
      <w:pPr>
        <w:pStyle w:val="Heading3"/>
      </w:pPr>
      <w:bookmarkStart w:id="41" w:name="source-notes-4"/>
      <w:bookmarkEnd w:id="40"/>
      <w:r>
        <w:t>1.5.6. Source Notes</w:t>
      </w:r>
    </w:p>
    <w:p w14:paraId="749D9857" w14:textId="77777777" w:rsidR="00C046B1" w:rsidRPr="00C10A00" w:rsidRDefault="007451B4" w:rsidP="00C10A00">
      <w:pPr>
        <w:pStyle w:val="Compact"/>
        <w:numPr>
          <w:ilvl w:val="0"/>
          <w:numId w:val="16"/>
        </w:numPr>
        <w:spacing w:after="0"/>
        <w:ind w:hanging="357"/>
        <w:rPr>
          <w:sz w:val="16"/>
        </w:rPr>
      </w:pPr>
      <w:r w:rsidRPr="00C10A00">
        <w:rPr>
          <w:sz w:val="16"/>
        </w:rPr>
        <w:t>World Bank: Mobile-Phone Technology Powers Saving Surge in Developing Economies (Global Findex Database 2025), 16 July 2025</w:t>
      </w:r>
      <w:r w:rsidR="00B366BE" w:rsidRPr="00C10A00">
        <w:rPr>
          <w:sz w:val="16"/>
        </w:rPr>
        <w:t xml:space="preserve"> </w:t>
      </w:r>
      <w:hyperlink r:id="rId35">
        <w:r w:rsidRPr="00C10A00">
          <w:rPr>
            <w:rStyle w:val="Hyperlink"/>
            <w:sz w:val="16"/>
          </w:rPr>
          <w:t>https://www.worldbank.org/en/news/press-release/2025/07/16/mobile-phone-technology-powers-saving-surge-in-developing-economies</w:t>
        </w:r>
      </w:hyperlink>
    </w:p>
    <w:p w14:paraId="5CEA2FD3" w14:textId="77777777" w:rsidR="00C046B1" w:rsidRPr="00C10A00" w:rsidRDefault="007451B4" w:rsidP="00C10A00">
      <w:pPr>
        <w:pStyle w:val="Compact"/>
        <w:numPr>
          <w:ilvl w:val="0"/>
          <w:numId w:val="16"/>
        </w:numPr>
        <w:spacing w:after="0"/>
        <w:ind w:hanging="357"/>
        <w:rPr>
          <w:sz w:val="16"/>
        </w:rPr>
      </w:pPr>
      <w:r w:rsidRPr="00C10A00">
        <w:rPr>
          <w:sz w:val="16"/>
        </w:rPr>
        <w:t>Central Bank of Kenya: 2024 FinAccess Household Survey, 3 December 2024</w:t>
      </w:r>
      <w:r w:rsidR="00B366BE" w:rsidRPr="00C10A00">
        <w:rPr>
          <w:sz w:val="16"/>
        </w:rPr>
        <w:t xml:space="preserve"> </w:t>
      </w:r>
      <w:hyperlink r:id="rId36">
        <w:r w:rsidRPr="00C10A00">
          <w:rPr>
            <w:rStyle w:val="Hyperlink"/>
            <w:sz w:val="16"/>
          </w:rPr>
          <w:t>https://www.centralbank.go.ke/2024/12/13/10960/</w:t>
        </w:r>
      </w:hyperlink>
    </w:p>
    <w:p w14:paraId="1F3992FD" w14:textId="77777777" w:rsidR="00C046B1" w:rsidRPr="00C10A00" w:rsidRDefault="007451B4" w:rsidP="00C10A00">
      <w:pPr>
        <w:pStyle w:val="Compact"/>
        <w:numPr>
          <w:ilvl w:val="0"/>
          <w:numId w:val="16"/>
        </w:numPr>
        <w:spacing w:after="0"/>
        <w:ind w:hanging="357"/>
        <w:rPr>
          <w:sz w:val="16"/>
        </w:rPr>
      </w:pPr>
      <w:r w:rsidRPr="00C10A00">
        <w:rPr>
          <w:sz w:val="16"/>
        </w:rPr>
        <w:t>Bank for International Settlements: Pix — Brazil’s successful experience with instant payments (BIS Bulletin No 52), 23 March 2022</w:t>
      </w:r>
      <w:r w:rsidR="00B366BE" w:rsidRPr="00C10A00">
        <w:rPr>
          <w:sz w:val="16"/>
        </w:rPr>
        <w:t xml:space="preserve"> </w:t>
      </w:r>
      <w:hyperlink r:id="rId37">
        <w:r w:rsidRPr="00C10A00">
          <w:rPr>
            <w:rStyle w:val="Hyperlink"/>
            <w:sz w:val="16"/>
          </w:rPr>
          <w:t>https://www.bis.org/publ/bisbull52.htm</w:t>
        </w:r>
      </w:hyperlink>
    </w:p>
    <w:p w14:paraId="7EC8A582" w14:textId="77777777" w:rsidR="00C046B1" w:rsidRPr="00C10A00" w:rsidRDefault="007451B4" w:rsidP="00C10A00">
      <w:pPr>
        <w:pStyle w:val="Compact"/>
        <w:numPr>
          <w:ilvl w:val="0"/>
          <w:numId w:val="16"/>
        </w:numPr>
        <w:spacing w:after="0"/>
        <w:ind w:hanging="357"/>
        <w:rPr>
          <w:sz w:val="16"/>
        </w:rPr>
      </w:pPr>
      <w:r w:rsidRPr="00C10A00">
        <w:rPr>
          <w:sz w:val="16"/>
        </w:rPr>
        <w:t>Ministry of Economy, Trade and Industry (Japan): 2024 Ratio of Cashless Payment Among the Total Amount Paid by Consumers Calculated, 31 March 2025</w:t>
      </w:r>
      <w:r w:rsidR="00B366BE" w:rsidRPr="00C10A00">
        <w:rPr>
          <w:sz w:val="16"/>
        </w:rPr>
        <w:t xml:space="preserve"> </w:t>
      </w:r>
      <w:hyperlink r:id="rId38">
        <w:r w:rsidRPr="00C10A00">
          <w:rPr>
            <w:rStyle w:val="Hyperlink"/>
            <w:sz w:val="16"/>
          </w:rPr>
          <w:t>https://www.meti.go.jp/english/press/2025/0331_001.html</w:t>
        </w:r>
      </w:hyperlink>
    </w:p>
    <w:p w14:paraId="728275DE" w14:textId="77777777" w:rsidR="00C046B1" w:rsidRPr="00C10A00" w:rsidRDefault="007451B4" w:rsidP="00C10A00">
      <w:pPr>
        <w:pStyle w:val="Compact"/>
        <w:numPr>
          <w:ilvl w:val="0"/>
          <w:numId w:val="16"/>
        </w:numPr>
        <w:spacing w:after="0"/>
        <w:ind w:hanging="357"/>
        <w:rPr>
          <w:sz w:val="16"/>
        </w:rPr>
      </w:pPr>
      <w:r w:rsidRPr="00C10A00">
        <w:rPr>
          <w:sz w:val="16"/>
        </w:rPr>
        <w:t>Press Information Bureau, Government of India: Pradhan Mantri Jan Dhan Yojana (PMJDY) — National Mission for Financial Inclusion — completes a decade of successful implementation, 2024</w:t>
      </w:r>
      <w:r w:rsidR="00B366BE" w:rsidRPr="00C10A00">
        <w:rPr>
          <w:sz w:val="16"/>
        </w:rPr>
        <w:t xml:space="preserve"> </w:t>
      </w:r>
      <w:hyperlink r:id="rId39">
        <w:r w:rsidRPr="00C10A00">
          <w:rPr>
            <w:rStyle w:val="Hyperlink"/>
            <w:sz w:val="16"/>
          </w:rPr>
          <w:t>https://www.pib.gov.in/PressReleasePage.aspx?PRID=2049231</w:t>
        </w:r>
      </w:hyperlink>
    </w:p>
    <w:p w14:paraId="11F0B96A" w14:textId="77777777" w:rsidR="00C046B1" w:rsidRPr="00C10A00" w:rsidRDefault="007451B4" w:rsidP="00C10A00">
      <w:pPr>
        <w:pStyle w:val="Compact"/>
        <w:numPr>
          <w:ilvl w:val="0"/>
          <w:numId w:val="16"/>
        </w:numPr>
        <w:spacing w:after="0"/>
        <w:ind w:hanging="357"/>
        <w:rPr>
          <w:sz w:val="16"/>
        </w:rPr>
      </w:pPr>
      <w:r w:rsidRPr="00C10A00">
        <w:rPr>
          <w:sz w:val="16"/>
        </w:rPr>
        <w:t>Japan Post Holdings Co., Ltd.: History</w:t>
      </w:r>
      <w:r w:rsidR="00B366BE" w:rsidRPr="00C10A00">
        <w:rPr>
          <w:sz w:val="16"/>
        </w:rPr>
        <w:t xml:space="preserve"> </w:t>
      </w:r>
      <w:hyperlink r:id="rId40">
        <w:r w:rsidRPr="00C10A00">
          <w:rPr>
            <w:rStyle w:val="Hyperlink"/>
            <w:sz w:val="16"/>
          </w:rPr>
          <w:t>https://www.japanpost.jp/en/corporate/changes/index.html</w:t>
        </w:r>
      </w:hyperlink>
    </w:p>
    <w:p w14:paraId="5B05E369" w14:textId="77777777" w:rsidR="004F1690" w:rsidRDefault="004F1690">
      <w:pPr>
        <w:rPr>
          <w:rFonts w:cs="Noto Sans Light"/>
          <w:color w:val="000000" w:themeColor="text1"/>
        </w:rPr>
      </w:pPr>
      <w:r>
        <w:br w:type="page"/>
      </w:r>
    </w:p>
    <w:p w14:paraId="0BF20D10" w14:textId="77777777" w:rsidR="00C046B1" w:rsidRDefault="007451B4">
      <w:pPr>
        <w:pStyle w:val="Compact"/>
      </w:pPr>
      <w:r>
        <w:lastRenderedPageBreak/>
        <w:br w:type="page"/>
      </w:r>
    </w:p>
    <w:p w14:paraId="5FEBD116" w14:textId="77777777" w:rsidR="00C046B1" w:rsidRPr="00C30EC8" w:rsidRDefault="007451B4" w:rsidP="00C30EC8">
      <w:pPr>
        <w:pStyle w:val="Heading1"/>
      </w:pPr>
      <w:bookmarkStart w:id="42" w:name="_Toc240452338"/>
      <w:bookmarkStart w:id="43" w:name="Xacf28357409deebbcb90d318c85408a32c0ee57"/>
      <w:bookmarkEnd w:id="1"/>
      <w:bookmarkEnd w:id="35"/>
      <w:bookmarkEnd w:id="41"/>
      <w:r w:rsidRPr="00C30EC8">
        <w:rPr>
          <w:color w:val="FF9233"/>
        </w:rPr>
        <w:lastRenderedPageBreak/>
        <w:t>Part 2</w:t>
      </w:r>
      <w:r w:rsidR="00B366BE">
        <w:rPr>
          <w:color w:val="FF9233"/>
        </w:rPr>
        <w:br/>
      </w:r>
      <w:r w:rsidRPr="00C30EC8">
        <w:t>Markets, Institutions and Financial Stability</w:t>
      </w:r>
      <w:bookmarkEnd w:id="42"/>
    </w:p>
    <w:p w14:paraId="74C1349F" w14:textId="77777777" w:rsidR="00C046B1" w:rsidRDefault="007451B4" w:rsidP="00022497">
      <w:pPr>
        <w:pStyle w:val="BodyText"/>
        <w:jc w:val="both"/>
      </w:pPr>
      <w:r>
        <w:t>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an insurer holds enough capital today to make good on promises it will not have to pay out for decades.</w:t>
      </w:r>
    </w:p>
    <w:p w14:paraId="330CACBA" w14:textId="77777777" w:rsidR="00C046B1" w:rsidRDefault="007451B4" w:rsidP="00022497">
      <w:pPr>
        <w:pStyle w:val="BodyText"/>
        <w:jc w:val="both"/>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 these five topics is really the same argument told through a different institution: a financial system is only as stable as the assumptions behind the safeguards nobody hopes to actually use.</w:t>
      </w:r>
    </w:p>
    <w:p w14:paraId="084B23E1" w14:textId="77777777" w:rsidR="00C046B1" w:rsidRDefault="007451B4" w:rsidP="009066A4">
      <w:pPr>
        <w:pStyle w:val="Heading2"/>
      </w:pPr>
      <w:bookmarkStart w:id="44" w:name="_Toc240452339"/>
      <w:bookmarkStart w:id="45" w:name="Xe5b2d0d6a408b364305aa3e61179c5557207fca"/>
      <w:r>
        <w:lastRenderedPageBreak/>
        <w:t>2.1. Regulatory Responses to Market Volatility</w:t>
      </w:r>
      <w:bookmarkEnd w:id="44"/>
    </w:p>
    <w:p w14:paraId="45AC2D14" w14:textId="77777777" w:rsidR="00C046B1" w:rsidRDefault="007451B4" w:rsidP="00C30EC8">
      <w:pPr>
        <w:pStyle w:val="Heading3"/>
      </w:pPr>
      <w:bookmarkStart w:id="46" w:name="goal-5"/>
      <w:r>
        <w:t>2.1.1. Goal</w:t>
      </w:r>
    </w:p>
    <w:p w14:paraId="794A36E6" w14:textId="77777777" w:rsidR="00C046B1" w:rsidRDefault="007451B4">
      <w:pPr>
        <w:pStyle w:val="BodyText"/>
      </w:pPr>
      <w:r>
        <w:t>Explain how exchanges and regulators try to slow a falling market, using circuit breakers and trading halts, and why these tools are debated.</w:t>
      </w:r>
    </w:p>
    <w:p w14:paraId="2F28FF3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47" w:name="reading-5"/>
      <w:bookmarkEnd w:id="46"/>
      <w:r>
        <w:t>2.1.2. Reading</w:t>
      </w:r>
    </w:p>
    <w:p w14:paraId="52D34C39" w14:textId="77777777" w:rsidR="00C046B1" w:rsidRDefault="007451B4">
      <w:pPr>
        <w:pStyle w:val="articlebodytext"/>
      </w:pPr>
      <w:r>
        <w:t>On 5 August 2024 the Nikkei 225, Japan’s main stock index, fell 4,451 points in a single day, a drop of 12.4% and the largest one-day points fall in its history</w:t>
      </w:r>
      <w:r w:rsidR="00152693" w:rsidRPr="00152693">
        <w:rPr>
          <w:vertAlign w:val="superscript"/>
        </w:rPr>
        <w:t>[1]</w:t>
      </w:r>
      <w:r>
        <w:t>.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0F201AD9" w14:textId="7777777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w:t>
      </w:r>
      <w:r w:rsidR="00152693" w:rsidRPr="00152693">
        <w:rPr>
          <w:vertAlign w:val="superscript"/>
        </w:rPr>
        <w:t>[2]</w:t>
      </w:r>
      <w:r>
        <w:t>.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w:t>
      </w:r>
      <w:r w:rsidR="00152693" w:rsidRPr="00152693">
        <w:rPr>
          <w:vertAlign w:val="superscript"/>
        </w:rPr>
        <w:t>[3]</w:t>
      </w:r>
      <w:r>
        <w:t>.</w:t>
      </w:r>
    </w:p>
    <w:p w14:paraId="5DB2BF23" w14:textId="77777777" w:rsidR="00C046B1" w:rsidRDefault="007451B4">
      <w:pPr>
        <w:pStyle w:val="articlebodytext"/>
      </w:pPr>
      <w:r>
        <w:t xml:space="preserve">Other markets use their own versions. After the “flash crash” of 6 May 2010, when United States prices fell and rebounded within minutes, regulators added limits that pause trading in a single </w:t>
      </w:r>
      <w:r>
        <w:t>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2D5B866C"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2B409582" w14:textId="77777777" w:rsidR="00C046B1" w:rsidRDefault="007451B4" w:rsidP="00C30EC8">
      <w:pPr>
        <w:pStyle w:val="Heading3"/>
      </w:pPr>
      <w:bookmarkStart w:id="48" w:name="vocabulary-focus-5"/>
      <w:bookmarkEnd w:id="47"/>
      <w:r>
        <w:lastRenderedPageBreak/>
        <w:t>2.1.3. Vocabulary Focus</w:t>
      </w:r>
    </w:p>
    <w:p w14:paraId="67B45F83" w14:textId="77777777" w:rsidR="00C046B1" w:rsidRDefault="007451B4">
      <w:pPr>
        <w:pStyle w:val="FirstParagraph"/>
      </w:pPr>
      <w:r>
        <w:t>market volatility, circuit breaker, trading halt, stock index, short selling, daily price limit</w:t>
      </w:r>
    </w:p>
    <w:p w14:paraId="0DC102C7" w14:textId="77777777" w:rsidR="00C046B1" w:rsidRDefault="007451B4" w:rsidP="00C30EC8">
      <w:pPr>
        <w:pStyle w:val="Heading3"/>
      </w:pPr>
      <w:bookmarkStart w:id="49" w:name="reading-questions-5"/>
      <w:bookmarkEnd w:id="48"/>
      <w:r>
        <w:t>2.1.4. Reading Questions</w:t>
      </w:r>
    </w:p>
    <w:p w14:paraId="40944C22" w14:textId="77777777" w:rsidR="00C046B1" w:rsidRDefault="007451B4" w:rsidP="007451B4">
      <w:pPr>
        <w:pStyle w:val="Compact"/>
        <w:numPr>
          <w:ilvl w:val="0"/>
          <w:numId w:val="17"/>
        </w:numPr>
      </w:pPr>
      <w:r>
        <w:t>What happened to the Nikkei 225 on 5 August 2024, and how did the market move the next day?</w:t>
      </w:r>
    </w:p>
    <w:p w14:paraId="143984E7" w14:textId="77777777" w:rsidR="00C046B1" w:rsidRDefault="007451B4" w:rsidP="007451B4">
      <w:pPr>
        <w:pStyle w:val="Compact"/>
        <w:numPr>
          <w:ilvl w:val="0"/>
          <w:numId w:val="17"/>
        </w:numPr>
      </w:pPr>
      <w:r>
        <w:t>What is a circuit breaker, and what event led the United States to create one?</w:t>
      </w:r>
    </w:p>
    <w:p w14:paraId="7DAC4F81" w14:textId="77777777" w:rsidR="00C046B1" w:rsidRDefault="007451B4" w:rsidP="007451B4">
      <w:pPr>
        <w:pStyle w:val="Compact"/>
        <w:numPr>
          <w:ilvl w:val="0"/>
          <w:numId w:val="17"/>
        </w:numPr>
      </w:pPr>
      <w:r>
        <w:t>What are the three levels used in the main United States market, and what does each one do?</w:t>
      </w:r>
    </w:p>
    <w:p w14:paraId="567313E7" w14:textId="77777777" w:rsidR="00C046B1" w:rsidRDefault="007451B4" w:rsidP="007451B4">
      <w:pPr>
        <w:pStyle w:val="Compact"/>
        <w:numPr>
          <w:ilvl w:val="0"/>
          <w:numId w:val="17"/>
        </w:numPr>
      </w:pPr>
      <w:r>
        <w:t>What change did regulators make after the “flash crash” of May 2010?</w:t>
      </w:r>
    </w:p>
    <w:p w14:paraId="17CF717E" w14:textId="77777777" w:rsidR="00C046B1" w:rsidRDefault="007451B4" w:rsidP="007451B4">
      <w:pPr>
        <w:pStyle w:val="Compact"/>
        <w:numPr>
          <w:ilvl w:val="0"/>
          <w:numId w:val="17"/>
        </w:numPr>
        <w:spacing w:after="0"/>
      </w:pPr>
      <w:r>
        <w:t>Why did China remove its market-wide circuit breaker after four days?</w:t>
      </w:r>
    </w:p>
    <w:p w14:paraId="0C41A9D2" w14:textId="77777777" w:rsidR="00C046B1" w:rsidRDefault="007451B4" w:rsidP="00C30EC8">
      <w:pPr>
        <w:pStyle w:val="Heading3"/>
      </w:pPr>
      <w:bookmarkStart w:id="50" w:name="discussion-questions-5"/>
      <w:bookmarkEnd w:id="49"/>
      <w:r>
        <w:t>2.1.5. Discussion Questions</w:t>
      </w:r>
    </w:p>
    <w:p w14:paraId="4E1C95DC"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39ADF815"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62130B54"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0FA67D38"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011E8FCF"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0C7FB019" w14:textId="77777777" w:rsidR="00C046B1" w:rsidRDefault="007451B4" w:rsidP="00C30EC8">
      <w:pPr>
        <w:pStyle w:val="Heading3"/>
      </w:pPr>
      <w:bookmarkStart w:id="51" w:name="source-notes-5"/>
      <w:bookmarkEnd w:id="50"/>
      <w:r>
        <w:t>2.1.6. Source Notes</w:t>
      </w:r>
    </w:p>
    <w:p w14:paraId="199375E5" w14:textId="77777777" w:rsidR="00C046B1" w:rsidRPr="00C10A00" w:rsidRDefault="007451B4" w:rsidP="00C10A00">
      <w:pPr>
        <w:pStyle w:val="Compact"/>
        <w:numPr>
          <w:ilvl w:val="0"/>
          <w:numId w:val="19"/>
        </w:numPr>
        <w:spacing w:after="0"/>
        <w:ind w:hanging="357"/>
        <w:rPr>
          <w:sz w:val="16"/>
        </w:rPr>
      </w:pPr>
      <w:r w:rsidRPr="00C10A00">
        <w:rPr>
          <w:sz w:val="16"/>
        </w:rPr>
        <w:t>Japan Exchange Group: Price Limits / Circuit Breaker Rule (Derivatives)</w:t>
      </w:r>
      <w:r w:rsidR="00B366BE" w:rsidRPr="00C10A00">
        <w:rPr>
          <w:sz w:val="16"/>
        </w:rPr>
        <w:t xml:space="preserve"> </w:t>
      </w:r>
      <w:hyperlink r:id="rId41">
        <w:r w:rsidRPr="00C10A00">
          <w:rPr>
            <w:rStyle w:val="Hyperlink"/>
            <w:sz w:val="16"/>
          </w:rPr>
          <w:t>https://www.jpx.co.jp/english/derivatives/rules/price-limit-cb/</w:t>
        </w:r>
      </w:hyperlink>
    </w:p>
    <w:p w14:paraId="491E83C2" w14:textId="77777777" w:rsidR="00C046B1" w:rsidRPr="00C10A00" w:rsidRDefault="007451B4" w:rsidP="00C10A00">
      <w:pPr>
        <w:pStyle w:val="Compact"/>
        <w:numPr>
          <w:ilvl w:val="0"/>
          <w:numId w:val="19"/>
        </w:numPr>
        <w:spacing w:after="0"/>
        <w:ind w:hanging="357"/>
        <w:rPr>
          <w:sz w:val="16"/>
        </w:rPr>
      </w:pPr>
      <w:r w:rsidRPr="00C10A00">
        <w:rPr>
          <w:sz w:val="16"/>
        </w:rPr>
        <w:t>Report of the Presidential Task Force on Market Mechanisms (the Brady Report), January 1988</w:t>
      </w:r>
      <w:r w:rsidR="00B366BE" w:rsidRPr="00C10A00">
        <w:rPr>
          <w:sz w:val="16"/>
        </w:rPr>
        <w:t xml:space="preserve"> </w:t>
      </w:r>
      <w:hyperlink r:id="rId42">
        <w:r w:rsidRPr="00C10A00">
          <w:rPr>
            <w:rStyle w:val="Hyperlink"/>
            <w:sz w:val="16"/>
          </w:rPr>
          <w:t>https://www.sechistorical.org/collection/papers/1980/1988_0101_BradyReport.pdf</w:t>
        </w:r>
      </w:hyperlink>
    </w:p>
    <w:p w14:paraId="32B17618" w14:textId="77777777" w:rsidR="00C046B1" w:rsidRPr="00C10A00" w:rsidRDefault="007451B4" w:rsidP="00C10A00">
      <w:pPr>
        <w:pStyle w:val="Compact"/>
        <w:numPr>
          <w:ilvl w:val="0"/>
          <w:numId w:val="19"/>
        </w:numPr>
        <w:spacing w:after="0"/>
        <w:ind w:hanging="357"/>
        <w:rPr>
          <w:sz w:val="16"/>
        </w:rPr>
      </w:pPr>
      <w:r w:rsidRPr="00C10A00">
        <w:rPr>
          <w:sz w:val="16"/>
        </w:rPr>
        <w:t>U.S. Securities and Exchange Commission (Investor.gov): Stock Market Circuit Breakers</w:t>
      </w:r>
      <w:r w:rsidR="00B366BE" w:rsidRPr="00C10A00">
        <w:rPr>
          <w:sz w:val="16"/>
        </w:rPr>
        <w:t xml:space="preserve"> </w:t>
      </w:r>
      <w:hyperlink r:id="rId43">
        <w:r w:rsidRPr="00C10A00">
          <w:rPr>
            <w:rStyle w:val="Hyperlink"/>
            <w:sz w:val="16"/>
          </w:rPr>
          <w:t>https://www.investor.gov/introduction-investing/investing-basics/glossary/stock-market-circuit-breakers</w:t>
        </w:r>
      </w:hyperlink>
    </w:p>
    <w:p w14:paraId="5D0C32F6" w14:textId="77777777" w:rsidR="00C046B1" w:rsidRDefault="007451B4" w:rsidP="009066A4">
      <w:pPr>
        <w:pStyle w:val="Heading2"/>
      </w:pPr>
      <w:bookmarkStart w:id="52" w:name="_Toc240452340"/>
      <w:bookmarkStart w:id="53" w:name="credit-rating-agencies-oversight"/>
      <w:bookmarkEnd w:id="45"/>
      <w:bookmarkEnd w:id="51"/>
      <w:r>
        <w:lastRenderedPageBreak/>
        <w:t>2.2. Credit Rating Agencies Oversight</w:t>
      </w:r>
      <w:bookmarkEnd w:id="52"/>
    </w:p>
    <w:p w14:paraId="380BE2B5" w14:textId="77777777" w:rsidR="00C046B1" w:rsidRDefault="007451B4" w:rsidP="00C30EC8">
      <w:pPr>
        <w:pStyle w:val="Heading3"/>
      </w:pPr>
      <w:bookmarkStart w:id="54" w:name="goal-6"/>
      <w:r>
        <w:t>2.2.1. Goal</w:t>
      </w:r>
    </w:p>
    <w:p w14:paraId="3B04FD57" w14:textId="77777777" w:rsidR="00C046B1" w:rsidRDefault="007451B4">
      <w:pPr>
        <w:pStyle w:val="BodyText"/>
      </w:pPr>
      <w:r>
        <w:t>Explain what a credit rating is, why the way rating agencies are paid creates a conflict of interest, and how regulators have responded since 2008.</w:t>
      </w:r>
    </w:p>
    <w:p w14:paraId="4977C64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5" w:name="reading-6"/>
      <w:bookmarkEnd w:id="54"/>
      <w:r>
        <w:t>2.2.2. Reading</w:t>
      </w:r>
    </w:p>
    <w:p w14:paraId="12FF4DB2"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67545158" w14:textId="77777777" w:rsidR="00C046B1" w:rsidRDefault="007451B4">
      <w:pPr>
        <w:pStyle w:val="articlebodytext"/>
      </w:pPr>
      <w:r>
        <w:t>Three firms produce the great majority of these opinions. Standard &amp; Poor’s, Moody’s and Fitch together accounted for about 94% of all outstanding ratings in the United States at the end of 2023</w:t>
      </w:r>
      <w:r w:rsidR="00152693" w:rsidRPr="00152693">
        <w:rPr>
          <w:vertAlign w:val="superscript"/>
        </w:rPr>
        <w:t>[1]</w:t>
      </w:r>
      <w:r>
        <w:t>.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28C19934" w14:textId="77777777" w:rsidR="00C046B1" w:rsidRDefault="007451B4">
      <w:pPr>
        <w:pStyle w:val="articlebodytext"/>
      </w:pPr>
      <w:r>
        <w:t>Regulators responded on both sides of the Atlantic. In the United States, the Securities and Exchange Commission was given clearer authority to oversee registered rating agencies, and in 2015 Standard &amp; Poor’s paid about US$1.375 billion to settle government claims over its pre-crisis mortgage ratings</w:t>
      </w:r>
      <w:r w:rsidR="00152693" w:rsidRPr="00152693">
        <w:rPr>
          <w:vertAlign w:val="superscript"/>
        </w:rPr>
        <w:t>[2]</w:t>
      </w:r>
      <w:r>
        <w:t>. In the European Union, a 2009 regulation required agen</w:t>
      </w:r>
      <w:r>
        <w:t>cies to register. Since 2011 the European Securities and Markets Authority has been their single supervisor, with the power to fine them, and several firms have paid penalties for control failures</w:t>
      </w:r>
      <w:r w:rsidR="00152693" w:rsidRPr="00152693">
        <w:rPr>
          <w:vertAlign w:val="superscript"/>
        </w:rPr>
        <w:t>[3]</w:t>
      </w:r>
      <w:r>
        <w:t>. The rules also require agencies to publish their methods and their past accuracy, so that users can judge them.</w:t>
      </w:r>
    </w:p>
    <w:p w14:paraId="261F198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w:t>
      </w:r>
      <w:r w:rsidR="00564267" w:rsidRPr="00564267">
        <w:rPr>
          <w:vertAlign w:val="superscript"/>
        </w:rPr>
        <w:t>[4]</w:t>
      </w:r>
      <w:r>
        <w:t>. France was downgraded by more than one agency in 2025</w:t>
      </w:r>
      <w:r w:rsidR="00CC4985" w:rsidRPr="00CC4985">
        <w:rPr>
          <w:vertAlign w:val="superscript"/>
        </w:rPr>
        <w:t>[5]</w:t>
      </w:r>
      <w:r>
        <w:t>. Japan takes a slightly different path. Alongside the global firms, it has two home-grown agencies, Japan Credit Rating Agency and Rating and Investment Information. All agencies that operate in Japan must register with the Financial Services Agency under a regime in force since 2010</w:t>
      </w:r>
      <w:r w:rsidR="002D34F5" w:rsidRPr="002D34F5">
        <w:rPr>
          <w:vertAlign w:val="superscript"/>
        </w:rPr>
        <w:t>[6]</w:t>
      </w:r>
      <w:r>
        <w:t>. Oversight has not removed the basic tension in the business model. It has instead tried to make the opinions more transparent, more comparable and easier to challenge, so that investors treat a rating as one view among several rather than a guarantee.</w:t>
      </w:r>
    </w:p>
    <w:p w14:paraId="12228438" w14:textId="77777777" w:rsidR="00C046B1" w:rsidRDefault="007451B4" w:rsidP="00C30EC8">
      <w:pPr>
        <w:pStyle w:val="Heading3"/>
      </w:pPr>
      <w:bookmarkStart w:id="56" w:name="vocabulary-focus-6"/>
      <w:bookmarkEnd w:id="55"/>
      <w:r>
        <w:lastRenderedPageBreak/>
        <w:t>2.2.3. Vocabulary Focus</w:t>
      </w:r>
    </w:p>
    <w:p w14:paraId="513712B6" w14:textId="77777777" w:rsidR="00C046B1" w:rsidRDefault="007451B4">
      <w:pPr>
        <w:pStyle w:val="FirstParagraph"/>
      </w:pPr>
      <w:r>
        <w:t>credit rating, credit rating agency, default, conflict of interest, sovereign rating, investment grade</w:t>
      </w:r>
    </w:p>
    <w:p w14:paraId="48D5BD10" w14:textId="77777777" w:rsidR="00C046B1" w:rsidRDefault="007451B4" w:rsidP="00C30EC8">
      <w:pPr>
        <w:pStyle w:val="Heading3"/>
      </w:pPr>
      <w:bookmarkStart w:id="57" w:name="reading-questions-6"/>
      <w:bookmarkEnd w:id="56"/>
      <w:r>
        <w:t>2.2.4. Reading Questions</w:t>
      </w:r>
    </w:p>
    <w:p w14:paraId="4AC2ECB3" w14:textId="77777777" w:rsidR="00C046B1" w:rsidRDefault="007451B4" w:rsidP="007451B4">
      <w:pPr>
        <w:pStyle w:val="Compact"/>
        <w:numPr>
          <w:ilvl w:val="0"/>
          <w:numId w:val="20"/>
        </w:numPr>
      </w:pPr>
      <w:r>
        <w:t>Why does the reading say a credit rating is an opinion rather than a fact?</w:t>
      </w:r>
    </w:p>
    <w:p w14:paraId="32FF595B" w14:textId="77777777" w:rsidR="00C046B1" w:rsidRDefault="007451B4" w:rsidP="007451B4">
      <w:pPr>
        <w:pStyle w:val="Compact"/>
        <w:numPr>
          <w:ilvl w:val="0"/>
          <w:numId w:val="20"/>
        </w:numPr>
      </w:pPr>
      <w:r>
        <w:t>What share of United States ratings do the three largest agencies produce, and how are those agencies paid?</w:t>
      </w:r>
    </w:p>
    <w:p w14:paraId="0913D918" w14:textId="77777777" w:rsidR="00C046B1" w:rsidRDefault="007451B4" w:rsidP="007451B4">
      <w:pPr>
        <w:pStyle w:val="Compact"/>
        <w:numPr>
          <w:ilvl w:val="0"/>
          <w:numId w:val="20"/>
        </w:numPr>
      </w:pPr>
      <w:r>
        <w:t>What did rating agencies do before 2008 that made the financial crisis worse?</w:t>
      </w:r>
    </w:p>
    <w:p w14:paraId="597C29CF" w14:textId="77777777" w:rsidR="00C046B1" w:rsidRDefault="007451B4" w:rsidP="007451B4">
      <w:pPr>
        <w:pStyle w:val="Compact"/>
        <w:numPr>
          <w:ilvl w:val="0"/>
          <w:numId w:val="20"/>
        </w:numPr>
      </w:pPr>
      <w:r>
        <w:t>What did Standard &amp; Poor’s agree to in 2015, and why?</w:t>
      </w:r>
    </w:p>
    <w:p w14:paraId="0B5CDDF8" w14:textId="77777777" w:rsidR="00C046B1" w:rsidRDefault="007451B4" w:rsidP="007451B4">
      <w:pPr>
        <w:pStyle w:val="Compact"/>
        <w:numPr>
          <w:ilvl w:val="0"/>
          <w:numId w:val="20"/>
        </w:numPr>
        <w:spacing w:after="0"/>
      </w:pPr>
      <w:r>
        <w:t>How does oversight of rating agencies in the European Union work, and who is the supervisor?</w:t>
      </w:r>
    </w:p>
    <w:p w14:paraId="04BC1890" w14:textId="77777777" w:rsidR="00C046B1" w:rsidRDefault="007451B4" w:rsidP="00C30EC8">
      <w:pPr>
        <w:pStyle w:val="Heading3"/>
      </w:pPr>
      <w:bookmarkStart w:id="58" w:name="discussion-questions-6"/>
      <w:bookmarkEnd w:id="57"/>
      <w:r>
        <w:t>2.2.5. Discussion Questions</w:t>
      </w:r>
    </w:p>
    <w:p w14:paraId="3F06F8E5"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098745F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2593768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253737E5"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526802AA"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B3B0F9E" w14:textId="77777777" w:rsidR="00C046B1" w:rsidRDefault="007451B4" w:rsidP="00C30EC8">
      <w:pPr>
        <w:pStyle w:val="Heading3"/>
      </w:pPr>
      <w:bookmarkStart w:id="59" w:name="source-notes-6"/>
      <w:bookmarkEnd w:id="58"/>
      <w:r>
        <w:t>2.2.6. Source Notes</w:t>
      </w:r>
    </w:p>
    <w:p w14:paraId="23D314C4" w14:textId="77777777" w:rsidR="00C046B1" w:rsidRPr="00C10A00" w:rsidRDefault="007451B4" w:rsidP="00C10A00">
      <w:pPr>
        <w:pStyle w:val="Compact"/>
        <w:numPr>
          <w:ilvl w:val="0"/>
          <w:numId w:val="22"/>
        </w:numPr>
        <w:spacing w:after="0"/>
        <w:ind w:hanging="357"/>
        <w:rPr>
          <w:sz w:val="16"/>
        </w:rPr>
      </w:pPr>
      <w:r w:rsidRPr="00C10A00">
        <w:rPr>
          <w:sz w:val="16"/>
        </w:rPr>
        <w:t>U.S. Securities and Exchange Commission, Office of Credit Ratings: Staff Report on Nationally Recognized Statistical Rating Organizations, January 2025</w:t>
      </w:r>
      <w:r w:rsidR="00B366BE" w:rsidRPr="00C10A00">
        <w:rPr>
          <w:sz w:val="16"/>
        </w:rPr>
        <w:t xml:space="preserve"> </w:t>
      </w:r>
      <w:hyperlink r:id="rId44">
        <w:r w:rsidRPr="00C10A00">
          <w:rPr>
            <w:rStyle w:val="Hyperlink"/>
            <w:sz w:val="16"/>
          </w:rPr>
          <w:t>https://www.sec.gov/ocr/ocr-reports-and-studies</w:t>
        </w:r>
      </w:hyperlink>
    </w:p>
    <w:p w14:paraId="73D05A1F" w14:textId="77777777" w:rsidR="00C046B1" w:rsidRPr="00C10A00" w:rsidRDefault="007451B4" w:rsidP="00C10A00">
      <w:pPr>
        <w:pStyle w:val="Compact"/>
        <w:numPr>
          <w:ilvl w:val="0"/>
          <w:numId w:val="22"/>
        </w:numPr>
        <w:spacing w:after="0"/>
        <w:ind w:hanging="357"/>
        <w:rPr>
          <w:sz w:val="16"/>
        </w:rPr>
      </w:pPr>
      <w:r w:rsidRPr="00C10A00">
        <w:rPr>
          <w:sz w:val="16"/>
        </w:rPr>
        <w:t>U.S. Department of Justice: Justice Department and State Partners Secure $1.375 Billion Settlement with S&amp;P for Defrauding Investors in the Lead Up to the Financial Crisis, 3 February 2015</w:t>
      </w:r>
      <w:r w:rsidR="00B366BE" w:rsidRPr="00C10A00">
        <w:rPr>
          <w:sz w:val="16"/>
        </w:rPr>
        <w:t xml:space="preserve"> </w:t>
      </w:r>
      <w:hyperlink r:id="rId45">
        <w:r w:rsidRPr="00C10A00">
          <w:rPr>
            <w:rStyle w:val="Hyperlink"/>
            <w:sz w:val="16"/>
          </w:rPr>
          <w:t>https://www.justice.gov/archives/opa/pr/justice-department-and-state-partners-secure-1375-billion-settlement-sp-defrauding-investors</w:t>
        </w:r>
      </w:hyperlink>
    </w:p>
    <w:p w14:paraId="1B1E5CF0" w14:textId="77777777" w:rsidR="00C046B1" w:rsidRPr="00C10A00" w:rsidRDefault="007451B4" w:rsidP="00C10A00">
      <w:pPr>
        <w:pStyle w:val="Compact"/>
        <w:numPr>
          <w:ilvl w:val="0"/>
          <w:numId w:val="22"/>
        </w:numPr>
        <w:spacing w:after="0"/>
        <w:ind w:hanging="357"/>
        <w:rPr>
          <w:sz w:val="16"/>
        </w:rPr>
      </w:pPr>
      <w:r w:rsidRPr="00C10A00">
        <w:rPr>
          <w:sz w:val="16"/>
        </w:rPr>
        <w:t>European Securities and Markets Authority: Credit Rating Agencies</w:t>
      </w:r>
      <w:r w:rsidR="00B366BE" w:rsidRPr="00C10A00">
        <w:rPr>
          <w:sz w:val="16"/>
        </w:rPr>
        <w:t xml:space="preserve"> </w:t>
      </w:r>
      <w:hyperlink r:id="rId46">
        <w:r w:rsidRPr="00C10A00">
          <w:rPr>
            <w:rStyle w:val="Hyperlink"/>
            <w:sz w:val="16"/>
          </w:rPr>
          <w:t>https://www.esma.europa.eu/esmas-activities/investors-and-issuers/credit-rating-agencies</w:t>
        </w:r>
      </w:hyperlink>
    </w:p>
    <w:p w14:paraId="76E01875" w14:textId="77777777" w:rsidR="00C046B1" w:rsidRPr="00C10A00" w:rsidRDefault="007451B4" w:rsidP="00C10A00">
      <w:pPr>
        <w:pStyle w:val="Compact"/>
        <w:numPr>
          <w:ilvl w:val="0"/>
          <w:numId w:val="22"/>
        </w:numPr>
        <w:spacing w:after="0"/>
        <w:ind w:hanging="357"/>
        <w:rPr>
          <w:sz w:val="16"/>
        </w:rPr>
      </w:pPr>
      <w:r w:rsidRPr="00C10A00">
        <w:rPr>
          <w:sz w:val="16"/>
        </w:rPr>
        <w:t>CNBC: Moody’s lowers U.S. credit rating to ‘Aa1’, 16 May 2025</w:t>
      </w:r>
      <w:r w:rsidR="00B366BE" w:rsidRPr="00C10A00">
        <w:rPr>
          <w:sz w:val="16"/>
        </w:rPr>
        <w:t xml:space="preserve"> </w:t>
      </w:r>
      <w:hyperlink r:id="rId47">
        <w:r w:rsidRPr="00C10A00">
          <w:rPr>
            <w:rStyle w:val="Hyperlink"/>
            <w:sz w:val="16"/>
          </w:rPr>
          <w:t>https://www.cnbc.com/2025/05/16/moodys-downgrades-united-states-credit-rating-on-increase-in-government-debt.html</w:t>
        </w:r>
      </w:hyperlink>
    </w:p>
    <w:p w14:paraId="0E174654" w14:textId="77777777" w:rsidR="00C046B1" w:rsidRPr="00C10A00" w:rsidRDefault="007451B4" w:rsidP="00C10A00">
      <w:pPr>
        <w:pStyle w:val="Compact"/>
        <w:numPr>
          <w:ilvl w:val="0"/>
          <w:numId w:val="22"/>
        </w:numPr>
        <w:spacing w:after="0"/>
        <w:ind w:hanging="357"/>
        <w:rPr>
          <w:sz w:val="16"/>
        </w:rPr>
      </w:pPr>
      <w:r w:rsidRPr="00C10A00">
        <w:rPr>
          <w:sz w:val="16"/>
        </w:rPr>
        <w:t>France 24: Fitch downgrades France’s credit rating to lowest on record amid political crisis, 13 September 2025</w:t>
      </w:r>
      <w:r w:rsidR="00B366BE" w:rsidRPr="00C10A00">
        <w:rPr>
          <w:sz w:val="16"/>
        </w:rPr>
        <w:t xml:space="preserve"> </w:t>
      </w:r>
      <w:hyperlink r:id="rId48">
        <w:r w:rsidRPr="00C10A00">
          <w:rPr>
            <w:rStyle w:val="Hyperlink"/>
            <w:sz w:val="16"/>
          </w:rPr>
          <w:t>https://www.france24.com/en/france/20250913-france-credit-score-downgraded-lowest-on-record-amid-political-crisis-lecornu-macron-budget</w:t>
        </w:r>
      </w:hyperlink>
    </w:p>
    <w:p w14:paraId="2DF1C7E1" w14:textId="77777777" w:rsidR="00C046B1" w:rsidRPr="00C10A00" w:rsidRDefault="007451B4" w:rsidP="00C10A00">
      <w:pPr>
        <w:pStyle w:val="Compact"/>
        <w:numPr>
          <w:ilvl w:val="0"/>
          <w:numId w:val="22"/>
        </w:numPr>
        <w:spacing w:after="0"/>
        <w:ind w:hanging="357"/>
        <w:rPr>
          <w:sz w:val="16"/>
        </w:rPr>
      </w:pPr>
      <w:r w:rsidRPr="00C10A00">
        <w:rPr>
          <w:sz w:val="16"/>
        </w:rPr>
        <w:t>Japan Credit Rating Agency, Ltd.: Regulatory Affairs</w:t>
      </w:r>
      <w:r w:rsidR="00B366BE" w:rsidRPr="00C10A00">
        <w:rPr>
          <w:sz w:val="16"/>
        </w:rPr>
        <w:t xml:space="preserve"> </w:t>
      </w:r>
      <w:hyperlink r:id="rId49">
        <w:r w:rsidRPr="00C10A00">
          <w:rPr>
            <w:rStyle w:val="Hyperlink"/>
            <w:sz w:val="16"/>
          </w:rPr>
          <w:t>https://www.jcr.co.jp/en/service/company/regu/</w:t>
        </w:r>
      </w:hyperlink>
    </w:p>
    <w:p w14:paraId="2F8DC188" w14:textId="77777777" w:rsidR="00C046B1" w:rsidRDefault="007451B4" w:rsidP="009066A4">
      <w:pPr>
        <w:pStyle w:val="Heading2"/>
      </w:pPr>
      <w:bookmarkStart w:id="60" w:name="_Toc240452341"/>
      <w:bookmarkStart w:id="61" w:name="insurance-market-regulation"/>
      <w:bookmarkEnd w:id="53"/>
      <w:bookmarkEnd w:id="59"/>
      <w:r>
        <w:lastRenderedPageBreak/>
        <w:t>2.3. Insurance Market Regulation</w:t>
      </w:r>
      <w:bookmarkEnd w:id="60"/>
    </w:p>
    <w:p w14:paraId="6C463A1F" w14:textId="77777777" w:rsidR="00C046B1" w:rsidRDefault="007451B4" w:rsidP="00C30EC8">
      <w:pPr>
        <w:pStyle w:val="Heading3"/>
      </w:pPr>
      <w:bookmarkStart w:id="62" w:name="goal-7"/>
      <w:r>
        <w:t>2.3.1. Goal</w:t>
      </w:r>
    </w:p>
    <w:p w14:paraId="5D30AE8C" w14:textId="77777777" w:rsidR="00C046B1" w:rsidRDefault="007451B4">
      <w:pPr>
        <w:pStyle w:val="BodyText"/>
      </w:pPr>
      <w:r>
        <w:t>Explain why insurers are regulated differently from banks, what a solvency rule is meant to do, and how the main systems compare.</w:t>
      </w:r>
    </w:p>
    <w:p w14:paraId="2FA5114B"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63" w:name="reading-7"/>
      <w:bookmarkEnd w:id="62"/>
      <w:r>
        <w:t>2.3.2. Reading</w:t>
      </w:r>
    </w:p>
    <w:p w14:paraId="6A953B51" w14:textId="77777777"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w:t>
      </w:r>
      <w:r w:rsidR="00152693" w:rsidRPr="00152693">
        <w:rPr>
          <w:vertAlign w:val="superscript"/>
        </w:rPr>
        <w:t>[1]</w:t>
      </w:r>
      <w:r>
        <w:t>. An insurer takes in premiums today and pays claims that may fall due decades later. Regulation of the industry is built around one question: will the company still be able to pay when the claim finally comes?</w:t>
      </w:r>
    </w:p>
    <w:p w14:paraId="7A1180CB" w14:textId="77777777"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w:t>
      </w:r>
      <w:r w:rsidR="00152693" w:rsidRPr="00152693">
        <w:rPr>
          <w:vertAlign w:val="superscript"/>
        </w:rPr>
        <w:t>[2]</w:t>
      </w:r>
      <w:r>
        <w:t>. Japan’s Financial Services Agency has used a solvency margin ratio since the late 1990s. A reading below 200% triggers official intervention, and the agency is moving to a newer, more risk-sensitive standard for the 2026 financial year</w:t>
      </w:r>
      <w:r w:rsidR="00152693" w:rsidRPr="00152693">
        <w:rPr>
          <w:vertAlign w:val="superscript"/>
        </w:rPr>
        <w:t>[1]</w:t>
      </w:r>
      <w:r>
        <w:t>.</w:t>
      </w:r>
    </w:p>
    <w:p w14:paraId="0C86DAF1" w14:textId="77777777" w:rsidR="00C046B1" w:rsidRDefault="007451B4">
      <w:pPr>
        <w:pStyle w:val="articlebodytext"/>
      </w:pPr>
      <w:r>
        <w:t>The United States regulates insurance mainly at the state level rather than nationally. State regulators apply a shared formula, called risk-based capital, developed by the National Association of Insurance Commissioners. The formula sets action points where a regulator must step in as an insurer’s capital falls</w:t>
      </w:r>
      <w:r w:rsidR="00152693" w:rsidRPr="00152693">
        <w:rPr>
          <w:vertAlign w:val="superscript"/>
        </w:rPr>
        <w:t>[3]</w:t>
      </w:r>
      <w:r>
        <w:t>. If an insurer does fail, state guaranty associations, funded by the industry, cover policy</w:t>
      </w:r>
      <w:r>
        <w:t>holder claims up to set limits, such as US$300,000 for a death benefit in many states</w:t>
      </w:r>
      <w:r w:rsidR="000A2DD3" w:rsidRPr="000A2DD3">
        <w:rPr>
          <w:vertAlign w:val="superscript"/>
        </w:rPr>
        <w:t>[4]</w:t>
      </w:r>
      <w:r>
        <w:t>. The United Kingdom kept a version of the European rules after leaving the bloc and has since adjusted them under the name Solvency UK.</w:t>
      </w:r>
    </w:p>
    <w:p w14:paraId="2C8A184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w:t>
      </w:r>
      <w:r w:rsidR="00986895" w:rsidRPr="00986895">
        <w:rPr>
          <w:vertAlign w:val="superscript"/>
        </w:rPr>
        <w:t>[5]</w:t>
      </w:r>
      <w:r>
        <w:t>. It is meant to give supervisors in different countries a common measure for the same group.</w:t>
      </w:r>
    </w:p>
    <w:p w14:paraId="48D3507C"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6DC39151" w14:textId="77777777" w:rsidR="00C046B1" w:rsidRDefault="007451B4" w:rsidP="00C30EC8">
      <w:pPr>
        <w:pStyle w:val="Heading3"/>
      </w:pPr>
      <w:bookmarkStart w:id="64" w:name="vocabulary-focus-7"/>
      <w:bookmarkEnd w:id="63"/>
      <w:r>
        <w:lastRenderedPageBreak/>
        <w:t>2.3.3. Vocabulary Focus</w:t>
      </w:r>
    </w:p>
    <w:p w14:paraId="02AABC54" w14:textId="77777777" w:rsidR="00C046B1" w:rsidRDefault="007451B4">
      <w:pPr>
        <w:pStyle w:val="FirstParagraph"/>
      </w:pPr>
      <w:r>
        <w:t>insurer, premium, claim, solvency rule, capital, policyholder</w:t>
      </w:r>
    </w:p>
    <w:p w14:paraId="6B078535" w14:textId="77777777" w:rsidR="00C046B1" w:rsidRDefault="007451B4" w:rsidP="00C30EC8">
      <w:pPr>
        <w:pStyle w:val="Heading3"/>
      </w:pPr>
      <w:bookmarkStart w:id="65" w:name="reading-questions-7"/>
      <w:bookmarkEnd w:id="64"/>
      <w:r>
        <w:t>2.3.4. Reading Questions</w:t>
      </w:r>
    </w:p>
    <w:p w14:paraId="1A8E1FEB" w14:textId="77777777" w:rsidR="00C046B1" w:rsidRDefault="007451B4" w:rsidP="007451B4">
      <w:pPr>
        <w:pStyle w:val="Compact"/>
        <w:numPr>
          <w:ilvl w:val="0"/>
          <w:numId w:val="23"/>
        </w:numPr>
      </w:pPr>
      <w:r>
        <w:t>What happened to Nissan Mutual Life in 1997, and why was it significant?</w:t>
      </w:r>
    </w:p>
    <w:p w14:paraId="596B46DF" w14:textId="77777777" w:rsidR="00C046B1" w:rsidRDefault="007451B4" w:rsidP="007451B4">
      <w:pPr>
        <w:pStyle w:val="Compact"/>
        <w:numPr>
          <w:ilvl w:val="0"/>
          <w:numId w:val="23"/>
        </w:numPr>
      </w:pPr>
      <w:r>
        <w:t>What is a solvency rule meant to ensure?</w:t>
      </w:r>
    </w:p>
    <w:p w14:paraId="038AC450" w14:textId="77777777" w:rsidR="00C046B1" w:rsidRDefault="007451B4" w:rsidP="007451B4">
      <w:pPr>
        <w:pStyle w:val="Compact"/>
        <w:numPr>
          <w:ilvl w:val="0"/>
          <w:numId w:val="23"/>
        </w:numPr>
      </w:pPr>
      <w:r>
        <w:t>How does the European Union’s Solvency II decide how much capital an insurer must hold?</w:t>
      </w:r>
    </w:p>
    <w:p w14:paraId="7D99E8BB" w14:textId="77777777" w:rsidR="00C046B1" w:rsidRDefault="007451B4" w:rsidP="007451B4">
      <w:pPr>
        <w:pStyle w:val="Compact"/>
        <w:numPr>
          <w:ilvl w:val="0"/>
          <w:numId w:val="23"/>
        </w:numPr>
      </w:pPr>
      <w:r>
        <w:t>How is insurance regulated in the United States, and what happens to policyholders if an insurer fails?</w:t>
      </w:r>
    </w:p>
    <w:p w14:paraId="14824C91" w14:textId="77777777" w:rsidR="00C046B1" w:rsidRDefault="007451B4" w:rsidP="007451B4">
      <w:pPr>
        <w:pStyle w:val="Compact"/>
        <w:numPr>
          <w:ilvl w:val="0"/>
          <w:numId w:val="23"/>
        </w:numPr>
        <w:spacing w:after="0"/>
      </w:pPr>
      <w:r>
        <w:t>What did the near-collapse of AIG in 2008 show, and how did international regulators respond?</w:t>
      </w:r>
    </w:p>
    <w:p w14:paraId="65C00940" w14:textId="77777777" w:rsidR="00C046B1" w:rsidRDefault="007451B4" w:rsidP="00C30EC8">
      <w:pPr>
        <w:pStyle w:val="Heading3"/>
      </w:pPr>
      <w:bookmarkStart w:id="66" w:name="discussion-questions-7"/>
      <w:bookmarkEnd w:id="65"/>
      <w:r>
        <w:t>2.3.5. Discussion Questions</w:t>
      </w:r>
    </w:p>
    <w:p w14:paraId="132FCD65"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2BE759CF"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656D23ED"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2708311D"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0050DC3D"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91DB434" w14:textId="77777777" w:rsidR="00C046B1" w:rsidRDefault="007451B4" w:rsidP="00C30EC8">
      <w:pPr>
        <w:pStyle w:val="Heading3"/>
      </w:pPr>
      <w:bookmarkStart w:id="67" w:name="source-notes-7"/>
      <w:bookmarkEnd w:id="66"/>
      <w:r>
        <w:t>2.3.6. Source Notes</w:t>
      </w:r>
    </w:p>
    <w:p w14:paraId="4396F088" w14:textId="77777777" w:rsidR="00C046B1" w:rsidRPr="00C10A00" w:rsidRDefault="007451B4" w:rsidP="00C10A00">
      <w:pPr>
        <w:pStyle w:val="Compact"/>
        <w:numPr>
          <w:ilvl w:val="0"/>
          <w:numId w:val="25"/>
        </w:numPr>
        <w:spacing w:after="0"/>
        <w:ind w:hanging="357"/>
        <w:rPr>
          <w:sz w:val="16"/>
        </w:rPr>
      </w:pPr>
      <w:r w:rsidRPr="00C10A00">
        <w:rPr>
          <w:sz w:val="16"/>
        </w:rPr>
        <w:t>Financial Services Agency (Japan): Capital Requirements for Insurance Companies in Japan — solvency margin ratio and the economic value-based solvency regime</w:t>
      </w:r>
      <w:r w:rsidR="00B366BE" w:rsidRPr="00C10A00">
        <w:rPr>
          <w:sz w:val="16"/>
        </w:rPr>
        <w:t xml:space="preserve"> </w:t>
      </w:r>
      <w:hyperlink r:id="rId50">
        <w:r w:rsidRPr="00C10A00">
          <w:rPr>
            <w:rStyle w:val="Hyperlink"/>
            <w:sz w:val="16"/>
          </w:rPr>
          <w:t>https://www.fsa.go.jp/en/refer/ins/capital.html</w:t>
        </w:r>
      </w:hyperlink>
    </w:p>
    <w:p w14:paraId="109657C4" w14:textId="77777777" w:rsidR="00C046B1" w:rsidRPr="00C10A00" w:rsidRDefault="007451B4" w:rsidP="00C10A00">
      <w:pPr>
        <w:pStyle w:val="Compact"/>
        <w:numPr>
          <w:ilvl w:val="0"/>
          <w:numId w:val="25"/>
        </w:numPr>
        <w:spacing w:after="0"/>
        <w:ind w:hanging="357"/>
        <w:rPr>
          <w:sz w:val="16"/>
        </w:rPr>
      </w:pPr>
      <w:r w:rsidRPr="00C10A00">
        <w:rPr>
          <w:sz w:val="16"/>
        </w:rPr>
        <w:t>European Insurance and Occupational Pensions Authority: Solvency II</w:t>
      </w:r>
      <w:r w:rsidR="00B366BE" w:rsidRPr="00C10A00">
        <w:rPr>
          <w:sz w:val="16"/>
        </w:rPr>
        <w:t xml:space="preserve"> </w:t>
      </w:r>
      <w:hyperlink r:id="rId51">
        <w:r w:rsidRPr="00C10A00">
          <w:rPr>
            <w:rStyle w:val="Hyperlink"/>
            <w:sz w:val="16"/>
          </w:rPr>
          <w:t>https://www.eiopa.europa.eu/browse/regulation-and-policy/solvency-ii_en</w:t>
        </w:r>
      </w:hyperlink>
    </w:p>
    <w:p w14:paraId="72B1C32E" w14:textId="77777777" w:rsidR="00C046B1" w:rsidRPr="00C10A00" w:rsidRDefault="007451B4" w:rsidP="00C10A00">
      <w:pPr>
        <w:pStyle w:val="Compact"/>
        <w:numPr>
          <w:ilvl w:val="0"/>
          <w:numId w:val="25"/>
        </w:numPr>
        <w:spacing w:after="0"/>
        <w:ind w:hanging="357"/>
        <w:rPr>
          <w:sz w:val="16"/>
        </w:rPr>
      </w:pPr>
      <w:r w:rsidRPr="00C10A00">
        <w:rPr>
          <w:sz w:val="16"/>
        </w:rPr>
        <w:t>National Association of Insurance Commissioners: Risk-Based Capital</w:t>
      </w:r>
      <w:r w:rsidR="00B366BE" w:rsidRPr="00C10A00">
        <w:rPr>
          <w:sz w:val="16"/>
        </w:rPr>
        <w:t xml:space="preserve"> </w:t>
      </w:r>
      <w:hyperlink r:id="rId52">
        <w:r w:rsidRPr="00C10A00">
          <w:rPr>
            <w:rStyle w:val="Hyperlink"/>
            <w:sz w:val="16"/>
          </w:rPr>
          <w:t>https://content.naic.org/cipr-topics/risk-based-capital</w:t>
        </w:r>
      </w:hyperlink>
    </w:p>
    <w:p w14:paraId="2899B8C5" w14:textId="77777777" w:rsidR="00C046B1" w:rsidRPr="00C10A00" w:rsidRDefault="007451B4" w:rsidP="00C10A00">
      <w:pPr>
        <w:pStyle w:val="Compact"/>
        <w:numPr>
          <w:ilvl w:val="0"/>
          <w:numId w:val="25"/>
        </w:numPr>
        <w:spacing w:after="0"/>
        <w:ind w:hanging="357"/>
        <w:rPr>
          <w:sz w:val="16"/>
        </w:rPr>
      </w:pPr>
      <w:r w:rsidRPr="00C10A00">
        <w:rPr>
          <w:sz w:val="16"/>
        </w:rPr>
        <w:t>NOLHGA (National Organization of Life and Health Insurance Guaranty Associations): How You’re Protected</w:t>
      </w:r>
      <w:r w:rsidR="00B366BE" w:rsidRPr="00C10A00">
        <w:rPr>
          <w:sz w:val="16"/>
        </w:rPr>
        <w:t xml:space="preserve"> </w:t>
      </w:r>
      <w:hyperlink r:id="rId53">
        <w:r w:rsidRPr="00C10A00">
          <w:rPr>
            <w:rStyle w:val="Hyperlink"/>
            <w:sz w:val="16"/>
          </w:rPr>
          <w:t>https://nolhga.com/policyholders/how-youre-protected/</w:t>
        </w:r>
      </w:hyperlink>
    </w:p>
    <w:p w14:paraId="2C521730" w14:textId="77777777" w:rsidR="00C046B1" w:rsidRPr="00C10A00" w:rsidRDefault="007451B4" w:rsidP="00C10A00">
      <w:pPr>
        <w:pStyle w:val="Compact"/>
        <w:numPr>
          <w:ilvl w:val="0"/>
          <w:numId w:val="25"/>
        </w:numPr>
        <w:spacing w:after="0"/>
        <w:ind w:hanging="357"/>
        <w:rPr>
          <w:sz w:val="16"/>
        </w:rPr>
      </w:pPr>
      <w:r w:rsidRPr="00C10A00">
        <w:rPr>
          <w:sz w:val="16"/>
        </w:rPr>
        <w:t>International Association of Insurance Supervisors: IAIS adopts Insurance Capital Standard and other enhancements to its global standards to promote a resilient insurance sector, 5 December 2024</w:t>
      </w:r>
      <w:r w:rsidR="00B366BE" w:rsidRPr="00C10A00">
        <w:rPr>
          <w:sz w:val="16"/>
        </w:rPr>
        <w:t xml:space="preserve"> </w:t>
      </w:r>
      <w:hyperlink r:id="rId54">
        <w:r w:rsidRPr="00C10A00">
          <w:rPr>
            <w:rStyle w:val="Hyperlink"/>
            <w:sz w:val="16"/>
          </w:rPr>
          <w:t>https://www.iais.org/2024/12/iais-adopts-insurance-capital-standard-and-other-enhancements-to-its-global-standards-to-promote-a-resilient-insurance-sector/</w:t>
        </w:r>
      </w:hyperlink>
    </w:p>
    <w:p w14:paraId="64505A10" w14:textId="77777777" w:rsidR="00C046B1" w:rsidRDefault="007451B4" w:rsidP="009066A4">
      <w:pPr>
        <w:pStyle w:val="Heading2"/>
      </w:pPr>
      <w:bookmarkStart w:id="68" w:name="_Toc240452342"/>
      <w:bookmarkStart w:id="69" w:name="stress-testing-and-risk-management"/>
      <w:bookmarkEnd w:id="61"/>
      <w:bookmarkEnd w:id="67"/>
      <w:r>
        <w:lastRenderedPageBreak/>
        <w:t>2.4. Stress Testing and Risk Management</w:t>
      </w:r>
      <w:bookmarkEnd w:id="68"/>
    </w:p>
    <w:p w14:paraId="799BF88B" w14:textId="77777777" w:rsidR="00C046B1" w:rsidRDefault="007451B4" w:rsidP="00C30EC8">
      <w:pPr>
        <w:pStyle w:val="Heading3"/>
      </w:pPr>
      <w:bookmarkStart w:id="70" w:name="goal-8"/>
      <w:r>
        <w:t>2.4.1. Goal</w:t>
      </w:r>
    </w:p>
    <w:p w14:paraId="6F9AD970" w14:textId="77777777" w:rsidR="00C046B1" w:rsidRDefault="007451B4">
      <w:pPr>
        <w:pStyle w:val="BodyText"/>
      </w:pPr>
      <w:r>
        <w:t>Explain what a bank stress test is, show one case where it worked and one risk it missed, and describe how the practice is used today.</w:t>
      </w:r>
    </w:p>
    <w:p w14:paraId="2294A217"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1" w:name="reading-8"/>
      <w:bookmarkEnd w:id="70"/>
      <w:r>
        <w:t>2.4.2. Reading</w:t>
      </w:r>
    </w:p>
    <w:p w14:paraId="3B1AFE55" w14:textId="77777777" w:rsidR="00C046B1" w:rsidRDefault="007451B4">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159BE2A4" w14:textId="77777777"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w:t>
      </w:r>
      <w:r w:rsidR="00152693" w:rsidRPr="00152693">
        <w:rPr>
          <w:vertAlign w:val="superscript"/>
        </w:rPr>
        <w:t>[1]</w:t>
      </w:r>
      <w:r>
        <w:t>.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w:t>
      </w:r>
      <w:r w:rsidR="00152693" w:rsidRPr="00152693">
        <w:rPr>
          <w:vertAlign w:val="superscript"/>
        </w:rPr>
        <w:t>[2]</w:t>
      </w:r>
      <w:r>
        <w:t>.</w:t>
      </w:r>
    </w:p>
    <w:p w14:paraId="1852664D" w14:textId="77777777" w:rsidR="00C046B1" w:rsidRDefault="007451B4">
      <w:pPr>
        <w:pStyle w:val="articlebodytext"/>
      </w:pPr>
      <w:r>
        <w:t>The limits of the tool became clear in March 2023, when Signature Bank failed in the United States. The bank held about US$110 billion in assets, well below the US$250 billion threshold above which the annual stress test was mandatory</w:t>
      </w:r>
      <w:r w:rsidR="00152693" w:rsidRPr="00152693">
        <w:rPr>
          <w:vertAlign w:val="superscript"/>
        </w:rPr>
        <w:t>[3]</w:t>
      </w:r>
      <w:r>
        <w:t>. Its problem was not a shock the recent sce</w:t>
      </w:r>
      <w:r>
        <w:t>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2C2B5EB5"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Regulators have drawn two lessons. The first is to vary the scenarios, so that a test one year might centre on a property crash and the next on a sudden jump in interest rates or a technology shock. </w:t>
      </w:r>
      <w:r w:rsidR="002A4053">
        <w:t>The 2022 European climate test was described by its own authors as a learning exercise rather than a pass-or-fail check</w:t>
      </w:r>
      <w:r w:rsidR="00D05A89" w:rsidRPr="00D05A89">
        <w:rPr>
          <w:vertAlign w:val="superscript"/>
        </w:rPr>
        <w:t>[5]</w:t>
      </w:r>
      <w:r>
        <w:t>.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w:t>
      </w:r>
      <w:r w:rsidR="00152693" w:rsidRPr="00152693">
        <w:rPr>
          <w:vertAlign w:val="superscript"/>
        </w:rPr>
        <w:t>[4]</w:t>
      </w:r>
      <w:r>
        <w:t>. The exercise is now a routine part of oversight in every major economy, valued less as a precise forecast than as a structured way to ask what could go wrong.</w:t>
      </w:r>
    </w:p>
    <w:p w14:paraId="16DD0B37" w14:textId="77777777" w:rsidR="00C046B1" w:rsidRDefault="007451B4" w:rsidP="00C30EC8">
      <w:pPr>
        <w:pStyle w:val="Heading3"/>
      </w:pPr>
      <w:bookmarkStart w:id="72" w:name="vocabulary-focus-8"/>
      <w:bookmarkEnd w:id="71"/>
      <w:r>
        <w:lastRenderedPageBreak/>
        <w:t>2.4.3. Vocabulary Focus</w:t>
      </w:r>
    </w:p>
    <w:p w14:paraId="3903FF11" w14:textId="77777777" w:rsidR="00C046B1" w:rsidRDefault="007451B4">
      <w:pPr>
        <w:pStyle w:val="FirstParagraph"/>
      </w:pPr>
      <w:r>
        <w:t>stress test, scenario, capital buffer, recession, basis point, risk model</w:t>
      </w:r>
    </w:p>
    <w:p w14:paraId="695D10F4" w14:textId="77777777" w:rsidR="00C046B1" w:rsidRPr="009066A4" w:rsidRDefault="007451B4" w:rsidP="00C30EC8">
      <w:pPr>
        <w:pStyle w:val="Heading3"/>
      </w:pPr>
      <w:bookmarkStart w:id="73" w:name="reading-questions-8"/>
      <w:bookmarkEnd w:id="72"/>
      <w:r w:rsidRPr="009066A4">
        <w:t>2.4.4. Reading Questions</w:t>
      </w:r>
    </w:p>
    <w:p w14:paraId="3260626B" w14:textId="77777777" w:rsidR="00C046B1" w:rsidRDefault="007451B4" w:rsidP="007451B4">
      <w:pPr>
        <w:pStyle w:val="Compact"/>
        <w:numPr>
          <w:ilvl w:val="0"/>
          <w:numId w:val="26"/>
        </w:numPr>
      </w:pPr>
      <w:r>
        <w:t>What does a stress test require a bank to estimate, and what must the bank do if its buffer falls too low?</w:t>
      </w:r>
    </w:p>
    <w:p w14:paraId="36AC6D6D" w14:textId="77777777" w:rsidR="00C046B1" w:rsidRDefault="007451B4" w:rsidP="007451B4">
      <w:pPr>
        <w:pStyle w:val="Compact"/>
        <w:numPr>
          <w:ilvl w:val="0"/>
          <w:numId w:val="26"/>
        </w:numPr>
      </w:pPr>
      <w:r>
        <w:t>Why did the 2009 United States stress test help restore confidence?</w:t>
      </w:r>
    </w:p>
    <w:p w14:paraId="0FEEBE2D" w14:textId="77777777" w:rsidR="00C046B1" w:rsidRDefault="007451B4" w:rsidP="007451B4">
      <w:pPr>
        <w:pStyle w:val="Compact"/>
        <w:numPr>
          <w:ilvl w:val="0"/>
          <w:numId w:val="26"/>
        </w:numPr>
      </w:pPr>
      <w:r>
        <w:t>Why was Signature Bank not part of the annual United States stress test?</w:t>
      </w:r>
    </w:p>
    <w:p w14:paraId="55027413" w14:textId="77777777" w:rsidR="00C046B1" w:rsidRDefault="007451B4" w:rsidP="007451B4">
      <w:pPr>
        <w:pStyle w:val="Compact"/>
        <w:numPr>
          <w:ilvl w:val="0"/>
          <w:numId w:val="26"/>
        </w:numPr>
      </w:pPr>
      <w:r>
        <w:t>What kind of shock caused Signature Bank’s losses, and how fast did depositors withdraw money?</w:t>
      </w:r>
    </w:p>
    <w:p w14:paraId="5A2BF1CA" w14:textId="77777777" w:rsidR="00C046B1" w:rsidRDefault="007451B4" w:rsidP="007451B4">
      <w:pPr>
        <w:pStyle w:val="Compact"/>
        <w:numPr>
          <w:ilvl w:val="0"/>
          <w:numId w:val="26"/>
        </w:numPr>
        <w:spacing w:after="0"/>
      </w:pPr>
      <w:r>
        <w:t>What two lessons have regulators drawn from that failure?</w:t>
      </w:r>
    </w:p>
    <w:p w14:paraId="62E7BA02" w14:textId="77777777" w:rsidR="00C046B1" w:rsidRDefault="007451B4" w:rsidP="00C30EC8">
      <w:pPr>
        <w:pStyle w:val="Heading3"/>
      </w:pPr>
      <w:bookmarkStart w:id="74" w:name="discussion-questions-8"/>
      <w:bookmarkEnd w:id="73"/>
      <w:r>
        <w:t>2.4.5. Discussion Questions</w:t>
      </w:r>
    </w:p>
    <w:p w14:paraId="6ED7C095"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6603F682"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4114C619" w14:textId="77777777" w:rsidR="00C046B1" w:rsidRDefault="007451B4" w:rsidP="007451B4">
      <w:pPr>
        <w:pStyle w:val="Compact"/>
        <w:numPr>
          <w:ilvl w:val="0"/>
          <w:numId w:val="27"/>
        </w:numPr>
      </w:pPr>
      <w:r>
        <w:t>Should smaller banks face the same tests as the largest ones? Give reasons for and against.</w:t>
      </w:r>
    </w:p>
    <w:p w14:paraId="550083FF" w14:textId="77777777" w:rsidR="00C046B1" w:rsidRDefault="007451B4" w:rsidP="007451B4">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0FD4C274"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7034966F" w14:textId="77777777" w:rsidR="00C046B1" w:rsidRDefault="007451B4" w:rsidP="00C30EC8">
      <w:pPr>
        <w:pStyle w:val="Heading3"/>
      </w:pPr>
      <w:bookmarkStart w:id="75" w:name="source-notes-8"/>
      <w:bookmarkEnd w:id="74"/>
      <w:r>
        <w:t>2.4.6. Source Notes</w:t>
      </w:r>
    </w:p>
    <w:p w14:paraId="2C7C064E" w14:textId="77777777" w:rsidR="00C046B1" w:rsidRPr="00C10A00" w:rsidRDefault="007451B4" w:rsidP="00C10A00">
      <w:pPr>
        <w:pStyle w:val="Compact"/>
        <w:numPr>
          <w:ilvl w:val="0"/>
          <w:numId w:val="28"/>
        </w:numPr>
        <w:spacing w:after="0"/>
        <w:ind w:hanging="357"/>
        <w:rPr>
          <w:sz w:val="16"/>
        </w:rPr>
      </w:pPr>
      <w:r w:rsidRPr="00C10A00">
        <w:rPr>
          <w:sz w:val="16"/>
        </w:rPr>
        <w:t>Board of Governors of the Federal Reserve System: The Supervisory Capital Assessment Program — Overview of Results, 7 May 2009</w:t>
      </w:r>
      <w:r w:rsidR="00B366BE" w:rsidRPr="00C10A00">
        <w:rPr>
          <w:sz w:val="16"/>
        </w:rPr>
        <w:t xml:space="preserve"> </w:t>
      </w:r>
      <w:hyperlink r:id="rId55">
        <w:r w:rsidRPr="00C10A00">
          <w:rPr>
            <w:rStyle w:val="Hyperlink"/>
            <w:sz w:val="16"/>
          </w:rPr>
          <w:t>https://www.federalreserve.gov/newsevents/pressreleases/bcreg20090507a.htm</w:t>
        </w:r>
      </w:hyperlink>
    </w:p>
    <w:p w14:paraId="2D0A9A0E" w14:textId="77777777" w:rsidR="00C046B1" w:rsidRPr="00C10A00" w:rsidRDefault="007451B4" w:rsidP="00C10A00">
      <w:pPr>
        <w:pStyle w:val="Compact"/>
        <w:numPr>
          <w:ilvl w:val="0"/>
          <w:numId w:val="28"/>
        </w:numPr>
        <w:spacing w:after="0"/>
        <w:ind w:hanging="357"/>
        <w:rPr>
          <w:sz w:val="16"/>
        </w:rPr>
      </w:pPr>
      <w:r w:rsidRPr="00C10A00">
        <w:rPr>
          <w:sz w:val="16"/>
        </w:rPr>
        <w:t>European Banking Authority: The EBA publishes the results of its 2025 EU-wide stress test, 1 August 2025</w:t>
      </w:r>
      <w:r w:rsidR="00B366BE" w:rsidRPr="00C10A00">
        <w:rPr>
          <w:sz w:val="16"/>
        </w:rPr>
        <w:t xml:space="preserve"> </w:t>
      </w:r>
      <w:hyperlink r:id="rId56">
        <w:r w:rsidRPr="00C10A00">
          <w:rPr>
            <w:rStyle w:val="Hyperlink"/>
            <w:sz w:val="16"/>
          </w:rPr>
          <w:t>https://www.eba.europa.eu/publications-and-media/press-releases/eba-publishes-results-its-2025-eu-wide-stress-test</w:t>
        </w:r>
      </w:hyperlink>
    </w:p>
    <w:p w14:paraId="0AC4DC03" w14:textId="77777777" w:rsidR="00C046B1" w:rsidRPr="00C10A00" w:rsidRDefault="007451B4" w:rsidP="00C10A00">
      <w:pPr>
        <w:pStyle w:val="Compact"/>
        <w:numPr>
          <w:ilvl w:val="0"/>
          <w:numId w:val="28"/>
        </w:numPr>
        <w:spacing w:after="0"/>
        <w:ind w:hanging="357"/>
        <w:rPr>
          <w:sz w:val="16"/>
        </w:rPr>
      </w:pPr>
      <w:r w:rsidRPr="00C10A00">
        <w:rPr>
          <w:sz w:val="16"/>
        </w:rPr>
        <w:t>Federal Deposit Insurance Corporation: Recent Bank Failures and the Federal Regulatory Response (remarks by Chairman Martin J. Gruenberg), 27 March 2023</w:t>
      </w:r>
      <w:r w:rsidR="00B366BE" w:rsidRPr="00C10A00">
        <w:rPr>
          <w:sz w:val="16"/>
        </w:rPr>
        <w:t xml:space="preserve"> </w:t>
      </w:r>
      <w:hyperlink r:id="rId57">
        <w:r w:rsidRPr="00C10A00">
          <w:rPr>
            <w:rStyle w:val="Hyperlink"/>
            <w:sz w:val="16"/>
          </w:rPr>
          <w:t>https://www.fdic.gov/news/speeches/2023/spmar2723.html</w:t>
        </w:r>
      </w:hyperlink>
    </w:p>
    <w:p w14:paraId="3D391929" w14:textId="77777777" w:rsidR="00C046B1" w:rsidRPr="00C10A00" w:rsidRDefault="007451B4" w:rsidP="00C10A00">
      <w:pPr>
        <w:pStyle w:val="Compact"/>
        <w:numPr>
          <w:ilvl w:val="0"/>
          <w:numId w:val="28"/>
        </w:numPr>
        <w:spacing w:after="0"/>
        <w:ind w:hanging="357"/>
        <w:rPr>
          <w:sz w:val="16"/>
        </w:rPr>
      </w:pPr>
      <w:r w:rsidRPr="00C10A00">
        <w:rPr>
          <w:sz w:val="16"/>
        </w:rPr>
        <w:t>Bank of Japan: Financial System Report</w:t>
      </w:r>
      <w:r w:rsidR="00B366BE" w:rsidRPr="00C10A00">
        <w:rPr>
          <w:sz w:val="16"/>
        </w:rPr>
        <w:t xml:space="preserve"> </w:t>
      </w:r>
      <w:hyperlink r:id="rId58">
        <w:r w:rsidRPr="00C10A00">
          <w:rPr>
            <w:rStyle w:val="Hyperlink"/>
            <w:sz w:val="16"/>
          </w:rPr>
          <w:t>https://www.boj.or.jp/en/research/brp/fsr/index.htm</w:t>
        </w:r>
      </w:hyperlink>
    </w:p>
    <w:p w14:paraId="52870AF7" w14:textId="77777777" w:rsidR="00C046B1" w:rsidRPr="00C10A00" w:rsidRDefault="007451B4" w:rsidP="00C10A00">
      <w:pPr>
        <w:pStyle w:val="Compact"/>
        <w:numPr>
          <w:ilvl w:val="0"/>
          <w:numId w:val="28"/>
        </w:numPr>
        <w:spacing w:after="0"/>
        <w:ind w:hanging="357"/>
        <w:rPr>
          <w:sz w:val="16"/>
        </w:rPr>
      </w:pPr>
      <w:r w:rsidRPr="00C10A00">
        <w:rPr>
          <w:sz w:val="16"/>
        </w:rPr>
        <w:t>European Central Bank (Banking Supervision): ECB Banking Supervision launches 2022 climate risk stress test / Banks must sharpen their focus on climate risk, ECB supervisory stress test shows, 8 July 2022</w:t>
      </w:r>
      <w:r w:rsidR="00B366BE" w:rsidRPr="00C10A00">
        <w:rPr>
          <w:sz w:val="16"/>
        </w:rPr>
        <w:t xml:space="preserve"> </w:t>
      </w:r>
      <w:hyperlink r:id="rId59">
        <w:r w:rsidRPr="00C10A00">
          <w:rPr>
            <w:rStyle w:val="Hyperlink"/>
            <w:sz w:val="16"/>
          </w:rPr>
          <w:t>https://www.bankingsupervision.europa.eu/press/pr/date/2022/html/ssm.pr220708~565c38d18a.en.html</w:t>
        </w:r>
      </w:hyperlink>
    </w:p>
    <w:p w14:paraId="21BC941A" w14:textId="77777777" w:rsidR="00C046B1" w:rsidRDefault="007451B4" w:rsidP="009066A4">
      <w:pPr>
        <w:pStyle w:val="Heading2"/>
      </w:pPr>
      <w:bookmarkStart w:id="76" w:name="_Toc240452343"/>
      <w:bookmarkStart w:id="77" w:name="sovereign-debt-management"/>
      <w:bookmarkEnd w:id="69"/>
      <w:bookmarkEnd w:id="75"/>
      <w:r>
        <w:lastRenderedPageBreak/>
        <w:t>2.5. Sovereign Debt Management</w:t>
      </w:r>
      <w:bookmarkEnd w:id="76"/>
    </w:p>
    <w:p w14:paraId="5A8A7246" w14:textId="77777777" w:rsidR="00C046B1" w:rsidRDefault="007451B4" w:rsidP="00C30EC8">
      <w:pPr>
        <w:pStyle w:val="Heading3"/>
      </w:pPr>
      <w:bookmarkStart w:id="78" w:name="goal-9"/>
      <w:r>
        <w:t>2.5.1. Goal</w:t>
      </w:r>
    </w:p>
    <w:p w14:paraId="0C4ED68D" w14:textId="77777777" w:rsidR="00C046B1" w:rsidRDefault="007451B4">
      <w:pPr>
        <w:pStyle w:val="BodyText"/>
      </w:pPr>
      <w:r>
        <w:t>Explain how a national government borrows, why it matters who holds the debt and in which currency, and what happens when a government cannot pay.</w:t>
      </w:r>
    </w:p>
    <w:p w14:paraId="4789A10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9" w:name="reading-9"/>
      <w:bookmarkEnd w:id="78"/>
      <w:r>
        <w:t>2.5.2. Reading</w:t>
      </w:r>
    </w:p>
    <w:p w14:paraId="05F2B600" w14:textId="77777777"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w:t>
      </w:r>
      <w:r w:rsidR="00152693" w:rsidRPr="00152693">
        <w:rPr>
          <w:vertAlign w:val="superscript"/>
        </w:rPr>
        <w:t>[1]</w:t>
      </w:r>
      <w:r>
        <w:t>.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w:t>
      </w:r>
      <w:r w:rsidR="00152693" w:rsidRPr="00152693">
        <w:rPr>
          <w:vertAlign w:val="superscript"/>
        </w:rPr>
        <w:t>[2]</w:t>
      </w:r>
      <w:r>
        <w:t>. The debt is almost entirely domestic and in yen, so there is no foreign creditor to lose confidence and no foreign currency to find.</w:t>
      </w:r>
    </w:p>
    <w:p w14:paraId="4B3CE388" w14:textId="77777777" w:rsidR="00C046B1" w:rsidRDefault="007451B4">
      <w:pPr>
        <w:pStyle w:val="articlebodytext"/>
      </w:pPr>
      <w:r>
        <w:t xml:space="preserve">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having to refinance a large amount at a bad moment. The United Kingdom’s Debt Management Office, for example, keeps </w:t>
      </w:r>
      <w:r>
        <w:t>the average life of its bonds unusually long, at about 14 years</w:t>
      </w:r>
      <w:r w:rsidR="00152693" w:rsidRPr="00152693">
        <w:rPr>
          <w:vertAlign w:val="superscript"/>
        </w:rPr>
        <w:t>[3]</w:t>
      </w:r>
      <w:r>
        <w:t>.</w:t>
      </w:r>
    </w:p>
    <w:p w14:paraId="79F1C7D2" w14:textId="77777777"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w:t>
      </w:r>
      <w:r w:rsidR="00152693" w:rsidRPr="00152693">
        <w:rPr>
          <w:vertAlign w:val="superscript"/>
        </w:rPr>
        <w:t>[4]</w:t>
      </w:r>
      <w:r>
        <w:t>. That reliance on outside lenders is manageable for a country whose currency the world wants to hold, but it would be dangerous for a smaller economy.</w:t>
      </w:r>
    </w:p>
    <w:p w14:paraId="4B8BC750" w14:textId="577A4B94"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w:t>
      </w:r>
      <w:r w:rsidR="007A0714" w:rsidRPr="007A0714">
        <w:rPr>
          <w:vertAlign w:val="superscript"/>
        </w:rPr>
        <w:t>[5]</w:t>
      </w:r>
      <w:r>
        <w:t>. Lower-income countries such as Zambia and Ghana have restructured through a shared process set up by the Group of Twenty, a body that brings together the world’s largest economies. Zambia’s 2024 deal wrote off about US$840 million of what it owed</w:t>
      </w:r>
      <w:r w:rsidR="007A0714" w:rsidRPr="007A0714">
        <w:rPr>
          <w:vertAlign w:val="superscript"/>
        </w:rPr>
        <w:t>[6]</w:t>
      </w:r>
      <w:r>
        <w:t>. These cases share a feature Japan lacks: debt owed to foreigners, often in dollars, which is the hardest kind to carry when trouble comes.</w:t>
      </w:r>
    </w:p>
    <w:p w14:paraId="4C6A2400" w14:textId="77777777" w:rsidR="00C046B1" w:rsidRDefault="007451B4" w:rsidP="00C30EC8">
      <w:pPr>
        <w:pStyle w:val="Heading3"/>
      </w:pPr>
      <w:bookmarkStart w:id="80" w:name="vocabulary-focus-9"/>
      <w:bookmarkEnd w:id="79"/>
      <w:r>
        <w:lastRenderedPageBreak/>
        <w:t>2.5.3. Vocabulary Focus</w:t>
      </w:r>
    </w:p>
    <w:p w14:paraId="1EF3E8F9" w14:textId="77777777" w:rsidR="00C046B1" w:rsidRDefault="007451B4">
      <w:pPr>
        <w:pStyle w:val="FirstParagraph"/>
      </w:pPr>
      <w:r>
        <w:t>sovereign debt, government bond, debt management office, bond auction, debt restructuring, haircut</w:t>
      </w:r>
    </w:p>
    <w:p w14:paraId="0E3D4B30" w14:textId="77777777" w:rsidR="00C046B1" w:rsidRDefault="007451B4" w:rsidP="00C30EC8">
      <w:pPr>
        <w:pStyle w:val="Heading3"/>
      </w:pPr>
      <w:bookmarkStart w:id="81" w:name="reading-questions-9"/>
      <w:bookmarkEnd w:id="80"/>
      <w:r>
        <w:t>2.5.4. Reading Questions</w:t>
      </w:r>
    </w:p>
    <w:p w14:paraId="607A22CA" w14:textId="77777777" w:rsidR="00C046B1" w:rsidRDefault="007451B4" w:rsidP="007451B4">
      <w:pPr>
        <w:pStyle w:val="Compact"/>
        <w:numPr>
          <w:ilvl w:val="0"/>
          <w:numId w:val="29"/>
        </w:numPr>
        <w:spacing w:after="80"/>
      </w:pPr>
      <w:r>
        <w:t>How large is Japan’s government debt compared with national output, and why does the reading say there is no crisis?</w:t>
      </w:r>
    </w:p>
    <w:p w14:paraId="48957B9F" w14:textId="77777777" w:rsidR="00C046B1" w:rsidRDefault="007451B4" w:rsidP="007451B4">
      <w:pPr>
        <w:pStyle w:val="Compact"/>
        <w:numPr>
          <w:ilvl w:val="0"/>
          <w:numId w:val="29"/>
        </w:numPr>
        <w:spacing w:after="80"/>
      </w:pPr>
      <w:r>
        <w:t>Who holds most Japanese government bonds, and how much do foreign investors hold?</w:t>
      </w:r>
    </w:p>
    <w:p w14:paraId="29B44D3E" w14:textId="77777777" w:rsidR="00C046B1" w:rsidRDefault="007451B4" w:rsidP="007451B4">
      <w:pPr>
        <w:pStyle w:val="Compact"/>
        <w:numPr>
          <w:ilvl w:val="0"/>
          <w:numId w:val="29"/>
        </w:numPr>
        <w:spacing w:after="80"/>
      </w:pPr>
      <w:r>
        <w:t>What are the two choices that shape the risk in how a government borrows?</w:t>
      </w:r>
    </w:p>
    <w:p w14:paraId="05040C22" w14:textId="77777777" w:rsidR="00C046B1" w:rsidRDefault="007451B4" w:rsidP="007451B4">
      <w:pPr>
        <w:pStyle w:val="Compact"/>
        <w:numPr>
          <w:ilvl w:val="0"/>
          <w:numId w:val="29"/>
        </w:numPr>
        <w:spacing w:after="80"/>
      </w:pPr>
      <w:r>
        <w:t>How does the United States position differ from Japan’s, and why is that manageable for the United States?</w:t>
      </w:r>
    </w:p>
    <w:p w14:paraId="07522835" w14:textId="77777777" w:rsidR="00C046B1" w:rsidRDefault="007451B4" w:rsidP="007451B4">
      <w:pPr>
        <w:pStyle w:val="Compact"/>
        <w:numPr>
          <w:ilvl w:val="0"/>
          <w:numId w:val="29"/>
        </w:numPr>
        <w:spacing w:after="80"/>
      </w:pPr>
      <w:r>
        <w:t>What does it mean to restructure debt, and what is a haircut?</w:t>
      </w:r>
    </w:p>
    <w:p w14:paraId="75DD210A" w14:textId="77777777" w:rsidR="00C046B1" w:rsidRDefault="007451B4" w:rsidP="00C30EC8">
      <w:pPr>
        <w:pStyle w:val="Heading3"/>
      </w:pPr>
      <w:bookmarkStart w:id="82" w:name="discussion-questions-9"/>
      <w:bookmarkEnd w:id="81"/>
      <w:r>
        <w:t>2.5.5. Discussion Questions</w:t>
      </w:r>
    </w:p>
    <w:p w14:paraId="3F4967C8" w14:textId="77777777" w:rsidR="00C046B1" w:rsidRDefault="007451B4" w:rsidP="007451B4">
      <w:pPr>
        <w:pStyle w:val="Compact"/>
        <w:numPr>
          <w:ilvl w:val="0"/>
          <w:numId w:val="30"/>
        </w:numPr>
        <w:spacing w:after="80"/>
      </w:pPr>
      <w:r>
        <w:t>Japan carries very high debt safely because it is owed at home in yen. Does that mean the level of debt does not matter? Explain your view.</w:t>
      </w:r>
    </w:p>
    <w:p w14:paraId="7E1F33E7" w14:textId="77777777" w:rsidR="00C046B1" w:rsidRDefault="007451B4" w:rsidP="007451B4">
      <w:pPr>
        <w:pStyle w:val="Compact"/>
        <w:numPr>
          <w:ilvl w:val="0"/>
          <w:numId w:val="30"/>
        </w:numPr>
        <w:spacing w:after="80"/>
      </w:pPr>
      <w:r>
        <w:t>Borrowing from foreign investors brings in money but adds risk. When is it worth it for a government, and when is it not?</w:t>
      </w:r>
    </w:p>
    <w:p w14:paraId="0E17135E" w14:textId="77777777" w:rsidR="00C046B1" w:rsidRDefault="007451B4" w:rsidP="007451B4">
      <w:pPr>
        <w:pStyle w:val="Compact"/>
        <w:numPr>
          <w:ilvl w:val="0"/>
          <w:numId w:val="30"/>
        </w:numPr>
        <w:spacing w:after="80"/>
      </w:pPr>
      <w:r>
        <w:t>A haircut means lenders are repaid less than they were promised. Is that fair to those lenders? Give reasons.</w:t>
      </w:r>
    </w:p>
    <w:p w14:paraId="264EA6BC" w14:textId="77777777" w:rsidR="00C046B1" w:rsidRDefault="007451B4" w:rsidP="007451B4">
      <w:pPr>
        <w:pStyle w:val="Compact"/>
        <w:numPr>
          <w:ilvl w:val="0"/>
          <w:numId w:val="30"/>
        </w:numPr>
        <w:spacing w:after="80"/>
      </w:pPr>
      <w:r>
        <w:t>Lower-income countries often must borrow in dollars rather than their own currency. What could be done to change that?</w:t>
      </w:r>
    </w:p>
    <w:p w14:paraId="325F4CDE" w14:textId="77777777" w:rsidR="00C046B1" w:rsidRDefault="007451B4" w:rsidP="007451B4">
      <w:pPr>
        <w:pStyle w:val="Compact"/>
        <w:numPr>
          <w:ilvl w:val="0"/>
          <w:numId w:val="30"/>
        </w:numPr>
        <w:spacing w:after="80"/>
      </w:pPr>
      <w:r>
        <w:t>You advise a government setting up a new debt management office. Suggest two rules it should follow from the start, and say why.</w:t>
      </w:r>
    </w:p>
    <w:p w14:paraId="0D14C0EF" w14:textId="77777777" w:rsidR="00C046B1" w:rsidRDefault="007451B4" w:rsidP="00C30EC8">
      <w:pPr>
        <w:pStyle w:val="Heading3"/>
      </w:pPr>
      <w:bookmarkStart w:id="83" w:name="source-notes-9"/>
      <w:bookmarkEnd w:id="82"/>
      <w:r>
        <w:t>2.5.6. Source Notes</w:t>
      </w:r>
    </w:p>
    <w:p w14:paraId="703A53F5" w14:textId="77777777" w:rsidR="00C046B1" w:rsidRPr="00C10A00" w:rsidRDefault="007451B4" w:rsidP="00C10A00">
      <w:pPr>
        <w:pStyle w:val="Compact"/>
        <w:numPr>
          <w:ilvl w:val="0"/>
          <w:numId w:val="31"/>
        </w:numPr>
        <w:spacing w:after="0"/>
        <w:ind w:hanging="357"/>
        <w:rPr>
          <w:sz w:val="16"/>
        </w:rPr>
      </w:pPr>
      <w:r w:rsidRPr="00C10A00">
        <w:rPr>
          <w:sz w:val="16"/>
        </w:rPr>
        <w:t>International Monetary Fund: World Economic Outlook database (April 2026), general government gross debt, percent of GDP</w:t>
      </w:r>
      <w:r w:rsidR="00B366BE" w:rsidRPr="00C10A00">
        <w:rPr>
          <w:sz w:val="16"/>
        </w:rPr>
        <w:t xml:space="preserve"> </w:t>
      </w:r>
      <w:hyperlink r:id="rId60">
        <w:r w:rsidRPr="00C10A00">
          <w:rPr>
            <w:rStyle w:val="Hyperlink"/>
            <w:sz w:val="16"/>
          </w:rPr>
          <w:t>https://www.imf.org/external/datamapper/GGXWDG_NGDP@WEO</w:t>
        </w:r>
      </w:hyperlink>
    </w:p>
    <w:p w14:paraId="08B3D49E" w14:textId="77777777" w:rsidR="00C046B1" w:rsidRPr="00C10A00" w:rsidRDefault="007451B4" w:rsidP="00C10A00">
      <w:pPr>
        <w:pStyle w:val="Compact"/>
        <w:numPr>
          <w:ilvl w:val="0"/>
          <w:numId w:val="31"/>
        </w:numPr>
        <w:spacing w:after="0"/>
        <w:ind w:hanging="357"/>
        <w:rPr>
          <w:sz w:val="16"/>
        </w:rPr>
      </w:pPr>
      <w:r w:rsidRPr="00C10A00">
        <w:rPr>
          <w:sz w:val="16"/>
        </w:rPr>
        <w:t>Ministry of Finance (Japan): Breakdown by JGB and T-Bill Holders (March 2026, preliminary), from Bank of Japan Flow of Funds Accounts</w:t>
      </w:r>
      <w:r w:rsidR="00B366BE" w:rsidRPr="00C10A00">
        <w:rPr>
          <w:sz w:val="16"/>
        </w:rPr>
        <w:t xml:space="preserve"> </w:t>
      </w:r>
      <w:hyperlink r:id="rId61">
        <w:r w:rsidRPr="00C10A00">
          <w:rPr>
            <w:rStyle w:val="Hyperlink"/>
            <w:sz w:val="16"/>
          </w:rPr>
          <w:t>https://www.mof.go.jp/english/policy/jgbs/reference/Others/holdings01.pdf</w:t>
        </w:r>
      </w:hyperlink>
    </w:p>
    <w:p w14:paraId="75F0798D" w14:textId="77777777" w:rsidR="00C046B1" w:rsidRPr="00C10A00" w:rsidRDefault="007451B4" w:rsidP="00C10A00">
      <w:pPr>
        <w:pStyle w:val="Compact"/>
        <w:numPr>
          <w:ilvl w:val="0"/>
          <w:numId w:val="31"/>
        </w:numPr>
        <w:spacing w:after="0"/>
        <w:ind w:hanging="357"/>
        <w:rPr>
          <w:sz w:val="16"/>
        </w:rPr>
      </w:pPr>
      <w:r w:rsidRPr="00C10A00">
        <w:rPr>
          <w:sz w:val="16"/>
        </w:rPr>
        <w:t>UK Debt Management Office: DMO Annual Review 2024–25, 29 August 2025</w:t>
      </w:r>
      <w:r w:rsidR="00B366BE" w:rsidRPr="00C10A00">
        <w:rPr>
          <w:sz w:val="16"/>
        </w:rPr>
        <w:t xml:space="preserve"> </w:t>
      </w:r>
      <w:hyperlink r:id="rId62">
        <w:r w:rsidRPr="00C10A00">
          <w:rPr>
            <w:rStyle w:val="Hyperlink"/>
            <w:sz w:val="16"/>
          </w:rPr>
          <w:t>https://www.dmo.gov.uk/media/dmgaetip/gar2025a.pdf</w:t>
        </w:r>
      </w:hyperlink>
    </w:p>
    <w:p w14:paraId="2574135B" w14:textId="77777777" w:rsidR="00C046B1" w:rsidRPr="00C10A00" w:rsidRDefault="007451B4" w:rsidP="00C10A00">
      <w:pPr>
        <w:pStyle w:val="Compact"/>
        <w:numPr>
          <w:ilvl w:val="0"/>
          <w:numId w:val="31"/>
        </w:numPr>
        <w:spacing w:after="0"/>
        <w:ind w:hanging="357"/>
        <w:rPr>
          <w:sz w:val="16"/>
        </w:rPr>
      </w:pPr>
      <w:r w:rsidRPr="00C10A00">
        <w:rPr>
          <w:sz w:val="16"/>
        </w:rPr>
        <w:t>Congressional Research Service: Foreign Holdings of Federal Debt (RS22331), updated 22 April 2026</w:t>
      </w:r>
      <w:r w:rsidR="00B366BE" w:rsidRPr="00C10A00">
        <w:rPr>
          <w:sz w:val="16"/>
        </w:rPr>
        <w:t xml:space="preserve"> </w:t>
      </w:r>
      <w:hyperlink r:id="rId63">
        <w:r w:rsidRPr="00C10A00">
          <w:rPr>
            <w:rStyle w:val="Hyperlink"/>
            <w:sz w:val="16"/>
          </w:rPr>
          <w:t>https://www.congress.gov/crs-product/RS22331</w:t>
        </w:r>
      </w:hyperlink>
    </w:p>
    <w:p w14:paraId="35CA63B2" w14:textId="77777777" w:rsidR="00C046B1" w:rsidRPr="00C10A00" w:rsidRDefault="007451B4" w:rsidP="00C10A00">
      <w:pPr>
        <w:pStyle w:val="Compact"/>
        <w:numPr>
          <w:ilvl w:val="0"/>
          <w:numId w:val="31"/>
        </w:numPr>
        <w:spacing w:after="0"/>
        <w:ind w:hanging="357"/>
        <w:rPr>
          <w:sz w:val="16"/>
        </w:rPr>
      </w:pPr>
      <w:r>
        <w:rPr>
          <w:sz w:val="16"/>
        </w:rPr>
        <w:t xml:space="preserve">Bloomberg: Sri Lanka Strikes Restructuring Agreement With Bondholders, 3 July 2024 </w:t>
      </w:r>
      <w:hyperlink r:id="rId64">
        <w:r>
          <w:rPr>
            <w:rStyle w:val="Hyperlink"/>
            <w:sz w:val="16"/>
          </w:rPr>
          <w:t>https://www.bloomberg.com/news/articles/2024-07-03/sri-lanka-bondholders-agree-on-core-terms-of-debt-restructuring</w:t>
        </w:r>
      </w:hyperlink>
    </w:p>
    <w:p w14:paraId="305F80BA" w14:textId="77777777" w:rsidR="00C046B1" w:rsidRPr="00C10A00" w:rsidRDefault="007451B4" w:rsidP="00C10A00">
      <w:pPr>
        <w:pStyle w:val="Compact"/>
        <w:numPr>
          <w:ilvl w:val="0"/>
          <w:numId w:val="31"/>
        </w:numPr>
        <w:spacing w:after="0"/>
        <w:ind w:hanging="357"/>
        <w:rPr>
          <w:sz w:val="16"/>
        </w:rPr>
      </w:pPr>
      <w:r>
        <w:rPr>
          <w:sz w:val="16"/>
        </w:rPr>
        <w:t xml:space="preserve">Debt Justice: Zambia reaches debt deal with bondholders, 25 March 2024 </w:t>
      </w:r>
      <w:hyperlink r:id="rId65">
        <w:r>
          <w:rPr>
            <w:rStyle w:val="Hyperlink"/>
            <w:sz w:val="16"/>
          </w:rPr>
          <w:t>https://debtjustice.org.uk/press-release/zambia-reaches-debt-deal-with-bondholders</w:t>
        </w:r>
      </w:hyperlink>
    </w:p>
    <w:p w14:paraId="71174AB8" w14:textId="77777777" w:rsidR="004F1690" w:rsidRDefault="004F1690">
      <w:pPr>
        <w:rPr>
          <w:rFonts w:cs="Noto Sans Light"/>
          <w:color w:val="000000" w:themeColor="text1"/>
        </w:rPr>
      </w:pPr>
      <w:r>
        <w:br w:type="page"/>
      </w:r>
    </w:p>
    <w:p w14:paraId="259A6BAF" w14:textId="77777777" w:rsidR="00C046B1" w:rsidRDefault="007451B4">
      <w:pPr>
        <w:pStyle w:val="Compact"/>
      </w:pPr>
      <w:r>
        <w:lastRenderedPageBreak/>
        <w:br w:type="page"/>
      </w:r>
    </w:p>
    <w:p w14:paraId="3021CF59" w14:textId="77777777" w:rsidR="00C046B1" w:rsidRPr="00C30EC8" w:rsidRDefault="007451B4" w:rsidP="00C30EC8">
      <w:pPr>
        <w:pStyle w:val="Heading1"/>
      </w:pPr>
      <w:bookmarkStart w:id="84" w:name="_Toc240452344"/>
      <w:bookmarkStart w:id="85" w:name="Xf5fd643cebcf877cb2003f79c663e808728fc7c"/>
      <w:bookmarkEnd w:id="43"/>
      <w:bookmarkEnd w:id="77"/>
      <w:bookmarkEnd w:id="83"/>
      <w:r w:rsidRPr="00C30EC8">
        <w:rPr>
          <w:color w:val="FF9233"/>
        </w:rPr>
        <w:lastRenderedPageBreak/>
        <w:t>Part 3</w:t>
      </w:r>
      <w:r w:rsidR="00B366BE">
        <w:rPr>
          <w:color w:val="FF9233"/>
          <w:lang w:eastAsia="ja-JP"/>
        </w:rPr>
        <w:br/>
      </w:r>
      <w:r w:rsidRPr="00C30EC8">
        <w:t>Capital, Investment and Public Policy</w:t>
      </w:r>
      <w:bookmarkEnd w:id="84"/>
    </w:p>
    <w:p w14:paraId="1C1C5AB5" w14:textId="77777777" w:rsidR="00C046B1" w:rsidRDefault="007451B4" w:rsidP="00022497">
      <w:pPr>
        <w:pStyle w:val="BodyText"/>
        <w:jc w:val="both"/>
      </w:pPr>
      <w:r w:rsidRPr="00E77712">
        <w:rPr>
          <w:b/>
          <w:bCs/>
          <w:color w:val="124F1A" w:themeColor="accent3" w:themeShade="BF"/>
        </w:rPr>
        <w:t>Capital, Investment and Public Policy</w:t>
      </w:r>
      <w:r w:rsidRPr="00E77712">
        <w:rPr>
          <w:color w:val="124F1A" w:themeColor="accent3" w:themeShade="BF"/>
        </w:rPr>
        <w:t xml:space="preserve"> </w:t>
      </w:r>
      <w:r>
        <w:t>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partnerships that split the risk between them. Trade policy and tariffs cover a third form of government intervention, one that raises prices for consumers as a deliberate tool of economic or political strategy rather than a market failure to correct.</w:t>
      </w:r>
    </w:p>
    <w:p w14:paraId="06D08F46" w14:textId="77777777" w:rsidR="00C046B1" w:rsidRDefault="007451B4" w:rsidP="00022497">
      <w:pPr>
        <w:pStyle w:val="BodyText"/>
        <w:jc w:val="both"/>
      </w:pPr>
      <w:r>
        <w:t>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used to change it.</w:t>
      </w:r>
    </w:p>
    <w:p w14:paraId="0A1528C8" w14:textId="77777777" w:rsidR="00C046B1" w:rsidRDefault="007451B4" w:rsidP="009066A4">
      <w:pPr>
        <w:pStyle w:val="Heading2"/>
      </w:pPr>
      <w:bookmarkStart w:id="86" w:name="_Toc240452345"/>
      <w:bookmarkStart w:id="87" w:name="green-finance-initiatives"/>
      <w:r>
        <w:lastRenderedPageBreak/>
        <w:t>3.1. Green Finance Initiatives</w:t>
      </w:r>
      <w:bookmarkEnd w:id="86"/>
    </w:p>
    <w:p w14:paraId="68CA248B" w14:textId="77777777" w:rsidR="00C046B1" w:rsidRDefault="007451B4" w:rsidP="00C30EC8">
      <w:pPr>
        <w:pStyle w:val="Heading3"/>
      </w:pPr>
      <w:bookmarkStart w:id="88" w:name="goal-10"/>
      <w:r>
        <w:t>3.1.1. Goal</w:t>
      </w:r>
    </w:p>
    <w:p w14:paraId="2DE8E8ED" w14:textId="77777777" w:rsidR="00C046B1" w:rsidRDefault="007451B4">
      <w:pPr>
        <w:pStyle w:val="BodyText"/>
      </w:pPr>
      <w:r>
        <w:t>Explain what makes a green bond different from an ordinary bond, and why standard-setters and regulators have moved to define the “green” label.</w:t>
      </w:r>
    </w:p>
    <w:p w14:paraId="5B3C8C4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89" w:name="reading-10"/>
      <w:bookmarkEnd w:id="88"/>
      <w:r>
        <w:t>3.1.2. Reading</w:t>
      </w:r>
    </w:p>
    <w:p w14:paraId="3CDFA617" w14:textId="77777777"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w:t>
      </w:r>
      <w:r w:rsidR="00152693" w:rsidRPr="00152693">
        <w:rPr>
          <w:vertAlign w:val="superscript"/>
        </w:rPr>
        <w:t>[1]</w:t>
      </w:r>
      <w:r>
        <w:t>. The wind farm is identical. What differs is the commitment about the use of proceeds and the disclosure that comes with it.</w:t>
      </w:r>
    </w:p>
    <w:p w14:paraId="6AF38FB4" w14:textId="77777777"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w:t>
      </w:r>
      <w:r w:rsidR="00152693" w:rsidRPr="00152693">
        <w:rPr>
          <w:vertAlign w:val="superscript"/>
        </w:rPr>
        <w:t>[2]</w:t>
      </w:r>
      <w:r>
        <w:t>.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w:t>
      </w:r>
      <w:r w:rsidR="00152693" w:rsidRPr="00152693">
        <w:rPr>
          <w:vertAlign w:val="superscript"/>
        </w:rPr>
        <w:t>[1]</w:t>
      </w:r>
      <w:r>
        <w:t>. By early 2025 the green bond market was worth about US$2.9 trillion, with roughly US$700 billion issued during 2024</w:t>
      </w:r>
      <w:r w:rsidR="00152693" w:rsidRPr="00152693">
        <w:rPr>
          <w:vertAlign w:val="superscript"/>
        </w:rPr>
        <w:t>[3]</w:t>
      </w:r>
      <w:r>
        <w:t>.</w:t>
      </w:r>
    </w:p>
    <w:p w14:paraId="1CDCD3F2" w14:textId="77777777" w:rsidR="00C046B1" w:rsidRDefault="007451B4">
      <w:pPr>
        <w:pStyle w:val="articlebodytext"/>
      </w:pPr>
      <w:r>
        <w:t>Because “green” is otherwise a label an issuer picks for itself, regulators have begun to define it. The European Union’s Green Bond Standard has applied since December 2024. A bond may be called a “European Green Bond” only if at least 85% of the proceeds fund activities on the EU’s official taxonomy, its classified list of sustainable activities, with an external re</w:t>
      </w:r>
      <w:r>
        <w:t>view before and after issuance</w:t>
      </w:r>
      <w:r w:rsidR="00152693" w:rsidRPr="00152693">
        <w:rPr>
          <w:vertAlign w:val="superscript"/>
        </w:rPr>
        <w:t>[4]</w:t>
      </w:r>
      <w:r>
        <w:t>. The goal is to limit greenwashing, which means claiming an environmental benefit that the label does not deliver.</w:t>
      </w:r>
    </w:p>
    <w:p w14:paraId="5EBB9F96" w14:textId="77777777"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w:t>
      </w:r>
      <w:r w:rsidR="00152693" w:rsidRPr="00152693">
        <w:rPr>
          <w:vertAlign w:val="superscript"/>
        </w:rPr>
        <w:t>[5]</w:t>
      </w:r>
      <w:r>
        <w:t>. The full programme aims to raise about JPY 20 trillion over roughly a decade to help heavy industry, power and transport cut emissions. Japan plans to repay the bonds partly from future carbon-pricing revenue, such as a fossil-fuel levy due from 2028, rather than from general taxes</w:t>
      </w:r>
      <w:r w:rsidR="00152693" w:rsidRPr="00152693">
        <w:rPr>
          <w:vertAlign w:val="superscript"/>
        </w:rPr>
        <w:t>[5]</w:t>
      </w:r>
      <w:r>
        <w:t>. Transition bonds are more debated than ordinary green bonds, because they fund high-polluting sectors that are trying to change rather than activities that are already clean.</w:t>
      </w:r>
    </w:p>
    <w:p w14:paraId="5EE631EE"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w:t>
      </w:r>
      <w:r w:rsidR="00152693" w:rsidRPr="00152693">
        <w:rPr>
          <w:vertAlign w:val="superscript"/>
        </w:rPr>
        <w:t>[6]</w:t>
      </w:r>
      <w:r>
        <w:t>.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40165BA4" w14:textId="77777777" w:rsidR="00C046B1" w:rsidRDefault="007451B4" w:rsidP="00C30EC8">
      <w:pPr>
        <w:pStyle w:val="Heading3"/>
      </w:pPr>
      <w:bookmarkStart w:id="90" w:name="vocabulary-focus-10"/>
      <w:bookmarkEnd w:id="89"/>
      <w:r>
        <w:lastRenderedPageBreak/>
        <w:t>3.1.3. Vocabulary Focus</w:t>
      </w:r>
    </w:p>
    <w:p w14:paraId="34C676CC" w14:textId="77777777" w:rsidR="00C046B1" w:rsidRDefault="007451B4">
      <w:pPr>
        <w:pStyle w:val="FirstParagraph"/>
      </w:pPr>
      <w:r>
        <w:t>green bond, use of proceeds, taxonomy, greenwashing, transition bond, external review</w:t>
      </w:r>
    </w:p>
    <w:p w14:paraId="3CC8503E" w14:textId="77777777" w:rsidR="00C046B1" w:rsidRDefault="007451B4" w:rsidP="00C30EC8">
      <w:pPr>
        <w:pStyle w:val="Heading3"/>
      </w:pPr>
      <w:bookmarkStart w:id="91" w:name="reading-questions-10"/>
      <w:bookmarkEnd w:id="90"/>
      <w:r>
        <w:t>3.1.4. Reading Questions</w:t>
      </w:r>
    </w:p>
    <w:p w14:paraId="6BBB3615"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0816C27C" w14:textId="77777777" w:rsidR="00C046B1" w:rsidRDefault="007451B4" w:rsidP="007451B4">
      <w:pPr>
        <w:pStyle w:val="Compact"/>
        <w:numPr>
          <w:ilvl w:val="0"/>
          <w:numId w:val="32"/>
        </w:numPr>
      </w:pPr>
      <w:r>
        <w:t>What four duties does an issuer take on under the Green Bond Principles?</w:t>
      </w:r>
    </w:p>
    <w:p w14:paraId="6C2FD673" w14:textId="77777777" w:rsidR="00C046B1" w:rsidRDefault="007451B4" w:rsidP="007451B4">
      <w:pPr>
        <w:pStyle w:val="Compact"/>
        <w:numPr>
          <w:ilvl w:val="0"/>
          <w:numId w:val="32"/>
        </w:numPr>
      </w:pPr>
      <w:r>
        <w:t>How large was the green bond market by early 2025, and how much was issued during 2024?</w:t>
      </w:r>
    </w:p>
    <w:p w14:paraId="0242FDF4" w14:textId="77777777" w:rsidR="00C046B1" w:rsidRDefault="007451B4" w:rsidP="007451B4">
      <w:pPr>
        <w:pStyle w:val="Compact"/>
        <w:numPr>
          <w:ilvl w:val="0"/>
          <w:numId w:val="32"/>
        </w:numPr>
      </w:pPr>
      <w:r>
        <w:t>Why have regulators such as the EU started to give “green” a legal definition?</w:t>
      </w:r>
    </w:p>
    <w:p w14:paraId="5F153D00" w14:textId="77777777" w:rsidR="00C046B1" w:rsidRDefault="007451B4" w:rsidP="007451B4">
      <w:pPr>
        <w:pStyle w:val="Compact"/>
        <w:numPr>
          <w:ilvl w:val="0"/>
          <w:numId w:val="32"/>
        </w:numPr>
        <w:spacing w:after="0"/>
      </w:pPr>
      <w:r>
        <w:t>Why does the reading say transition bonds are “more debated” than ordinary green bonds?</w:t>
      </w:r>
    </w:p>
    <w:p w14:paraId="4CD20E28" w14:textId="77777777" w:rsidR="00C046B1" w:rsidRDefault="007451B4" w:rsidP="00C30EC8">
      <w:pPr>
        <w:pStyle w:val="Heading3"/>
      </w:pPr>
      <w:bookmarkStart w:id="92" w:name="discussion-questions-10"/>
      <w:bookmarkEnd w:id="91"/>
      <w:r>
        <w:t>3.1.5. Discussion Questions</w:t>
      </w:r>
    </w:p>
    <w:p w14:paraId="3175E741"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13357079" w14:textId="77777777" w:rsidR="00C046B1" w:rsidRDefault="007451B4" w:rsidP="007451B4">
      <w:pPr>
        <w:pStyle w:val="Compact"/>
        <w:numPr>
          <w:ilvl w:val="0"/>
          <w:numId w:val="33"/>
        </w:numPr>
      </w:pPr>
      <w:r>
        <w:t>Is an external review before and after issuance enough to stop greenwashing? What more could be required?</w:t>
      </w:r>
    </w:p>
    <w:p w14:paraId="04288CDB"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22B05832" w14:textId="77777777" w:rsidR="00C046B1" w:rsidRDefault="007451B4" w:rsidP="007451B4">
      <w:pPr>
        <w:pStyle w:val="Compact"/>
        <w:numPr>
          <w:ilvl w:val="0"/>
          <w:numId w:val="33"/>
        </w:numPr>
      </w:pPr>
      <w:r>
        <w:t>Advise a company issuing its first green bond on three things it should do so that investors trust the label.</w:t>
      </w:r>
    </w:p>
    <w:p w14:paraId="62343733"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083692D9" w14:textId="77777777" w:rsidR="00C046B1" w:rsidRDefault="007451B4" w:rsidP="00C30EC8">
      <w:pPr>
        <w:pStyle w:val="Heading3"/>
      </w:pPr>
      <w:bookmarkStart w:id="93" w:name="source-notes-10"/>
      <w:bookmarkEnd w:id="92"/>
      <w:r>
        <w:t>3.1.6. Source Notes</w:t>
      </w:r>
    </w:p>
    <w:p w14:paraId="30AC30DA" w14:textId="77777777" w:rsidR="00C046B1" w:rsidRPr="00C10A00" w:rsidRDefault="007451B4" w:rsidP="00C10A00">
      <w:pPr>
        <w:pStyle w:val="Compact"/>
        <w:numPr>
          <w:ilvl w:val="0"/>
          <w:numId w:val="34"/>
        </w:numPr>
        <w:spacing w:after="0"/>
        <w:ind w:hanging="357"/>
        <w:rPr>
          <w:sz w:val="16"/>
        </w:rPr>
      </w:pPr>
      <w:r w:rsidRPr="00C10A00">
        <w:rPr>
          <w:sz w:val="16"/>
        </w:rPr>
        <w:t>International Capital Market Association: The Green Bond Principles (June 2025 edition)</w:t>
      </w:r>
      <w:r w:rsidR="00B366BE" w:rsidRPr="00C10A00">
        <w:rPr>
          <w:sz w:val="16"/>
        </w:rPr>
        <w:t xml:space="preserve"> </w:t>
      </w:r>
      <w:hyperlink r:id="rId66">
        <w:r w:rsidRPr="00C10A00">
          <w:rPr>
            <w:rStyle w:val="Hyperlink"/>
            <w:sz w:val="16"/>
          </w:rPr>
          <w:t>https://www.icmagroup.org/sustainable-finance/the-principles-guidelines-and-handbooks/green-bond-principles-gbp/</w:t>
        </w:r>
      </w:hyperlink>
    </w:p>
    <w:p w14:paraId="58DAE081" w14:textId="77777777" w:rsidR="00C046B1" w:rsidRPr="00C10A00" w:rsidRDefault="007451B4" w:rsidP="00C10A00">
      <w:pPr>
        <w:pStyle w:val="Compact"/>
        <w:numPr>
          <w:ilvl w:val="0"/>
          <w:numId w:val="34"/>
        </w:numPr>
        <w:spacing w:after="0"/>
        <w:ind w:hanging="357"/>
        <w:rPr>
          <w:sz w:val="16"/>
        </w:rPr>
      </w:pPr>
      <w:r w:rsidRPr="00C10A00">
        <w:rPr>
          <w:sz w:val="16"/>
        </w:rPr>
        <w:t>European Investment Bank: “15 years of EIB green bonds: leading sustainable investment from niche to mainstream” (2022)</w:t>
      </w:r>
      <w:r w:rsidR="00B366BE" w:rsidRPr="00C10A00">
        <w:rPr>
          <w:sz w:val="16"/>
        </w:rPr>
        <w:t xml:space="preserve"> </w:t>
      </w:r>
      <w:hyperlink r:id="rId67">
        <w:r w:rsidRPr="00C10A00">
          <w:rPr>
            <w:rStyle w:val="Hyperlink"/>
            <w:sz w:val="16"/>
          </w:rPr>
          <w:t>https://www.eib.org/en/press/all/2022-308-15-years-of-eib-green-bonds-leading-sustainable-investment-from-niche-to-mainstream</w:t>
        </w:r>
      </w:hyperlink>
    </w:p>
    <w:p w14:paraId="5FE38F60" w14:textId="77777777" w:rsidR="00C046B1" w:rsidRPr="00C10A00" w:rsidRDefault="007451B4" w:rsidP="00C10A00">
      <w:pPr>
        <w:pStyle w:val="Compact"/>
        <w:numPr>
          <w:ilvl w:val="0"/>
          <w:numId w:val="34"/>
        </w:numPr>
        <w:spacing w:after="0"/>
        <w:ind w:hanging="357"/>
        <w:rPr>
          <w:sz w:val="16"/>
        </w:rPr>
      </w:pPr>
      <w:r w:rsidRPr="00C10A00">
        <w:rPr>
          <w:sz w:val="16"/>
        </w:rPr>
        <w:t>Bank for International Settlements: “Growth of the green bond market and greenhouse gas emissions,” BIS Quarterly Review, March 2025</w:t>
      </w:r>
      <w:r w:rsidR="00B366BE" w:rsidRPr="00C10A00">
        <w:rPr>
          <w:sz w:val="16"/>
        </w:rPr>
        <w:t xml:space="preserve"> </w:t>
      </w:r>
      <w:hyperlink r:id="rId68">
        <w:r w:rsidRPr="00C10A00">
          <w:rPr>
            <w:rStyle w:val="Hyperlink"/>
            <w:sz w:val="16"/>
          </w:rPr>
          <w:t>https://www.bis.org/publ/qtrpdf/r_qt2503d.htm</w:t>
        </w:r>
      </w:hyperlink>
    </w:p>
    <w:p w14:paraId="38003FE6" w14:textId="77777777" w:rsidR="00C046B1" w:rsidRPr="00C10A00" w:rsidRDefault="007451B4" w:rsidP="00C10A00">
      <w:pPr>
        <w:pStyle w:val="Compact"/>
        <w:numPr>
          <w:ilvl w:val="0"/>
          <w:numId w:val="34"/>
        </w:numPr>
        <w:spacing w:after="0"/>
        <w:ind w:hanging="357"/>
        <w:rPr>
          <w:sz w:val="16"/>
        </w:rPr>
      </w:pPr>
      <w:r w:rsidRPr="00C10A00">
        <w:rPr>
          <w:sz w:val="16"/>
        </w:rPr>
        <w:t>EUR-Lex: “European green bond standard” (summary of Regulation (EU) 2023/2631)</w:t>
      </w:r>
      <w:r w:rsidR="00B366BE" w:rsidRPr="00C10A00">
        <w:rPr>
          <w:sz w:val="16"/>
        </w:rPr>
        <w:t xml:space="preserve"> </w:t>
      </w:r>
      <w:hyperlink r:id="rId69">
        <w:r w:rsidRPr="00C10A00">
          <w:rPr>
            <w:rStyle w:val="Hyperlink"/>
            <w:sz w:val="16"/>
          </w:rPr>
          <w:t>https://eur-lex.europa.eu/EN/legal-content/summary/european-green-bond-standard.html</w:t>
        </w:r>
      </w:hyperlink>
    </w:p>
    <w:p w14:paraId="7CA03537" w14:textId="77777777" w:rsidR="00C046B1" w:rsidRPr="00C10A00" w:rsidRDefault="007451B4" w:rsidP="00C10A00">
      <w:pPr>
        <w:pStyle w:val="Compact"/>
        <w:numPr>
          <w:ilvl w:val="0"/>
          <w:numId w:val="34"/>
        </w:numPr>
        <w:spacing w:after="0"/>
        <w:ind w:hanging="357"/>
        <w:rPr>
          <w:sz w:val="16"/>
        </w:rPr>
      </w:pPr>
      <w:r w:rsidRPr="00C10A00">
        <w:rPr>
          <w:sz w:val="16"/>
        </w:rPr>
        <w:t>Ministry of Finance, Japan: “Japan Climate Transition Bonds”</w:t>
      </w:r>
      <w:r w:rsidR="00B366BE" w:rsidRPr="00C10A00">
        <w:rPr>
          <w:sz w:val="16"/>
        </w:rPr>
        <w:t xml:space="preserve"> </w:t>
      </w:r>
      <w:hyperlink r:id="rId70">
        <w:r w:rsidRPr="00C10A00">
          <w:rPr>
            <w:rStyle w:val="Hyperlink"/>
            <w:sz w:val="16"/>
          </w:rPr>
          <w:t>https://www.mof.go.jp/english/policy/jgbs/topics/JapanClimateTransitionBonds/index.html</w:t>
        </w:r>
      </w:hyperlink>
    </w:p>
    <w:p w14:paraId="292676F1" w14:textId="77777777" w:rsidR="00C046B1" w:rsidRPr="00C10A00" w:rsidRDefault="007451B4" w:rsidP="00C10A00">
      <w:pPr>
        <w:pStyle w:val="Compact"/>
        <w:numPr>
          <w:ilvl w:val="0"/>
          <w:numId w:val="34"/>
        </w:numPr>
        <w:spacing w:after="0"/>
        <w:ind w:hanging="357"/>
        <w:rPr>
          <w:sz w:val="16"/>
        </w:rPr>
      </w:pPr>
      <w:r w:rsidRPr="00C10A00">
        <w:rPr>
          <w:sz w:val="16"/>
        </w:rPr>
        <w:t>World Bank Treasury: “Labeled Sustainable Bonds — Market Update,” Q4 2025</w:t>
      </w:r>
      <w:r w:rsidR="00B366BE" w:rsidRPr="00C10A00">
        <w:rPr>
          <w:sz w:val="16"/>
        </w:rPr>
        <w:t xml:space="preserve"> </w:t>
      </w:r>
      <w:hyperlink r:id="rId71">
        <w:r w:rsidRPr="00C10A00">
          <w:rPr>
            <w:rStyle w:val="Hyperlink"/>
            <w:sz w:val="16"/>
          </w:rPr>
          <w:t>https://thedocs.worldbank.org/en/doc/0cbf29fe7e18a8d8a64b67ad2d0a6a7c-0340012026/original/WBG-TRE-Labeled-Sustainable-Bonds-Market-Update-2025-Q4.pdf</w:t>
        </w:r>
      </w:hyperlink>
    </w:p>
    <w:p w14:paraId="43ADCE0C" w14:textId="77777777" w:rsidR="00C046B1" w:rsidRDefault="007451B4" w:rsidP="009066A4">
      <w:pPr>
        <w:pStyle w:val="Heading2"/>
      </w:pPr>
      <w:bookmarkStart w:id="94" w:name="_Toc240452346"/>
      <w:bookmarkStart w:id="95" w:name="infrastructure-investment"/>
      <w:bookmarkEnd w:id="87"/>
      <w:bookmarkEnd w:id="93"/>
      <w:r>
        <w:lastRenderedPageBreak/>
        <w:t>3.2. Infrastructure Investment</w:t>
      </w:r>
      <w:bookmarkEnd w:id="94"/>
    </w:p>
    <w:p w14:paraId="7DC67BAC" w14:textId="77777777" w:rsidR="00C046B1" w:rsidRDefault="007451B4" w:rsidP="00C30EC8">
      <w:pPr>
        <w:pStyle w:val="Heading3"/>
      </w:pPr>
      <w:bookmarkStart w:id="96" w:name="goal-11"/>
      <w:r>
        <w:t>3.2.1. Goal</w:t>
      </w:r>
    </w:p>
    <w:p w14:paraId="4283631B" w14:textId="77777777" w:rsidR="00C046B1" w:rsidRDefault="007451B4">
      <w:pPr>
        <w:pStyle w:val="BodyText"/>
      </w:pPr>
      <w:r>
        <w:t>Explain the gap between the infrastructure the world needs and what it will pay for, and show who fills that gap besides national governments.</w:t>
      </w:r>
    </w:p>
    <w:p w14:paraId="457DD2C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97" w:name="reading-11"/>
      <w:bookmarkEnd w:id="96"/>
      <w:r>
        <w:t>3.2.2. Reading</w:t>
      </w:r>
    </w:p>
    <w:p w14:paraId="070B2F0D" w14:textId="77777777"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w:t>
      </w:r>
      <w:r w:rsidR="00152693" w:rsidRPr="00152693">
        <w:rPr>
          <w:vertAlign w:val="superscript"/>
        </w:rPr>
        <w:t>[1]</w:t>
      </w:r>
      <w:r>
        <w:t>.</w:t>
      </w:r>
    </w:p>
    <w:p w14:paraId="5318BFA4" w14:textId="77777777"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w:t>
      </w:r>
      <w:r w:rsidR="00152693" w:rsidRPr="00152693">
        <w:rPr>
          <w:vertAlign w:val="superscript"/>
        </w:rPr>
        <w:t>[2]</w:t>
      </w:r>
      <w:r>
        <w:t>. A broader estimate puts the European Union’s yearly gap on strategic investment — climate, digital and infrastructure combined — at about EUR 481 billion</w:t>
      </w:r>
      <w:r w:rsidR="00152693" w:rsidRPr="00152693">
        <w:rPr>
          <w:vertAlign w:val="superscript"/>
        </w:rPr>
        <w:t>[3]</w:t>
      </w:r>
      <w:r>
        <w:t>.</w:t>
      </w:r>
    </w:p>
    <w:p w14:paraId="777CE013" w14:textId="77777777" w:rsidR="00C046B1" w:rsidRDefault="007451B4">
      <w:pPr>
        <w:pStyle w:val="articlebodytext"/>
      </w:pPr>
      <w:r>
        <w:t>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w:t>
      </w:r>
      <w:r w:rsidR="00152693" w:rsidRPr="00152693">
        <w:rPr>
          <w:vertAlign w:val="superscript"/>
        </w:rPr>
        <w:t>[4]</w:t>
      </w:r>
      <w:r>
        <w:t xml:space="preserve">. Japan still spends heavily on public works, but a rising share now goes to maintaining what exists, and </w:t>
      </w:r>
      <w:r>
        <w:t>a shrinking workforce makes the repairs harder to staff.</w:t>
      </w:r>
    </w:p>
    <w:p w14:paraId="0CAD2F84" w14:textId="77777777"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w:t>
      </w:r>
      <w:r w:rsidR="00152693" w:rsidRPr="00152693">
        <w:rPr>
          <w:vertAlign w:val="superscript"/>
        </w:rPr>
        <w:t>[5]</w:t>
      </w:r>
      <w:r>
        <w:t>.</w:t>
      </w:r>
    </w:p>
    <w:p w14:paraId="6B04A31B"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w:t>
      </w:r>
      <w:r w:rsidR="00152693" w:rsidRPr="00152693">
        <w:rPr>
          <w:vertAlign w:val="superscript"/>
        </w:rPr>
        <w:t>[6]</w:t>
      </w:r>
      <w:r>
        <w:t>.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2BF23FF1" w14:textId="77777777" w:rsidR="00C046B1" w:rsidRDefault="007451B4" w:rsidP="00C30EC8">
      <w:pPr>
        <w:pStyle w:val="Heading3"/>
      </w:pPr>
      <w:bookmarkStart w:id="98" w:name="vocabulary-focus-11"/>
      <w:bookmarkEnd w:id="97"/>
      <w:r>
        <w:lastRenderedPageBreak/>
        <w:t>3.2.3. Vocabulary Focus</w:t>
      </w:r>
    </w:p>
    <w:p w14:paraId="078BC138" w14:textId="77777777" w:rsidR="00C046B1" w:rsidRDefault="007451B4">
      <w:pPr>
        <w:pStyle w:val="FirstParagraph"/>
      </w:pPr>
      <w:r>
        <w:t>public-private partnership (PPP), infrastructure funding gap, multilateral development bank (MDB), concession, blended finance, institutional investor</w:t>
      </w:r>
    </w:p>
    <w:p w14:paraId="17802B75" w14:textId="77777777" w:rsidR="00C046B1" w:rsidRDefault="007451B4" w:rsidP="00C30EC8">
      <w:pPr>
        <w:pStyle w:val="Heading3"/>
      </w:pPr>
      <w:bookmarkStart w:id="99" w:name="reading-questions-11"/>
      <w:bookmarkEnd w:id="98"/>
      <w:r>
        <w:t>3.2.4. Reading Questions</w:t>
      </w:r>
    </w:p>
    <w:p w14:paraId="2B0FDE21" w14:textId="77777777" w:rsidR="00C046B1" w:rsidRDefault="007451B4" w:rsidP="0080351A">
      <w:pPr>
        <w:pStyle w:val="Compact"/>
        <w:numPr>
          <w:ilvl w:val="0"/>
          <w:numId w:val="35"/>
        </w:numPr>
        <w:spacing w:after="60"/>
      </w:pPr>
      <w:r>
        <w:t>What misconception about infrastructure does the reading open by correcting?</w:t>
      </w:r>
    </w:p>
    <w:p w14:paraId="1AC95B6D" w14:textId="77777777" w:rsidR="00C046B1" w:rsidRDefault="007451B4" w:rsidP="0080351A">
      <w:pPr>
        <w:pStyle w:val="Compact"/>
        <w:numPr>
          <w:ilvl w:val="0"/>
          <w:numId w:val="35"/>
        </w:numPr>
        <w:spacing w:after="60"/>
      </w:pPr>
      <w:r>
        <w:t>What are the two forms the infrastructure funding gap can take?</w:t>
      </w:r>
    </w:p>
    <w:p w14:paraId="39C52A5B" w14:textId="77777777" w:rsidR="00C046B1" w:rsidRDefault="007451B4" w:rsidP="0080351A">
      <w:pPr>
        <w:pStyle w:val="Compact"/>
        <w:numPr>
          <w:ilvl w:val="0"/>
          <w:numId w:val="35"/>
        </w:numPr>
        <w:spacing w:after="60"/>
      </w:pPr>
      <w:r>
        <w:t>In a public-private partnership, how does the private company earn money before it hands the asset back?</w:t>
      </w:r>
    </w:p>
    <w:p w14:paraId="5BF6C304" w14:textId="77777777" w:rsidR="00C046B1" w:rsidRDefault="007451B4" w:rsidP="0080351A">
      <w:pPr>
        <w:pStyle w:val="Compact"/>
        <w:numPr>
          <w:ilvl w:val="0"/>
          <w:numId w:val="35"/>
        </w:numPr>
        <w:spacing w:after="60"/>
      </w:pPr>
      <w:r>
        <w:t>Why is a growing share of Japan’s public-works spending going to maintenance rather than new construction?</w:t>
      </w:r>
    </w:p>
    <w:p w14:paraId="24A4681E" w14:textId="77777777" w:rsidR="00C046B1" w:rsidRDefault="007451B4" w:rsidP="0080351A">
      <w:pPr>
        <w:pStyle w:val="Compact"/>
        <w:numPr>
          <w:ilvl w:val="0"/>
          <w:numId w:val="35"/>
        </w:numPr>
        <w:spacing w:after="60"/>
      </w:pPr>
      <w:r>
        <w:t>Why does the reading describe blended finance as “public money used to reduce the risk”?</w:t>
      </w:r>
    </w:p>
    <w:p w14:paraId="523AFD72" w14:textId="77777777" w:rsidR="00C046B1" w:rsidRDefault="007451B4" w:rsidP="00C30EC8">
      <w:pPr>
        <w:pStyle w:val="Heading3"/>
      </w:pPr>
      <w:bookmarkStart w:id="100" w:name="discussion-questions-11"/>
      <w:bookmarkEnd w:id="99"/>
      <w:r>
        <w:t>3.2.5. Discussion Questions</w:t>
      </w:r>
    </w:p>
    <w:p w14:paraId="3C19E13F" w14:textId="77777777" w:rsidR="00C046B1" w:rsidRDefault="007451B4" w:rsidP="0080351A">
      <w:pPr>
        <w:pStyle w:val="Compact"/>
        <w:numPr>
          <w:ilvl w:val="0"/>
          <w:numId w:val="36"/>
        </w:numPr>
        <w:spacing w:after="60"/>
      </w:pPr>
      <w:r>
        <w:t>The reading lists four sources of infrastructure funding: public budgets, PPPs, development banks, and private investors. Which do you think should carry most of the burden, and why?</w:t>
      </w:r>
    </w:p>
    <w:p w14:paraId="47E2F7C4" w14:textId="77777777" w:rsidR="00C046B1" w:rsidRDefault="007451B4" w:rsidP="0080351A">
      <w:pPr>
        <w:pStyle w:val="Compact"/>
        <w:numPr>
          <w:ilvl w:val="0"/>
          <w:numId w:val="36"/>
        </w:numPr>
        <w:spacing w:after="60"/>
      </w:pPr>
      <w:r>
        <w:t>PPP toll roads shift the cost from taxpayers to the people who use the road. Is that fairer, or not? Explain.</w:t>
      </w:r>
    </w:p>
    <w:p w14:paraId="6947F7C9" w14:textId="77777777" w:rsidR="00C046B1" w:rsidRDefault="007451B4" w:rsidP="0080351A">
      <w:pPr>
        <w:pStyle w:val="Compact"/>
        <w:numPr>
          <w:ilvl w:val="0"/>
          <w:numId w:val="36"/>
        </w:numPr>
        <w:spacing w:after="60"/>
      </w:pPr>
      <w:r>
        <w:t>Japan faces a large repair bill for infrastructure built decades ago. Should a government prioritise maintaining old assets or building new ones when money is short?</w:t>
      </w:r>
    </w:p>
    <w:p w14:paraId="08F9D535" w14:textId="77777777" w:rsidR="00C046B1" w:rsidRDefault="007451B4" w:rsidP="0080351A">
      <w:pPr>
        <w:pStyle w:val="Compact"/>
        <w:numPr>
          <w:ilvl w:val="0"/>
          <w:numId w:val="36"/>
        </w:numPr>
        <w:spacing w:after="60"/>
      </w:pPr>
      <w:r>
        <w:t>Compare the Nairobi Expressway model with fully public construction. Give two advantages and two risks of the PPP approach.</w:t>
      </w:r>
    </w:p>
    <w:p w14:paraId="7374F70A" w14:textId="77777777" w:rsidR="00C046B1" w:rsidRDefault="007451B4" w:rsidP="0080351A">
      <w:pPr>
        <w:pStyle w:val="Compact"/>
        <w:numPr>
          <w:ilvl w:val="0"/>
          <w:numId w:val="36"/>
        </w:numPr>
        <w:spacing w:after="60"/>
      </w:pPr>
      <w:r>
        <w:t>Design three conditions a government should attach to any PPP contract to protect the public interest.</w:t>
      </w:r>
    </w:p>
    <w:p w14:paraId="693641F3" w14:textId="77777777" w:rsidR="00C046B1" w:rsidRDefault="007451B4" w:rsidP="00C30EC8">
      <w:pPr>
        <w:pStyle w:val="Heading3"/>
      </w:pPr>
      <w:bookmarkStart w:id="101" w:name="source-notes-11"/>
      <w:bookmarkEnd w:id="100"/>
      <w:r>
        <w:t>3.2.6. Source Notes</w:t>
      </w:r>
    </w:p>
    <w:p w14:paraId="618D0947" w14:textId="77777777" w:rsidR="00C046B1" w:rsidRPr="00C10A00" w:rsidRDefault="007451B4" w:rsidP="00C10A00">
      <w:pPr>
        <w:pStyle w:val="Compact"/>
        <w:numPr>
          <w:ilvl w:val="0"/>
          <w:numId w:val="37"/>
        </w:numPr>
        <w:spacing w:after="0"/>
        <w:ind w:hanging="357"/>
        <w:rPr>
          <w:sz w:val="16"/>
        </w:rPr>
      </w:pPr>
      <w:r w:rsidRPr="00C10A00">
        <w:rPr>
          <w:sz w:val="16"/>
        </w:rPr>
        <w:t>Global Infrastructure Hub (G20 initiative): “Global infrastructure investment need to reach USD97 trillion by 2040”</w:t>
      </w:r>
      <w:r w:rsidR="00B366BE" w:rsidRPr="00C10A00">
        <w:rPr>
          <w:sz w:val="16"/>
        </w:rPr>
        <w:t xml:space="preserve"> </w:t>
      </w:r>
      <w:hyperlink r:id="rId72">
        <w:r w:rsidRPr="00C10A00">
          <w:rPr>
            <w:rStyle w:val="Hyperlink"/>
            <w:sz w:val="16"/>
          </w:rPr>
          <w:t>https://www.gihub.org/media/global-infrastructure-investment-need-to-reach-usd97-trillion-by-2040/</w:t>
        </w:r>
      </w:hyperlink>
    </w:p>
    <w:p w14:paraId="7AA9C840" w14:textId="77777777" w:rsidR="00C046B1" w:rsidRPr="00C10A00" w:rsidRDefault="007451B4" w:rsidP="00C10A00">
      <w:pPr>
        <w:pStyle w:val="Compact"/>
        <w:numPr>
          <w:ilvl w:val="0"/>
          <w:numId w:val="37"/>
        </w:numPr>
        <w:spacing w:after="0"/>
        <w:ind w:hanging="357"/>
        <w:rPr>
          <w:sz w:val="16"/>
        </w:rPr>
      </w:pPr>
      <w:r w:rsidRPr="00C10A00">
        <w:rPr>
          <w:sz w:val="16"/>
        </w:rPr>
        <w:t>American Society of Civil Engineers: “ASCE Report Card Gives U.S. Infrastructure Highest-Ever C Grade” (2025 Infrastructure Report Card), 25 March 2025</w:t>
      </w:r>
      <w:r w:rsidR="00B366BE" w:rsidRPr="00C10A00">
        <w:rPr>
          <w:sz w:val="16"/>
        </w:rPr>
        <w:t xml:space="preserve"> </w:t>
      </w:r>
      <w:hyperlink r:id="rId73">
        <w:r w:rsidRPr="00C10A00">
          <w:rPr>
            <w:rStyle w:val="Hyperlink"/>
            <w:sz w:val="16"/>
          </w:rPr>
          <w:t>https://www.asce.org/publications-and-news/civil-engineering-source/society-news/article/2025/03/25/asce-report-card-gives-us-infrastructure-highest-ever-c-grade</w:t>
        </w:r>
      </w:hyperlink>
    </w:p>
    <w:p w14:paraId="5E7428D3" w14:textId="77777777" w:rsidR="00C046B1" w:rsidRPr="00C10A00" w:rsidRDefault="007451B4" w:rsidP="00C10A00">
      <w:pPr>
        <w:pStyle w:val="Compact"/>
        <w:numPr>
          <w:ilvl w:val="0"/>
          <w:numId w:val="37"/>
        </w:numPr>
        <w:spacing w:after="0"/>
        <w:ind w:hanging="357"/>
        <w:rPr>
          <w:sz w:val="16"/>
        </w:rPr>
      </w:pPr>
      <w:r w:rsidRPr="00C10A00">
        <w:rPr>
          <w:sz w:val="16"/>
        </w:rPr>
        <w:t>Bloomberg: “EU Faces €481 Billion Annual Shortfall on Strategic Investments,” 23 January 2024</w:t>
      </w:r>
      <w:r w:rsidR="00B366BE" w:rsidRPr="00C10A00">
        <w:rPr>
          <w:sz w:val="16"/>
        </w:rPr>
        <w:t xml:space="preserve"> </w:t>
      </w:r>
      <w:hyperlink r:id="rId74">
        <w:r w:rsidRPr="00C10A00">
          <w:rPr>
            <w:rStyle w:val="Hyperlink"/>
            <w:sz w:val="16"/>
          </w:rPr>
          <w:t>https://www.bloomberg.com/news/articles/2024-01-23/eu-faces-481-billion-annual-shortfall-on-strategic-investments</w:t>
        </w:r>
      </w:hyperlink>
    </w:p>
    <w:p w14:paraId="294EFDF2" w14:textId="77777777" w:rsidR="00C046B1" w:rsidRPr="00C10A00" w:rsidRDefault="007451B4" w:rsidP="00C10A00">
      <w:pPr>
        <w:pStyle w:val="Compact"/>
        <w:numPr>
          <w:ilvl w:val="0"/>
          <w:numId w:val="37"/>
        </w:numPr>
        <w:spacing w:after="0"/>
        <w:ind w:hanging="357"/>
        <w:rPr>
          <w:sz w:val="16"/>
        </w:rPr>
      </w:pPr>
      <w:r w:rsidRPr="00C10A00">
        <w:rPr>
          <w:sz w:val="16"/>
        </w:rPr>
        <w:t>Nikkei Asia: “Aging infrastructure a major roadblock to Japan’s future”</w:t>
      </w:r>
      <w:r w:rsidR="00B366BE" w:rsidRPr="00C10A00">
        <w:rPr>
          <w:sz w:val="16"/>
        </w:rPr>
        <w:t xml:space="preserve"> </w:t>
      </w:r>
      <w:hyperlink r:id="rId75">
        <w:r w:rsidRPr="00C10A00">
          <w:rPr>
            <w:rStyle w:val="Hyperlink"/>
            <w:sz w:val="16"/>
          </w:rPr>
          <w:t>https://asia.nikkei.com/spotlight/datawatch/aging-infrastructure-a-major-roadblock-to-japan-s-future</w:t>
        </w:r>
      </w:hyperlink>
    </w:p>
    <w:p w14:paraId="5670F7D7" w14:textId="77777777" w:rsidR="00C046B1" w:rsidRPr="00C10A00" w:rsidRDefault="007451B4" w:rsidP="00C10A00">
      <w:pPr>
        <w:pStyle w:val="Compact"/>
        <w:numPr>
          <w:ilvl w:val="0"/>
          <w:numId w:val="37"/>
        </w:numPr>
        <w:spacing w:after="0"/>
        <w:ind w:hanging="357"/>
        <w:rPr>
          <w:sz w:val="16"/>
        </w:rPr>
      </w:pPr>
      <w:r w:rsidRPr="00C10A00">
        <w:rPr>
          <w:sz w:val="16"/>
        </w:rPr>
        <w:t>South China Morning Post: “China-backed Nairobi Expressway opens in Kenya, paving way for more cautious financing model”</w:t>
      </w:r>
      <w:r w:rsidR="00B366BE" w:rsidRPr="00C10A00">
        <w:rPr>
          <w:sz w:val="16"/>
        </w:rPr>
        <w:t xml:space="preserve"> </w:t>
      </w:r>
      <w:hyperlink r:id="rId76">
        <w:r w:rsidRPr="00C10A00">
          <w:rPr>
            <w:rStyle w:val="Hyperlink"/>
            <w:sz w:val="16"/>
          </w:rPr>
          <w:t>https://www.scmp.com/news/china/diplomacy/article/3187354/china-backed-nairobi-expressway-opens-kenya-paving-way-more</w:t>
        </w:r>
      </w:hyperlink>
    </w:p>
    <w:p w14:paraId="46E0E585" w14:textId="77777777" w:rsidR="00C046B1" w:rsidRPr="00C10A00" w:rsidRDefault="007451B4" w:rsidP="00C10A00">
      <w:pPr>
        <w:pStyle w:val="Compact"/>
        <w:numPr>
          <w:ilvl w:val="0"/>
          <w:numId w:val="37"/>
        </w:numPr>
        <w:spacing w:after="0"/>
        <w:ind w:hanging="357"/>
        <w:rPr>
          <w:sz w:val="16"/>
        </w:rPr>
      </w:pPr>
      <w:r w:rsidRPr="00C10A00">
        <w:rPr>
          <w:sz w:val="16"/>
        </w:rPr>
        <w:t>World Bank Group: Annual Report 2025 — financial summary (FY2025 commitments; private capital mobilization)</w:t>
      </w:r>
      <w:r w:rsidR="00B366BE" w:rsidRPr="00C10A00">
        <w:rPr>
          <w:sz w:val="16"/>
        </w:rPr>
        <w:t xml:space="preserve"> </w:t>
      </w:r>
      <w:hyperlink r:id="rId77">
        <w:r w:rsidRPr="00C10A00">
          <w:rPr>
            <w:rStyle w:val="Hyperlink"/>
            <w:sz w:val="16"/>
          </w:rPr>
          <w:t>https://www.worldbank.org/en/about/annual-report/financial-summary</w:t>
        </w:r>
      </w:hyperlink>
    </w:p>
    <w:p w14:paraId="3CD2072B" w14:textId="77777777" w:rsidR="00C046B1" w:rsidRDefault="007451B4" w:rsidP="009066A4">
      <w:pPr>
        <w:pStyle w:val="Heading2"/>
      </w:pPr>
      <w:bookmarkStart w:id="102" w:name="_Toc240452347"/>
      <w:bookmarkStart w:id="103" w:name="trade-policies-and-tariffs"/>
      <w:bookmarkEnd w:id="95"/>
      <w:bookmarkEnd w:id="101"/>
      <w:r>
        <w:lastRenderedPageBreak/>
        <w:t>3.3. Trade Policies and Tariffs</w:t>
      </w:r>
      <w:bookmarkEnd w:id="102"/>
    </w:p>
    <w:p w14:paraId="6069CD04" w14:textId="77777777" w:rsidR="00C046B1" w:rsidRDefault="007451B4" w:rsidP="00C30EC8">
      <w:pPr>
        <w:pStyle w:val="Heading3"/>
      </w:pPr>
      <w:bookmarkStart w:id="104" w:name="goal-12"/>
      <w:r>
        <w:t>3.3.1. Goal</w:t>
      </w:r>
    </w:p>
    <w:p w14:paraId="55EB0ED5" w14:textId="77777777" w:rsidR="00C046B1" w:rsidRDefault="007451B4">
      <w:pPr>
        <w:pStyle w:val="BodyText"/>
      </w:pPr>
      <w:r>
        <w:t>Explain who bears the cost of a tariff and how tariffs and trade agreements pull an open economy in opposite directions.</w:t>
      </w:r>
    </w:p>
    <w:p w14:paraId="35A4EF4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5" w:name="reading-12"/>
      <w:bookmarkEnd w:id="104"/>
      <w:r>
        <w:t>3.3.2. Reading</w:t>
      </w:r>
    </w:p>
    <w:p w14:paraId="137D225C" w14:textId="77777777"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w:t>
      </w:r>
      <w:r w:rsidR="00152693" w:rsidRPr="00152693">
        <w:rPr>
          <w:vertAlign w:val="superscript"/>
        </w:rPr>
        <w:t>[1]</w:t>
      </w:r>
      <w:r>
        <w:t>.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w:t>
      </w:r>
      <w:r w:rsidR="00152693" w:rsidRPr="00152693">
        <w:rPr>
          <w:vertAlign w:val="superscript"/>
        </w:rPr>
        <w:t>[1]</w:t>
      </w:r>
      <w:r>
        <w:t>; another found foreign exporters absorbed close to half through lower prices</w:t>
      </w:r>
      <w:r w:rsidR="00152693" w:rsidRPr="00152693">
        <w:rPr>
          <w:vertAlign w:val="superscript"/>
        </w:rPr>
        <w:t>[2]</w:t>
      </w:r>
      <w:r>
        <w:t>. This share, called the pass-through, depends on how much pricing power the exporter has.</w:t>
      </w:r>
    </w:p>
    <w:p w14:paraId="429BDE8A" w14:textId="77777777"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w:t>
      </w:r>
      <w:r w:rsidR="00152693" w:rsidRPr="00152693">
        <w:rPr>
          <w:vertAlign w:val="superscript"/>
        </w:rPr>
        <w:t>[3]</w:t>
      </w:r>
      <w:r>
        <w:t>. In February 2026 the US Supreme Court ruled the emergency law behind many of these tariffs did not authorise them; the government replaced them the same day under a different law, and the average rate fell to about 7% by mid-2026</w:t>
      </w:r>
      <w:r w:rsidR="00152693" w:rsidRPr="00152693">
        <w:rPr>
          <w:vertAlign w:val="superscript"/>
        </w:rPr>
        <w:t>[4]</w:t>
      </w:r>
      <w:r>
        <w:t>.</w:t>
      </w:r>
    </w:p>
    <w:p w14:paraId="70B53A08" w14:textId="77777777" w:rsidR="00C046B1" w:rsidRDefault="007451B4">
      <w:pPr>
        <w:pStyle w:val="articlebodytext"/>
      </w:pPr>
      <w:r>
        <w:t>Countries facing these tariffs responded in two very different ways. Japan negotiated: under a July 2025 framework, most US tariffs on Japanese goods were set at 15%, down from a threatened 25%, with cars cut from 25% to 15%. In exchange, Japan pledged up to US$550 billion of investment in US industries such as semiconductors and energy by 2029</w:t>
      </w:r>
      <w:r w:rsidR="00152693" w:rsidRPr="00152693">
        <w:rPr>
          <w:vertAlign w:val="superscript"/>
        </w:rPr>
        <w:t>[5]</w:t>
      </w:r>
      <w:r>
        <w:t>.</w:t>
      </w:r>
    </w:p>
    <w:p w14:paraId="7380464E" w14:textId="77777777"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w:t>
      </w:r>
      <w:r w:rsidR="00152693" w:rsidRPr="00152693">
        <w:rPr>
          <w:vertAlign w:val="superscript"/>
        </w:rPr>
        <w:t>[6]</w:t>
      </w:r>
      <w:r>
        <w:t>. The same tool, a border tax on imports, was used in one case as a bargaining chip and in the other as a punishment.</w:t>
      </w:r>
    </w:p>
    <w:p w14:paraId="1B1612D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w:t>
      </w:r>
      <w:r w:rsidR="00152693" w:rsidRPr="00152693">
        <w:rPr>
          <w:vertAlign w:val="superscript"/>
        </w:rPr>
        <w:t>[5]</w:t>
      </w:r>
      <w:r>
        <w:t>.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w:t>
      </w:r>
      <w:r w:rsidR="00152693" w:rsidRPr="00152693">
        <w:rPr>
          <w:vertAlign w:val="superscript"/>
        </w:rPr>
        <w:t>[7]</w:t>
      </w:r>
      <w:r>
        <w:t>. None of the 2025 rates stayed fixed — levels moved repeatedly, and the US-China rate briefly rose above 100%</w:t>
      </w:r>
      <w:r w:rsidR="00152693" w:rsidRPr="00152693">
        <w:rPr>
          <w:vertAlign w:val="superscript"/>
        </w:rPr>
        <w:t>[3]</w:t>
      </w:r>
      <w:r>
        <w:t xml:space="preserve"> — and for an economy sending nearly a fifth of its exports to one market, that unpredictability is itself a cost.</w:t>
      </w:r>
    </w:p>
    <w:p w14:paraId="38DDFA0E" w14:textId="77777777" w:rsidR="00C046B1" w:rsidRDefault="007451B4" w:rsidP="00C30EC8">
      <w:pPr>
        <w:pStyle w:val="Heading3"/>
      </w:pPr>
      <w:bookmarkStart w:id="106" w:name="vocabulary-focus-12"/>
      <w:bookmarkEnd w:id="105"/>
      <w:r>
        <w:lastRenderedPageBreak/>
        <w:t>3.3.3. Vocabulary Focus</w:t>
      </w:r>
    </w:p>
    <w:p w14:paraId="36CEC227" w14:textId="77777777" w:rsidR="00C046B1" w:rsidRDefault="007451B4">
      <w:pPr>
        <w:pStyle w:val="FirstParagraph"/>
      </w:pPr>
      <w:r>
        <w:t>tariff, importer of record, pass-through, most-favoured-nation (MFN) tariff, free trade agreement, effective tariff rate</w:t>
      </w:r>
    </w:p>
    <w:p w14:paraId="34FB2E8E" w14:textId="77777777" w:rsidR="00C046B1" w:rsidRDefault="007451B4" w:rsidP="00C30EC8">
      <w:pPr>
        <w:pStyle w:val="Heading3"/>
      </w:pPr>
      <w:bookmarkStart w:id="107" w:name="reading-questions-12"/>
      <w:bookmarkEnd w:id="106"/>
      <w:r>
        <w:t>3.3.4. Reading Questions</w:t>
      </w:r>
    </w:p>
    <w:p w14:paraId="2335D601" w14:textId="77777777" w:rsidR="00C046B1" w:rsidRDefault="007451B4" w:rsidP="0080351A">
      <w:pPr>
        <w:pStyle w:val="Compact"/>
        <w:numPr>
          <w:ilvl w:val="0"/>
          <w:numId w:val="38"/>
        </w:numPr>
        <w:spacing w:after="80"/>
      </w:pPr>
      <w:r>
        <w:t>Who is legally responsible for paying a tariff, and why does the reading say the economic cost is “less clear”?</w:t>
      </w:r>
    </w:p>
    <w:p w14:paraId="635FA4BA" w14:textId="77777777" w:rsidR="00C046B1" w:rsidRDefault="007451B4" w:rsidP="0080351A">
      <w:pPr>
        <w:pStyle w:val="Compact"/>
        <w:numPr>
          <w:ilvl w:val="0"/>
          <w:numId w:val="38"/>
        </w:numPr>
        <w:spacing w:after="80"/>
      </w:pPr>
      <w:r>
        <w:t>By how much did the average US effective tariff rate change between January 2025 and the autumn of 2025?</w:t>
      </w:r>
    </w:p>
    <w:p w14:paraId="673F4E88" w14:textId="77777777" w:rsidR="00C046B1" w:rsidRDefault="007451B4" w:rsidP="0080351A">
      <w:pPr>
        <w:pStyle w:val="Compact"/>
        <w:numPr>
          <w:ilvl w:val="0"/>
          <w:numId w:val="38"/>
        </w:numPr>
        <w:spacing w:after="80"/>
      </w:pPr>
      <w:r>
        <w:t>What did Japan agree to give in exchange for lower US tariffs?</w:t>
      </w:r>
    </w:p>
    <w:p w14:paraId="02B4A4E1" w14:textId="77777777" w:rsidR="00C046B1" w:rsidRDefault="007451B4" w:rsidP="0080351A">
      <w:pPr>
        <w:pStyle w:val="Compact"/>
        <w:numPr>
          <w:ilvl w:val="0"/>
          <w:numId w:val="38"/>
        </w:numPr>
        <w:spacing w:after="80"/>
      </w:pPr>
      <w:r>
        <w:t>Why did the US place a combined 50% tariff on Indian goods?</w:t>
      </w:r>
    </w:p>
    <w:p w14:paraId="67260DAC" w14:textId="77777777" w:rsidR="00C046B1" w:rsidRDefault="007451B4" w:rsidP="0080351A">
      <w:pPr>
        <w:pStyle w:val="Compact"/>
        <w:numPr>
          <w:ilvl w:val="0"/>
          <w:numId w:val="38"/>
        </w:numPr>
        <w:spacing w:after="80"/>
      </w:pPr>
      <w:r>
        <w:t>What does the reading mean when it calls a free trade agreement “a standing promise to keep barriers low”?</w:t>
      </w:r>
    </w:p>
    <w:p w14:paraId="39E779B2" w14:textId="77777777" w:rsidR="00C046B1" w:rsidRDefault="007451B4" w:rsidP="00C30EC8">
      <w:pPr>
        <w:pStyle w:val="Heading3"/>
      </w:pPr>
      <w:bookmarkStart w:id="108" w:name="discussion-questions-12"/>
      <w:bookmarkEnd w:id="107"/>
      <w:r>
        <w:t>3.3.5. Discussion Questions</w:t>
      </w:r>
    </w:p>
    <w:p w14:paraId="003475F6" w14:textId="77777777" w:rsidR="00C046B1" w:rsidRDefault="007451B4" w:rsidP="0080351A">
      <w:pPr>
        <w:pStyle w:val="Compact"/>
        <w:numPr>
          <w:ilvl w:val="0"/>
          <w:numId w:val="39"/>
        </w:numPr>
        <w:spacing w:after="80"/>
      </w:pPr>
      <w:r>
        <w:t>The reading says a tariff’s cost is shared between exporter, importer and buyer. Who do you think ends up paying most in practice, and why?</w:t>
      </w:r>
    </w:p>
    <w:p w14:paraId="779E1F1A" w14:textId="77777777" w:rsidR="00C046B1" w:rsidRDefault="007451B4" w:rsidP="0080351A">
      <w:pPr>
        <w:pStyle w:val="Compact"/>
        <w:numPr>
          <w:ilvl w:val="0"/>
          <w:numId w:val="39"/>
        </w:numPr>
        <w:spacing w:after="80"/>
      </w:pPr>
      <w:r>
        <w:t>The same tariff tool was used against Japan as a bargaining chip and against India as a punishment. Is it reasonable for a country to use trade taxes this way? Explain.</w:t>
      </w:r>
    </w:p>
    <w:p w14:paraId="081C2641" w14:textId="77777777" w:rsidR="00C046B1" w:rsidRDefault="007451B4" w:rsidP="0080351A">
      <w:pPr>
        <w:pStyle w:val="Compact"/>
        <w:numPr>
          <w:ilvl w:val="0"/>
          <w:numId w:val="39"/>
        </w:numPr>
        <w:spacing w:after="80"/>
      </w:pPr>
      <w:r>
        <w:t>Japan sends nearly a fifth of its exports to the US. What are the risks of depending so heavily on one market, and what could Japan do to reduce them?</w:t>
      </w:r>
    </w:p>
    <w:p w14:paraId="3AF44C94" w14:textId="77777777" w:rsidR="00C046B1" w:rsidRDefault="007451B4" w:rsidP="0080351A">
      <w:pPr>
        <w:pStyle w:val="Compact"/>
        <w:numPr>
          <w:ilvl w:val="0"/>
          <w:numId w:val="39"/>
        </w:numPr>
        <w:spacing w:after="80"/>
      </w:pPr>
      <w:r>
        <w:t>Compare a tariff with a free trade agreement as ways of managing trade. Which serves a mid-sized exporting economy better?</w:t>
      </w:r>
    </w:p>
    <w:p w14:paraId="492A8FC0" w14:textId="77777777" w:rsidR="00C046B1" w:rsidRDefault="007451B4" w:rsidP="0080351A">
      <w:pPr>
        <w:pStyle w:val="Compact"/>
        <w:numPr>
          <w:ilvl w:val="0"/>
          <w:numId w:val="39"/>
        </w:numPr>
        <w:spacing w:after="80"/>
      </w:pPr>
      <w:r>
        <w:t>Advise a manufacturer that exports to the US on three ways to protect its business against sudden tariff changes.</w:t>
      </w:r>
    </w:p>
    <w:p w14:paraId="00D98542" w14:textId="77777777" w:rsidR="00C046B1" w:rsidRDefault="007451B4" w:rsidP="00C30EC8">
      <w:pPr>
        <w:pStyle w:val="Heading3"/>
      </w:pPr>
      <w:bookmarkStart w:id="109" w:name="source-notes-12"/>
      <w:bookmarkEnd w:id="108"/>
      <w:r>
        <w:t>3.3.6. Source Notes</w:t>
      </w:r>
    </w:p>
    <w:p w14:paraId="33D9D38C" w14:textId="77777777" w:rsidR="00C046B1" w:rsidRPr="00C10A00" w:rsidRDefault="007451B4" w:rsidP="00C10A00">
      <w:pPr>
        <w:pStyle w:val="Compact"/>
        <w:numPr>
          <w:ilvl w:val="0"/>
          <w:numId w:val="40"/>
        </w:numPr>
        <w:spacing w:after="0"/>
        <w:ind w:hanging="357"/>
        <w:rPr>
          <w:sz w:val="16"/>
        </w:rPr>
      </w:pPr>
      <w:r w:rsidRPr="00C10A00">
        <w:rPr>
          <w:sz w:val="16"/>
        </w:rPr>
        <w:t>Federal Reserve Bank of New York, Liberty Street Economics: “Who Is Paying for the 2025 U.S. Tariffs?” (February 2026)</w:t>
      </w:r>
      <w:r w:rsidR="00B366BE" w:rsidRPr="00C10A00">
        <w:rPr>
          <w:sz w:val="16"/>
        </w:rPr>
        <w:t xml:space="preserve"> </w:t>
      </w:r>
      <w:hyperlink r:id="rId78">
        <w:r w:rsidRPr="00C10A00">
          <w:rPr>
            <w:rStyle w:val="Hyperlink"/>
            <w:sz w:val="16"/>
          </w:rPr>
          <w:t>https://libertystreeteconomics.newyorkfed.org/2026/02/who-is-paying-for-the-2025-u-s-tariffs/</w:t>
        </w:r>
      </w:hyperlink>
    </w:p>
    <w:p w14:paraId="46957FE5" w14:textId="77777777" w:rsidR="00C046B1" w:rsidRPr="00C10A00" w:rsidRDefault="007451B4" w:rsidP="00C10A00">
      <w:pPr>
        <w:pStyle w:val="Compact"/>
        <w:numPr>
          <w:ilvl w:val="0"/>
          <w:numId w:val="40"/>
        </w:numPr>
        <w:spacing w:after="0"/>
        <w:ind w:hanging="357"/>
        <w:rPr>
          <w:sz w:val="16"/>
        </w:rPr>
      </w:pPr>
      <w:r w:rsidRPr="00C10A00">
        <w:rPr>
          <w:sz w:val="16"/>
        </w:rPr>
        <w:t>Caroline Freund, CEPR / VoxEU: “Foreign exporters absorbed nearly half of the 2025 US tariff shock” (2026; CEPR Discussion Paper 21798)</w:t>
      </w:r>
      <w:r w:rsidR="00B366BE" w:rsidRPr="00C10A00">
        <w:rPr>
          <w:sz w:val="16"/>
        </w:rPr>
        <w:t xml:space="preserve"> </w:t>
      </w:r>
      <w:hyperlink r:id="rId79">
        <w:r w:rsidRPr="00C10A00">
          <w:rPr>
            <w:rStyle w:val="Hyperlink"/>
            <w:sz w:val="16"/>
          </w:rPr>
          <w:t>https://cepr.org/voxeu/columns/foreign-exporters-absorbed-nearly-half-2025-us-tariff-shock</w:t>
        </w:r>
      </w:hyperlink>
    </w:p>
    <w:p w14:paraId="705857F5" w14:textId="77777777" w:rsidR="00C046B1" w:rsidRPr="00C10A00" w:rsidRDefault="007451B4" w:rsidP="00C10A00">
      <w:pPr>
        <w:pStyle w:val="Compact"/>
        <w:numPr>
          <w:ilvl w:val="0"/>
          <w:numId w:val="40"/>
        </w:numPr>
        <w:spacing w:after="0"/>
        <w:ind w:hanging="357"/>
        <w:rPr>
          <w:sz w:val="16"/>
        </w:rPr>
      </w:pPr>
      <w:r w:rsidRPr="00C10A00">
        <w:rPr>
          <w:sz w:val="16"/>
        </w:rPr>
        <w:t>Yale Budget Lab: “State of U.S. Tariffs” (October 17, 2025 edition)</w:t>
      </w:r>
      <w:r w:rsidR="00B366BE" w:rsidRPr="00C10A00">
        <w:rPr>
          <w:sz w:val="16"/>
        </w:rPr>
        <w:t xml:space="preserve"> </w:t>
      </w:r>
      <w:hyperlink r:id="rId80">
        <w:r w:rsidRPr="00C10A00">
          <w:rPr>
            <w:rStyle w:val="Hyperlink"/>
            <w:sz w:val="16"/>
          </w:rPr>
          <w:t>https://budgetlab.yale.edu/research/state-us-tariffs-october-17-2025</w:t>
        </w:r>
      </w:hyperlink>
    </w:p>
    <w:p w14:paraId="08333969" w14:textId="77777777" w:rsidR="00C046B1" w:rsidRPr="00C10A00" w:rsidRDefault="007451B4" w:rsidP="00C10A00">
      <w:pPr>
        <w:pStyle w:val="Compact"/>
        <w:numPr>
          <w:ilvl w:val="0"/>
          <w:numId w:val="40"/>
        </w:numPr>
        <w:spacing w:after="0"/>
        <w:ind w:hanging="357"/>
        <w:rPr>
          <w:sz w:val="16"/>
        </w:rPr>
      </w:pPr>
      <w:r w:rsidRPr="00C10A00">
        <w:rPr>
          <w:sz w:val="16"/>
        </w:rPr>
        <w:t>Congressional Research Service: “Supreme Court Rules Against Tariffs Imposed Under the International Emergency Economic Powers Act (IEEPA)” (LSB11398)</w:t>
      </w:r>
      <w:r w:rsidR="00B366BE" w:rsidRPr="00C10A00">
        <w:rPr>
          <w:sz w:val="16"/>
        </w:rPr>
        <w:t xml:space="preserve"> </w:t>
      </w:r>
      <w:hyperlink r:id="rId81">
        <w:r w:rsidRPr="00C10A00">
          <w:rPr>
            <w:rStyle w:val="Hyperlink"/>
            <w:sz w:val="16"/>
          </w:rPr>
          <w:t>https://www.congress.gov/crs-product/LSB11398</w:t>
        </w:r>
      </w:hyperlink>
    </w:p>
    <w:p w14:paraId="302E17BC" w14:textId="77777777" w:rsidR="00C046B1" w:rsidRPr="00C10A00" w:rsidRDefault="007451B4" w:rsidP="00C10A00">
      <w:pPr>
        <w:pStyle w:val="Compact"/>
        <w:numPr>
          <w:ilvl w:val="0"/>
          <w:numId w:val="40"/>
        </w:numPr>
        <w:spacing w:after="0"/>
        <w:ind w:hanging="357"/>
        <w:rPr>
          <w:sz w:val="16"/>
        </w:rPr>
      </w:pPr>
      <w:r w:rsidRPr="00C10A00">
        <w:rPr>
          <w:sz w:val="16"/>
        </w:rPr>
        <w:t>Congressional Research Service: “U.S. Tariffs and the 2025 U.S.-Japan Framework Agreement” (IN12608)</w:t>
      </w:r>
      <w:r w:rsidR="00B366BE" w:rsidRPr="00C10A00">
        <w:rPr>
          <w:sz w:val="16"/>
        </w:rPr>
        <w:t xml:space="preserve"> </w:t>
      </w:r>
      <w:hyperlink r:id="rId82">
        <w:r w:rsidRPr="00C10A00">
          <w:rPr>
            <w:rStyle w:val="Hyperlink"/>
            <w:sz w:val="16"/>
          </w:rPr>
          <w:t>https://www.congress.gov/crs-product/IN12608</w:t>
        </w:r>
      </w:hyperlink>
    </w:p>
    <w:p w14:paraId="73514FAD" w14:textId="77777777" w:rsidR="00C046B1" w:rsidRPr="00C10A00" w:rsidRDefault="007451B4" w:rsidP="00C10A00">
      <w:pPr>
        <w:pStyle w:val="Compact"/>
        <w:numPr>
          <w:ilvl w:val="0"/>
          <w:numId w:val="40"/>
        </w:numPr>
        <w:spacing w:after="0"/>
        <w:ind w:hanging="357"/>
        <w:rPr>
          <w:sz w:val="16"/>
        </w:rPr>
      </w:pPr>
      <w:r w:rsidRPr="00C10A00">
        <w:rPr>
          <w:sz w:val="16"/>
        </w:rPr>
        <w:t>Al Jazeera: “US raises India tariffs to 50 percent over Russian oil purchases,” 27 August 2025</w:t>
      </w:r>
      <w:r w:rsidR="00B366BE" w:rsidRPr="00C10A00">
        <w:rPr>
          <w:sz w:val="16"/>
        </w:rPr>
        <w:t xml:space="preserve"> </w:t>
      </w:r>
      <w:hyperlink r:id="rId83">
        <w:r w:rsidRPr="00C10A00">
          <w:rPr>
            <w:rStyle w:val="Hyperlink"/>
            <w:sz w:val="16"/>
          </w:rPr>
          <w:t>https://www.aljazeera.com/news/2025/8/27/us-imposes-50-percent-tariff-on-india-over-russian-oil-purchases</w:t>
        </w:r>
      </w:hyperlink>
    </w:p>
    <w:p w14:paraId="116A8B86" w14:textId="77777777" w:rsidR="00C046B1" w:rsidRPr="00C10A00" w:rsidRDefault="007451B4" w:rsidP="00C10A00">
      <w:pPr>
        <w:pStyle w:val="Compact"/>
        <w:numPr>
          <w:ilvl w:val="0"/>
          <w:numId w:val="40"/>
        </w:numPr>
        <w:spacing w:after="0"/>
        <w:ind w:hanging="357"/>
        <w:rPr>
          <w:sz w:val="16"/>
        </w:rPr>
      </w:pPr>
      <w:r w:rsidRPr="00C10A00">
        <w:rPr>
          <w:sz w:val="16"/>
        </w:rPr>
        <w:t>Japan Customs: “Outline of the Comprehensive and Progressive Agreement for Trans-Pacific Partnership (CPTPP) (FAQ)”</w:t>
      </w:r>
      <w:r w:rsidR="00B366BE" w:rsidRPr="00C10A00">
        <w:rPr>
          <w:sz w:val="16"/>
        </w:rPr>
        <w:t xml:space="preserve"> </w:t>
      </w:r>
      <w:hyperlink r:id="rId84">
        <w:r w:rsidRPr="00C10A00">
          <w:rPr>
            <w:rStyle w:val="Hyperlink"/>
            <w:sz w:val="16"/>
          </w:rPr>
          <w:t>https://www.customs.go.jp/english/c-answer_e/keizairenkei/4052_e.htm</w:t>
        </w:r>
      </w:hyperlink>
    </w:p>
    <w:p w14:paraId="3F7747E8" w14:textId="77777777" w:rsidR="00C046B1" w:rsidRDefault="007451B4" w:rsidP="009066A4">
      <w:pPr>
        <w:pStyle w:val="Heading2"/>
      </w:pPr>
      <w:bookmarkStart w:id="110" w:name="_Toc240452348"/>
      <w:bookmarkStart w:id="111" w:name="pension-reform"/>
      <w:bookmarkEnd w:id="103"/>
      <w:bookmarkEnd w:id="109"/>
      <w:r>
        <w:lastRenderedPageBreak/>
        <w:t>3.4. Pension Reform</w:t>
      </w:r>
      <w:bookmarkEnd w:id="110"/>
    </w:p>
    <w:p w14:paraId="5E0E59E9" w14:textId="77777777" w:rsidR="00C046B1" w:rsidRDefault="007451B4" w:rsidP="00C30EC8">
      <w:pPr>
        <w:pStyle w:val="Heading3"/>
      </w:pPr>
      <w:bookmarkStart w:id="112" w:name="goal-13"/>
      <w:r>
        <w:t>3.4.1. Goal</w:t>
      </w:r>
    </w:p>
    <w:p w14:paraId="679C162F" w14:textId="77777777" w:rsidR="00C046B1" w:rsidRDefault="007451B4">
      <w:pPr>
        <w:pStyle w:val="BodyText"/>
      </w:pPr>
      <w:r>
        <w:t>Explain why ageing populations force governments to change public pension systems, and compare the main levers they use.</w:t>
      </w:r>
    </w:p>
    <w:p w14:paraId="6A0C0168"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13" w:name="reading-13"/>
      <w:bookmarkEnd w:id="112"/>
      <w:r>
        <w:t>3.4.2. Reading</w:t>
      </w:r>
    </w:p>
    <w:p w14:paraId="699EE80B" w14:textId="77777777" w:rsidR="00C046B1" w:rsidRDefault="007451B4">
      <w:pPr>
        <w:pStyle w:val="articlebodytext"/>
      </w:pPr>
      <w:r>
        <w:t>In April 2023, after months of strikes, France passed a law raising its minimum retirement age from 62 to 64, phased in by year of birth</w:t>
      </w:r>
      <w:r w:rsidR="00152693" w:rsidRPr="00152693">
        <w:rPr>
          <w:vertAlign w:val="superscript"/>
        </w:rPr>
        <w:t>[1]</w:t>
      </w:r>
      <w:r>
        <w:t>. It was meant to be complete by 2030. Instead, in late 2025, under budget pressure and renewed protests, France’s parliament suspended the increase until after the 2027 election, freezing the minimum age at 62 years and 9 months</w:t>
      </w:r>
      <w:r w:rsidR="00152693" w:rsidRPr="00152693">
        <w:rPr>
          <w:vertAlign w:val="superscript"/>
        </w:rPr>
        <w:t>[1]</w:t>
      </w:r>
      <w:r>
        <w:t>. Even pausing a reform has a cost, and France’s stop-start attempt shows how hard this lever is to pull.</w:t>
      </w:r>
    </w:p>
    <w:p w14:paraId="1038D21B"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6EE0FCB2" w14:textId="77777777" w:rsidR="00C046B1" w:rsidRDefault="007451B4">
      <w:pPr>
        <w:pStyle w:val="articlebodytext"/>
      </w:pPr>
      <w:r>
        <w:t>The United States acted early and then stalled. In 1983 it raised the statutory full retirement age from 65 to 67, a change still phasing in today</w:t>
      </w:r>
      <w:r w:rsidR="00152693" w:rsidRPr="00152693">
        <w:rPr>
          <w:vertAlign w:val="superscript"/>
        </w:rPr>
        <w:t>[2]</w:t>
      </w:r>
      <w:r>
        <w:t>, and no major reform has followed. Its main retirement trust fund is now projected to run down in late 2032, after which payroll taxes would cover only about 78% of promised benefits unless Congress acts</w:t>
      </w:r>
      <w:r w:rsidR="00152693" w:rsidRPr="00152693">
        <w:rPr>
          <w:vertAlign w:val="superscript"/>
        </w:rPr>
        <w:t>[2]</w:t>
      </w:r>
      <w:r>
        <w:t>.</w:t>
      </w:r>
    </w:p>
    <w:p w14:paraId="484B1CEB" w14:textId="77777777" w:rsidR="00C046B1" w:rsidRDefault="007451B4">
      <w:pPr>
        <w:pStyle w:val="articlebodytext"/>
      </w:pPr>
      <w:r>
        <w:t>South Korea pulled a different lever. In March 2025 its National Assembly approved the first increase in the pension contribution rate in nearly three decades, raising it in yearly steps from 9% of wages toward 13% by 2033</w:t>
      </w:r>
      <w:r w:rsidR="00152693" w:rsidRPr="00152693">
        <w:rPr>
          <w:vertAlign w:val="superscript"/>
        </w:rPr>
        <w:t>[3]</w:t>
      </w:r>
      <w:r>
        <w:t>. Raising contribu</w:t>
      </w:r>
      <w:r>
        <w:t>tions spreads the cost onto today’s workers rather than delaying their retirement, but it is politically easier to pass than a higher pension age.</w:t>
      </w:r>
    </w:p>
    <w:p w14:paraId="04A13EB6" w14:textId="77777777" w:rsidR="00C046B1" w:rsidRDefault="007451B4">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w:t>
      </w:r>
      <w:r w:rsidR="00152693" w:rsidRPr="00152693">
        <w:rPr>
          <w:vertAlign w:val="superscript"/>
        </w:rPr>
        <w:t>[4]</w:t>
      </w:r>
      <w:r>
        <w:t>. Its most recent reform, in 2025, uses the fourth lever: widening coverage to draw an estimated 1.8 million more part-time workers into the system</w:t>
      </w:r>
      <w:r w:rsidR="00152693" w:rsidRPr="00152693">
        <w:rPr>
          <w:vertAlign w:val="superscript"/>
        </w:rPr>
        <w:t>[5]</w:t>
      </w:r>
      <w:r>
        <w:t>.</w:t>
      </w:r>
    </w:p>
    <w:p w14:paraId="38EF8F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w:t>
      </w:r>
      <w:r w:rsidR="00152693" w:rsidRPr="00152693">
        <w:rPr>
          <w:vertAlign w:val="superscript"/>
        </w:rPr>
        <w:t>[6]</w:t>
      </w:r>
      <w:r>
        <w:t>. The retirement age is the lever that matches that arithmetic most directly, and the one governments find hardest to hold in place, as France has just shown.</w:t>
      </w:r>
    </w:p>
    <w:p w14:paraId="5968C016" w14:textId="77777777" w:rsidR="00C046B1" w:rsidRDefault="007451B4" w:rsidP="00C30EC8">
      <w:pPr>
        <w:pStyle w:val="Heading3"/>
      </w:pPr>
      <w:bookmarkStart w:id="114" w:name="vocabulary-focus-13"/>
      <w:bookmarkEnd w:id="113"/>
      <w:r>
        <w:lastRenderedPageBreak/>
        <w:t>3.4.3. Vocabulary Focus</w:t>
      </w:r>
    </w:p>
    <w:p w14:paraId="229DE1B6" w14:textId="77777777" w:rsidR="00C046B1" w:rsidRDefault="007451B4">
      <w:pPr>
        <w:pStyle w:val="FirstParagraph"/>
      </w:pPr>
      <w:r>
        <w:t>pay-as-you-go (PAYG), statutory retirement age, contribution rate, replacement rate, old-age dependency ratio, automatic adjustment mechanism</w:t>
      </w:r>
    </w:p>
    <w:p w14:paraId="1DE8D52B" w14:textId="77777777" w:rsidR="00C046B1" w:rsidRDefault="007451B4" w:rsidP="00C30EC8">
      <w:pPr>
        <w:pStyle w:val="Heading3"/>
      </w:pPr>
      <w:bookmarkStart w:id="115" w:name="reading-questions-13"/>
      <w:bookmarkEnd w:id="114"/>
      <w:r>
        <w:t>3.4.4. Reading Questions</w:t>
      </w:r>
    </w:p>
    <w:p w14:paraId="08468221" w14:textId="77777777" w:rsidR="00C046B1" w:rsidRDefault="007451B4" w:rsidP="0080351A">
      <w:pPr>
        <w:pStyle w:val="Compact"/>
        <w:numPr>
          <w:ilvl w:val="0"/>
          <w:numId w:val="41"/>
        </w:numPr>
        <w:spacing w:after="80"/>
      </w:pPr>
      <w:r>
        <w:t>What did France do to its retirement age in 2023, and what happened to that change in 2025?</w:t>
      </w:r>
    </w:p>
    <w:p w14:paraId="13FAE59C" w14:textId="77777777" w:rsidR="00C046B1" w:rsidRDefault="007451B4" w:rsidP="0080351A">
      <w:pPr>
        <w:pStyle w:val="Compact"/>
        <w:numPr>
          <w:ilvl w:val="0"/>
          <w:numId w:val="41"/>
        </w:numPr>
        <w:spacing w:after="80"/>
      </w:pPr>
      <w:r>
        <w:t>What are the four levers governments can use when a pension system’s finances stop balancing?</w:t>
      </w:r>
    </w:p>
    <w:p w14:paraId="1B475F4D" w14:textId="77777777" w:rsidR="00C046B1" w:rsidRDefault="007451B4" w:rsidP="0080351A">
      <w:pPr>
        <w:pStyle w:val="Compact"/>
        <w:numPr>
          <w:ilvl w:val="0"/>
          <w:numId w:val="41"/>
        </w:numPr>
        <w:spacing w:after="80"/>
      </w:pPr>
      <w:r>
        <w:t>What is projected to happen to the main US retirement trust fund in late 2032?</w:t>
      </w:r>
    </w:p>
    <w:p w14:paraId="1C1FC758" w14:textId="77777777" w:rsidR="00C046B1" w:rsidRDefault="007451B4" w:rsidP="0080351A">
      <w:pPr>
        <w:pStyle w:val="Compact"/>
        <w:numPr>
          <w:ilvl w:val="0"/>
          <w:numId w:val="41"/>
        </w:numPr>
        <w:spacing w:after="80"/>
      </w:pPr>
      <w:r>
        <w:t>Why does the reading say raising contributions is “politically easier” than raising the pension age?</w:t>
      </w:r>
    </w:p>
    <w:p w14:paraId="0A2F418E" w14:textId="77777777" w:rsidR="00C046B1" w:rsidRDefault="007451B4" w:rsidP="0080351A">
      <w:pPr>
        <w:pStyle w:val="Compact"/>
        <w:numPr>
          <w:ilvl w:val="0"/>
          <w:numId w:val="41"/>
        </w:numPr>
        <w:spacing w:after="80"/>
      </w:pPr>
      <w:r>
        <w:t>What does Japan’s “macroeconomic slide” do?</w:t>
      </w:r>
    </w:p>
    <w:p w14:paraId="51F29C1B" w14:textId="77777777" w:rsidR="00C046B1" w:rsidRDefault="007451B4" w:rsidP="00C30EC8">
      <w:pPr>
        <w:pStyle w:val="Heading3"/>
      </w:pPr>
      <w:bookmarkStart w:id="116" w:name="discussion-questions-13"/>
      <w:bookmarkEnd w:id="115"/>
      <w:r>
        <w:t>3.4.5. Discussion Questions</w:t>
      </w:r>
    </w:p>
    <w:p w14:paraId="635BA880" w14:textId="77777777" w:rsidR="00C046B1" w:rsidRDefault="007451B4" w:rsidP="0080351A">
      <w:pPr>
        <w:pStyle w:val="Compact"/>
        <w:numPr>
          <w:ilvl w:val="0"/>
          <w:numId w:val="42"/>
        </w:numPr>
        <w:spacing w:after="80"/>
      </w:pPr>
      <w:r>
        <w:t>Of the four levers — higher retirement age, higher contributions, lower benefits, wider coverage — which is fairest for spreading the cost of an ageing population? Explain.</w:t>
      </w:r>
    </w:p>
    <w:p w14:paraId="4E5C1788" w14:textId="77777777" w:rsidR="00C046B1" w:rsidRDefault="007451B4" w:rsidP="0080351A">
      <w:pPr>
        <w:pStyle w:val="Compact"/>
        <w:numPr>
          <w:ilvl w:val="0"/>
          <w:numId w:val="42"/>
        </w:numPr>
        <w:spacing w:after="80"/>
      </w:pPr>
      <w:r>
        <w:t>France raised its retirement age and then suspended the rise within two years. What does this suggest about how pension reform should be planned and explained to the public?</w:t>
      </w:r>
    </w:p>
    <w:p w14:paraId="3DFF9EDD" w14:textId="77777777" w:rsidR="00C046B1" w:rsidRDefault="007451B4" w:rsidP="0080351A">
      <w:pPr>
        <w:pStyle w:val="Compact"/>
        <w:numPr>
          <w:ilvl w:val="0"/>
          <w:numId w:val="42"/>
        </w:numPr>
        <w:spacing w:after="80"/>
      </w:pPr>
      <w:r>
        <w:t>Japan uses an automatic mechanism that trims benefit growth without a new law each time. Is it a good idea to take these decisions out of politicians’ hands? Give reasons.</w:t>
      </w:r>
    </w:p>
    <w:p w14:paraId="127E51B0" w14:textId="77777777" w:rsidR="00C046B1" w:rsidRDefault="007451B4" w:rsidP="0080351A">
      <w:pPr>
        <w:pStyle w:val="Compact"/>
        <w:numPr>
          <w:ilvl w:val="0"/>
          <w:numId w:val="42"/>
        </w:numPr>
        <w:spacing w:after="80"/>
      </w:pPr>
      <w:r>
        <w:t>Compare the US approach (one large reform in 1983, little since) with Japan’s approach (continuous small adjustments). Which is better for a pension system’s stability?</w:t>
      </w:r>
    </w:p>
    <w:p w14:paraId="131098C5" w14:textId="77777777" w:rsidR="00C046B1" w:rsidRDefault="007451B4" w:rsidP="0080351A">
      <w:pPr>
        <w:pStyle w:val="Compact"/>
        <w:numPr>
          <w:ilvl w:val="0"/>
          <w:numId w:val="42"/>
        </w:numPr>
        <w:spacing w:after="80"/>
      </w:pPr>
      <w:r>
        <w:t>Advise a government whose pension fund is projected to run dry within ten years on a package of two or three measures it should take now, and say why.</w:t>
      </w:r>
    </w:p>
    <w:p w14:paraId="7EC16A25" w14:textId="77777777" w:rsidR="00C046B1" w:rsidRDefault="007451B4" w:rsidP="00C30EC8">
      <w:pPr>
        <w:pStyle w:val="Heading3"/>
      </w:pPr>
      <w:bookmarkStart w:id="117" w:name="source-notes-13"/>
      <w:bookmarkEnd w:id="116"/>
      <w:r>
        <w:t>3.4.6. Source Notes</w:t>
      </w:r>
    </w:p>
    <w:p w14:paraId="5D121091" w14:textId="77777777" w:rsidR="00C046B1" w:rsidRPr="00C10A00" w:rsidRDefault="007451B4" w:rsidP="00C10A00">
      <w:pPr>
        <w:pStyle w:val="Compact"/>
        <w:numPr>
          <w:ilvl w:val="0"/>
          <w:numId w:val="43"/>
        </w:numPr>
        <w:spacing w:after="0"/>
        <w:ind w:hanging="357"/>
        <w:rPr>
          <w:sz w:val="16"/>
        </w:rPr>
      </w:pPr>
      <w:r w:rsidRPr="00C10A00">
        <w:rPr>
          <w:sz w:val="16"/>
        </w:rPr>
        <w:t>U.S. Social Security Administration: “International Update,” June 2023 (France’s 2023 pension reform)</w:t>
      </w:r>
      <w:r w:rsidR="00B366BE" w:rsidRPr="00C10A00">
        <w:rPr>
          <w:sz w:val="16"/>
        </w:rPr>
        <w:t xml:space="preserve"> </w:t>
      </w:r>
      <w:hyperlink r:id="rId85">
        <w:r w:rsidRPr="00C10A00">
          <w:rPr>
            <w:rStyle w:val="Hyperlink"/>
            <w:sz w:val="16"/>
          </w:rPr>
          <w:t>https://www.ssa.gov/policy/docs/progdesc/intl_update/2023-06/index.html</w:t>
        </w:r>
      </w:hyperlink>
    </w:p>
    <w:p w14:paraId="19125FB9" w14:textId="77777777" w:rsidR="00C046B1" w:rsidRPr="00C10A00" w:rsidRDefault="007451B4" w:rsidP="00C10A00">
      <w:pPr>
        <w:pStyle w:val="Compact"/>
        <w:numPr>
          <w:ilvl w:val="0"/>
          <w:numId w:val="43"/>
        </w:numPr>
        <w:spacing w:after="0"/>
        <w:ind w:hanging="357"/>
        <w:rPr>
          <w:sz w:val="16"/>
        </w:rPr>
      </w:pPr>
      <w:r w:rsidRPr="00C10A00">
        <w:rPr>
          <w:sz w:val="16"/>
        </w:rPr>
        <w:t>U.S. Social Security Administration: press release on the 2026 Social Security Trustees Report, 9 June 2026</w:t>
      </w:r>
      <w:r w:rsidR="00B366BE" w:rsidRPr="00C10A00">
        <w:rPr>
          <w:sz w:val="16"/>
        </w:rPr>
        <w:t xml:space="preserve"> </w:t>
      </w:r>
      <w:hyperlink r:id="rId86">
        <w:r w:rsidRPr="00C10A00">
          <w:rPr>
            <w:rStyle w:val="Hyperlink"/>
            <w:sz w:val="16"/>
          </w:rPr>
          <w:t>https://www.ssa.gov/news/en/press/releases/2026-06-09.html</w:t>
        </w:r>
      </w:hyperlink>
    </w:p>
    <w:p w14:paraId="70EEF5E6" w14:textId="77777777" w:rsidR="00C046B1" w:rsidRPr="00C10A00" w:rsidRDefault="007451B4" w:rsidP="00C10A00">
      <w:pPr>
        <w:pStyle w:val="Compact"/>
        <w:numPr>
          <w:ilvl w:val="0"/>
          <w:numId w:val="43"/>
        </w:numPr>
        <w:spacing w:after="0"/>
        <w:ind w:hanging="357"/>
        <w:rPr>
          <w:sz w:val="16"/>
        </w:rPr>
      </w:pPr>
      <w:r w:rsidRPr="00C10A00">
        <w:rPr>
          <w:sz w:val="16"/>
        </w:rPr>
        <w:t>The Korea Herald: “Assembly passes bill for first hike in pension payments in 28 years,” 20 March 2025</w:t>
      </w:r>
      <w:r w:rsidR="00B366BE" w:rsidRPr="00C10A00">
        <w:rPr>
          <w:sz w:val="16"/>
        </w:rPr>
        <w:t xml:space="preserve"> </w:t>
      </w:r>
      <w:hyperlink r:id="rId87">
        <w:r w:rsidRPr="00C10A00">
          <w:rPr>
            <w:rStyle w:val="Hyperlink"/>
            <w:sz w:val="16"/>
          </w:rPr>
          <w:t>https://www.koreaherald.com/article/10446290</w:t>
        </w:r>
      </w:hyperlink>
    </w:p>
    <w:p w14:paraId="1A5C7384" w14:textId="77777777" w:rsidR="00C046B1" w:rsidRPr="00C10A00" w:rsidRDefault="007451B4" w:rsidP="00C10A00">
      <w:pPr>
        <w:pStyle w:val="Compact"/>
        <w:numPr>
          <w:ilvl w:val="0"/>
          <w:numId w:val="43"/>
        </w:numPr>
        <w:spacing w:after="0"/>
        <w:ind w:hanging="357"/>
        <w:rPr>
          <w:sz w:val="16"/>
        </w:rPr>
      </w:pPr>
      <w:r w:rsidRPr="00C10A00">
        <w:rPr>
          <w:sz w:val="16"/>
        </w:rPr>
        <w:t>The Japan Times: “Japan public pension benefit rate seen falling to 50% in fiscal 2057,” 3 July 2024</w:t>
      </w:r>
      <w:r w:rsidR="00B366BE" w:rsidRPr="00C10A00">
        <w:rPr>
          <w:sz w:val="16"/>
        </w:rPr>
        <w:t xml:space="preserve"> </w:t>
      </w:r>
      <w:hyperlink r:id="rId88">
        <w:r w:rsidRPr="00C10A00">
          <w:rPr>
            <w:rStyle w:val="Hyperlink"/>
            <w:sz w:val="16"/>
          </w:rPr>
          <w:t>https://www.japantimes.co.jp/news/2024/07/03/japan/society/pension-funds/</w:t>
        </w:r>
      </w:hyperlink>
    </w:p>
    <w:p w14:paraId="67C84546" w14:textId="77777777" w:rsidR="00C046B1" w:rsidRPr="00C10A00" w:rsidRDefault="007451B4" w:rsidP="00C10A00">
      <w:pPr>
        <w:pStyle w:val="Compact"/>
        <w:numPr>
          <w:ilvl w:val="0"/>
          <w:numId w:val="43"/>
        </w:numPr>
        <w:spacing w:after="0"/>
        <w:ind w:hanging="357"/>
        <w:rPr>
          <w:sz w:val="16"/>
        </w:rPr>
      </w:pPr>
      <w:r w:rsidRPr="00C10A00">
        <w:rPr>
          <w:sz w:val="16"/>
        </w:rPr>
        <w:t>Ministry of Health, Labour and Welfare, Japan: “Overview of the 2025 Pension System Reform Act” (English summary)</w:t>
      </w:r>
      <w:r w:rsidR="00B366BE" w:rsidRPr="00C10A00">
        <w:rPr>
          <w:sz w:val="16"/>
        </w:rPr>
        <w:t xml:space="preserve"> </w:t>
      </w:r>
      <w:hyperlink r:id="rId89">
        <w:r w:rsidRPr="00C10A00">
          <w:rPr>
            <w:rStyle w:val="Hyperlink"/>
            <w:sz w:val="16"/>
          </w:rPr>
          <w:t>https://www.mhlw.go.jp/english/policy/pension/pension/dl/act_250926a.pdf</w:t>
        </w:r>
      </w:hyperlink>
    </w:p>
    <w:p w14:paraId="091682B9" w14:textId="77777777" w:rsidR="00C046B1" w:rsidRPr="00C10A00" w:rsidRDefault="007451B4" w:rsidP="00C10A00">
      <w:pPr>
        <w:pStyle w:val="Compact"/>
        <w:numPr>
          <w:ilvl w:val="0"/>
          <w:numId w:val="43"/>
        </w:numPr>
        <w:spacing w:after="0"/>
        <w:ind w:hanging="357"/>
        <w:rPr>
          <w:sz w:val="16"/>
        </w:rPr>
      </w:pPr>
      <w:r w:rsidRPr="00C10A00">
        <w:rPr>
          <w:sz w:val="16"/>
        </w:rPr>
        <w:t>OECD: “Pensions at a Glance 2025” — demographic old-age to working-age ratio</w:t>
      </w:r>
      <w:r w:rsidR="00B366BE" w:rsidRPr="00C10A00">
        <w:rPr>
          <w:sz w:val="16"/>
        </w:rPr>
        <w:t xml:space="preserve"> </w:t>
      </w:r>
      <w:hyperlink r:id="rId90">
        <w:r w:rsidRPr="00C10A00">
          <w:rPr>
            <w:rStyle w:val="Hyperlink"/>
            <w:sz w:val="16"/>
          </w:rPr>
          <w:t>https://www.oecd.org/en/publications/2025/11/pensions-at-a-glance-2025_76510fe4/full-report/demographic-old-age-to-working-age-ratio_25476b96.html</w:t>
        </w:r>
      </w:hyperlink>
    </w:p>
    <w:p w14:paraId="3FA1A316" w14:textId="77777777" w:rsidR="00C046B1" w:rsidRDefault="007451B4" w:rsidP="009066A4">
      <w:pPr>
        <w:pStyle w:val="Heading2"/>
      </w:pPr>
      <w:bookmarkStart w:id="118" w:name="_Toc240452349"/>
      <w:bookmarkStart w:id="119" w:name="global-economic-recovery-post-covid"/>
      <w:bookmarkEnd w:id="111"/>
      <w:bookmarkEnd w:id="117"/>
      <w:r>
        <w:lastRenderedPageBreak/>
        <w:t>3.5. Global Economic Recovery Post-COVID</w:t>
      </w:r>
      <w:bookmarkEnd w:id="118"/>
    </w:p>
    <w:p w14:paraId="36FA5F74" w14:textId="77777777" w:rsidR="00C046B1" w:rsidRDefault="007451B4" w:rsidP="00C30EC8">
      <w:pPr>
        <w:pStyle w:val="Heading3"/>
      </w:pPr>
      <w:bookmarkStart w:id="120" w:name="goal-14"/>
      <w:r>
        <w:t>3.5.1. Goal</w:t>
      </w:r>
    </w:p>
    <w:p w14:paraId="3E2CC486" w14:textId="77777777" w:rsidR="00C046B1" w:rsidRDefault="007451B4">
      <w:pPr>
        <w:pStyle w:val="BodyText"/>
      </w:pPr>
      <w:r>
        <w:t>Use the 2020 pandemic downturn to show how governments respond to a global shock, and why recoveries from the same shock can diverge so sharply.</w:t>
      </w:r>
    </w:p>
    <w:p w14:paraId="567C2B49"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21" w:name="reading-14"/>
      <w:bookmarkEnd w:id="120"/>
      <w:r>
        <w:t>3.5.2. Reading</w:t>
      </w:r>
    </w:p>
    <w:p w14:paraId="74956ADB" w14:textId="77777777"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w:t>
      </w:r>
      <w:r w:rsidR="00152693" w:rsidRPr="00152693">
        <w:rPr>
          <w:vertAlign w:val="superscript"/>
        </w:rPr>
        <w:t>[1]</w:t>
      </w:r>
      <w:r>
        <w:t>. The fall was uneven from the start: the euro area shrank 6.8%, close to double the US decline, because lockdowns in parts of Europe were stricter and longer</w:t>
      </w:r>
      <w:r w:rsidR="00152693" w:rsidRPr="00152693">
        <w:rPr>
          <w:vertAlign w:val="superscript"/>
        </w:rPr>
        <w:t>[2]</w:t>
      </w:r>
      <w:r>
        <w:t>. What followed was not one recovery but several, at very different speeds.</w:t>
      </w:r>
    </w:p>
    <w:p w14:paraId="23313D82" w14:textId="77777777" w:rsidR="00C046B1" w:rsidRDefault="007451B4">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w:t>
      </w:r>
      <w:r w:rsidR="00152693" w:rsidRPr="00152693">
        <w:rPr>
          <w:vertAlign w:val="superscript"/>
        </w:rPr>
        <w:t>[3]</w:t>
      </w:r>
      <w:r>
        <w:t>. The shared principle was to spend whatever it took to stop a health emergency becoming a lasting depression, and in countries that could afford it, the feared collapse did not happen.</w:t>
      </w:r>
    </w:p>
    <w:p w14:paraId="33117813" w14:textId="77777777" w:rsidR="00C046B1" w:rsidRDefault="007451B4">
      <w:pPr>
        <w:pStyle w:val="articlebodytext"/>
      </w:pPr>
      <w:r>
        <w:t>The support was deeply unequal. Rich economies could borrow cheaply and spend heavily; poorer ones spent far less as a share of their economies. By the World Bank’s early-2026 assessment, roughly a quarter of developing economies were still poorer per person than in 2019, while almost every advanced econ</w:t>
      </w:r>
      <w:r>
        <w:t>omy had grown richer</w:t>
      </w:r>
      <w:r w:rsidR="00152693" w:rsidRPr="00152693">
        <w:rPr>
          <w:vertAlign w:val="superscript"/>
        </w:rPr>
        <w:t>[4]</w:t>
      </w:r>
      <w:r>
        <w:t>. Economists call this a K-shaped recovery, some parts rising while others keep falling, and the lost ground in the developing world is economic scarring — lasting damage a downturn leaves behind.</w:t>
      </w:r>
    </w:p>
    <w:p w14:paraId="40382E32" w14:textId="77777777" w:rsidR="00C046B1" w:rsidRDefault="007451B4">
      <w:pPr>
        <w:pStyle w:val="articlebodytext"/>
      </w:pPr>
      <w:r>
        <w:t>Even among wealthy countries the experience varied. The recovery brought a burst of inflation in 2022: US consumer prices rose 9.1% over a year, the fastest in four decades</w:t>
      </w:r>
      <w:r w:rsidR="00152693" w:rsidRPr="00152693">
        <w:rPr>
          <w:vertAlign w:val="superscript"/>
        </w:rPr>
        <w:t>[5]</w:t>
      </w:r>
      <w:r>
        <w:t>, and the euro area’s peak was higher still, above 10%. Japan’s core inflation peaked much lower, at 4.2% in January 2023</w:t>
      </w:r>
      <w:r w:rsidR="00152693" w:rsidRPr="00152693">
        <w:rPr>
          <w:vertAlign w:val="superscript"/>
        </w:rPr>
        <w:t>[6]</w:t>
      </w:r>
      <w:r>
        <w:t xml:space="preserve">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4650FDF8"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2C2BE9B6" w14:textId="77777777" w:rsidR="00C046B1" w:rsidRDefault="007451B4" w:rsidP="00C30EC8">
      <w:pPr>
        <w:pStyle w:val="Heading3"/>
      </w:pPr>
      <w:bookmarkStart w:id="122" w:name="vocabulary-focus-14"/>
      <w:bookmarkEnd w:id="121"/>
      <w:r>
        <w:lastRenderedPageBreak/>
        <w:t>3.5.3. Vocabulary Focus</w:t>
      </w:r>
    </w:p>
    <w:p w14:paraId="2BB1C40F" w14:textId="77777777" w:rsidR="00C046B1" w:rsidRDefault="007451B4">
      <w:pPr>
        <w:pStyle w:val="FirstParagraph"/>
      </w:pPr>
      <w:r>
        <w:t>fiscal stimulus, monetary easing, quantitative easing (QE), K-shaped recovery, scarring effect, output gap</w:t>
      </w:r>
    </w:p>
    <w:p w14:paraId="5DBB3E3A" w14:textId="77777777" w:rsidR="00C046B1" w:rsidRDefault="007451B4" w:rsidP="00C30EC8">
      <w:pPr>
        <w:pStyle w:val="Heading3"/>
      </w:pPr>
      <w:bookmarkStart w:id="123" w:name="reading-questions-14"/>
      <w:bookmarkEnd w:id="122"/>
      <w:r>
        <w:t>3.5.4. Reading Questions</w:t>
      </w:r>
    </w:p>
    <w:p w14:paraId="734F1B8C" w14:textId="77777777" w:rsidR="00C046B1" w:rsidRDefault="007451B4" w:rsidP="00963DA2">
      <w:pPr>
        <w:pStyle w:val="Compact"/>
        <w:numPr>
          <w:ilvl w:val="0"/>
          <w:numId w:val="44"/>
        </w:numPr>
        <w:spacing w:after="80"/>
      </w:pPr>
      <w:r>
        <w:t>How did the size of the 2020 downturn compare with the 2008 financial crisis, and how did the euro area’s fall compare with the United States’?</w:t>
      </w:r>
    </w:p>
    <w:p w14:paraId="3CE0B9F4" w14:textId="77777777" w:rsidR="00C046B1" w:rsidRDefault="007451B4" w:rsidP="00963DA2">
      <w:pPr>
        <w:pStyle w:val="Compact"/>
        <w:numPr>
          <w:ilvl w:val="0"/>
          <w:numId w:val="44"/>
        </w:numPr>
        <w:spacing w:after="80"/>
      </w:pPr>
      <w:r>
        <w:t>What was the shared principle behind the way governments and central banks responded in 2020?</w:t>
      </w:r>
    </w:p>
    <w:p w14:paraId="144A954B" w14:textId="77777777" w:rsidR="00C046B1" w:rsidRDefault="007451B4" w:rsidP="00963DA2">
      <w:pPr>
        <w:pStyle w:val="Compact"/>
        <w:numPr>
          <w:ilvl w:val="0"/>
          <w:numId w:val="44"/>
        </w:numPr>
        <w:spacing w:after="80"/>
      </w:pPr>
      <w:r>
        <w:t>Why did rich and poor countries end up with such different recoveries?</w:t>
      </w:r>
    </w:p>
    <w:p w14:paraId="0C4E14F2" w14:textId="77777777" w:rsidR="00C046B1" w:rsidRDefault="007451B4" w:rsidP="00963DA2">
      <w:pPr>
        <w:pStyle w:val="Compact"/>
        <w:numPr>
          <w:ilvl w:val="0"/>
          <w:numId w:val="44"/>
        </w:numPr>
        <w:spacing w:after="80"/>
      </w:pPr>
      <w:r>
        <w:t>How did Japan’s peak inflation compare with that of the United States and the euro area?</w:t>
      </w:r>
    </w:p>
    <w:p w14:paraId="2A865252" w14:textId="77777777" w:rsidR="00C046B1" w:rsidRDefault="007451B4" w:rsidP="00963DA2">
      <w:pPr>
        <w:pStyle w:val="Compact"/>
        <w:numPr>
          <w:ilvl w:val="0"/>
          <w:numId w:val="44"/>
        </w:numPr>
        <w:spacing w:after="80"/>
      </w:pPr>
      <w:r>
        <w:t>Why does the reading call the result “not one recovery but several”?</w:t>
      </w:r>
    </w:p>
    <w:p w14:paraId="7E10D56C" w14:textId="77777777" w:rsidR="00C046B1" w:rsidRDefault="007451B4" w:rsidP="00C30EC8">
      <w:pPr>
        <w:pStyle w:val="Heading3"/>
      </w:pPr>
      <w:bookmarkStart w:id="124" w:name="discussion-questions-14"/>
      <w:bookmarkEnd w:id="123"/>
      <w:r>
        <w:t>3.5.5. Discussion Questions</w:t>
      </w:r>
    </w:p>
    <w:p w14:paraId="66D894EE" w14:textId="77777777" w:rsidR="00C046B1" w:rsidRDefault="007451B4" w:rsidP="00963DA2">
      <w:pPr>
        <w:pStyle w:val="Compact"/>
        <w:numPr>
          <w:ilvl w:val="0"/>
          <w:numId w:val="45"/>
        </w:numPr>
        <w:spacing w:after="80"/>
      </w:pPr>
      <w:r>
        <w:t>The reading says spending “whatever it took” worked in countries that could afford it. Was that the right approach, given the higher debt it left behind? Explain.</w:t>
      </w:r>
    </w:p>
    <w:p w14:paraId="1DD662AD" w14:textId="77777777" w:rsidR="00C046B1" w:rsidRDefault="007451B4" w:rsidP="00963DA2">
      <w:pPr>
        <w:pStyle w:val="Compact"/>
        <w:numPr>
          <w:ilvl w:val="0"/>
          <w:numId w:val="45"/>
        </w:numPr>
        <w:spacing w:after="80"/>
      </w:pPr>
      <w:r>
        <w:t>A global shock produced very unequal recoveries. Whose responsibility, if anyone’s, is it to help the countries left behind?</w:t>
      </w:r>
    </w:p>
    <w:p w14:paraId="4494561F" w14:textId="77777777" w:rsidR="00C046B1" w:rsidRDefault="007451B4" w:rsidP="00963DA2">
      <w:pPr>
        <w:pStyle w:val="Compact"/>
        <w:numPr>
          <w:ilvl w:val="0"/>
          <w:numId w:val="45"/>
        </w:numPr>
        <w:spacing w:after="80"/>
      </w:pPr>
      <w:r>
        <w:t>Japan’s inflation rose much less than in the US or Europe, yet the reading says it still “felt sharp.” Why would a smaller price rise matter more in Japan than elsewhere?</w:t>
      </w:r>
    </w:p>
    <w:p w14:paraId="09B8C3D9" w14:textId="77777777" w:rsidR="00C046B1" w:rsidRDefault="007451B4" w:rsidP="00963DA2">
      <w:pPr>
        <w:pStyle w:val="Compact"/>
        <w:numPr>
          <w:ilvl w:val="0"/>
          <w:numId w:val="45"/>
        </w:numPr>
        <w:spacing w:after="80"/>
      </w:pPr>
      <w:r>
        <w:t>Compare a fast, large policy response with a slower, more cautious one. What are the risks of each when the next global downturn comes?</w:t>
      </w:r>
    </w:p>
    <w:p w14:paraId="103E147B" w14:textId="77777777" w:rsidR="00C046B1" w:rsidRDefault="007451B4" w:rsidP="00963DA2">
      <w:pPr>
        <w:pStyle w:val="Compact"/>
        <w:numPr>
          <w:ilvl w:val="0"/>
          <w:numId w:val="45"/>
        </w:numPr>
        <w:spacing w:after="80"/>
      </w:pPr>
      <w:r>
        <w:t>Design three lessons from the COVID recovery that governments should build into a plan for the next economic shock.</w:t>
      </w:r>
    </w:p>
    <w:p w14:paraId="38A47273" w14:textId="77777777" w:rsidR="00C046B1" w:rsidRDefault="007451B4" w:rsidP="00963DA2">
      <w:pPr>
        <w:pStyle w:val="Heading3"/>
        <w:spacing w:after="120"/>
      </w:pPr>
      <w:bookmarkStart w:id="125" w:name="source-notes-14"/>
      <w:bookmarkEnd w:id="124"/>
      <w:r>
        <w:t>3.5.6. Source Notes</w:t>
      </w:r>
    </w:p>
    <w:p w14:paraId="17C76F5C" w14:textId="77777777" w:rsidR="00C046B1" w:rsidRPr="00C10A00" w:rsidRDefault="007451B4" w:rsidP="00C10A00">
      <w:pPr>
        <w:pStyle w:val="Compact"/>
        <w:numPr>
          <w:ilvl w:val="0"/>
          <w:numId w:val="46"/>
        </w:numPr>
        <w:spacing w:after="0"/>
        <w:ind w:hanging="357"/>
        <w:rPr>
          <w:sz w:val="16"/>
        </w:rPr>
      </w:pPr>
      <w:r w:rsidRPr="00C10A00">
        <w:rPr>
          <w:sz w:val="16"/>
        </w:rPr>
        <w:t>International Monetary Fund: World Economic Outlook, April 2020 (“The Great Lockdown”)</w:t>
      </w:r>
      <w:r w:rsidR="00B366BE" w:rsidRPr="00C10A00">
        <w:rPr>
          <w:sz w:val="16"/>
        </w:rPr>
        <w:t xml:space="preserve"> </w:t>
      </w:r>
      <w:hyperlink r:id="rId91">
        <w:r w:rsidRPr="00C10A00">
          <w:rPr>
            <w:rStyle w:val="Hyperlink"/>
            <w:sz w:val="16"/>
          </w:rPr>
          <w:t>https://www.imf.org/en/publications/weo/issues/2020/04/14/weo-april-2020</w:t>
        </w:r>
      </w:hyperlink>
    </w:p>
    <w:p w14:paraId="5907DE22" w14:textId="77777777" w:rsidR="00C046B1" w:rsidRPr="00C10A00" w:rsidRDefault="007451B4" w:rsidP="00C10A00">
      <w:pPr>
        <w:pStyle w:val="Compact"/>
        <w:numPr>
          <w:ilvl w:val="0"/>
          <w:numId w:val="46"/>
        </w:numPr>
        <w:spacing w:after="0"/>
        <w:ind w:hanging="357"/>
        <w:rPr>
          <w:sz w:val="16"/>
        </w:rPr>
      </w:pPr>
      <w:r w:rsidRPr="00C10A00">
        <w:rPr>
          <w:sz w:val="16"/>
        </w:rPr>
        <w:t>Eurostat: “GDP down by 0.7% in the euro area and by 0.5% in the EU” (first estimate of 2020 annual growth, February 2021)</w:t>
      </w:r>
      <w:r w:rsidR="00B366BE" w:rsidRPr="00C10A00">
        <w:rPr>
          <w:sz w:val="16"/>
        </w:rPr>
        <w:t xml:space="preserve"> </w:t>
      </w:r>
      <w:hyperlink r:id="rId92">
        <w:r w:rsidRPr="00C10A00">
          <w:rPr>
            <w:rStyle w:val="Hyperlink"/>
            <w:sz w:val="16"/>
          </w:rPr>
          <w:t>https://ec.europa.eu/eurostat/documents/portlet_file_entry/2995521/2-02022021-AP-EN.pdf</w:t>
        </w:r>
      </w:hyperlink>
    </w:p>
    <w:p w14:paraId="1DE1A3A8" w14:textId="77777777" w:rsidR="00C046B1" w:rsidRPr="00C10A00" w:rsidRDefault="007451B4" w:rsidP="00C10A00">
      <w:pPr>
        <w:pStyle w:val="Compact"/>
        <w:numPr>
          <w:ilvl w:val="0"/>
          <w:numId w:val="46"/>
        </w:numPr>
        <w:spacing w:after="0"/>
        <w:ind w:hanging="357"/>
        <w:rPr>
          <w:sz w:val="16"/>
        </w:rPr>
      </w:pPr>
      <w:r w:rsidRPr="00C10A00">
        <w:rPr>
          <w:sz w:val="16"/>
        </w:rPr>
        <w:t>European Central Bank: “Pandemic emergency purchase programme (PEPP)”</w:t>
      </w:r>
      <w:r w:rsidR="00B366BE" w:rsidRPr="00C10A00">
        <w:rPr>
          <w:sz w:val="16"/>
        </w:rPr>
        <w:t xml:space="preserve"> </w:t>
      </w:r>
      <w:hyperlink r:id="rId93">
        <w:r w:rsidRPr="00C10A00">
          <w:rPr>
            <w:rStyle w:val="Hyperlink"/>
            <w:sz w:val="16"/>
          </w:rPr>
          <w:t>https://www.ecb.europa.eu/mopo/implement/pepp/html/index.en.html</w:t>
        </w:r>
      </w:hyperlink>
    </w:p>
    <w:p w14:paraId="74502DAF" w14:textId="77777777" w:rsidR="00C046B1" w:rsidRPr="00C10A00" w:rsidRDefault="007451B4" w:rsidP="00C10A00">
      <w:pPr>
        <w:pStyle w:val="Compact"/>
        <w:numPr>
          <w:ilvl w:val="0"/>
          <w:numId w:val="46"/>
        </w:numPr>
        <w:spacing w:after="0"/>
        <w:ind w:hanging="357"/>
        <w:rPr>
          <w:sz w:val="16"/>
        </w:rPr>
      </w:pPr>
      <w:r w:rsidRPr="00C10A00">
        <w:rPr>
          <w:sz w:val="16"/>
        </w:rPr>
        <w:t>World Bank: “Global Economic Prospects, January 2026” (press release)</w:t>
      </w:r>
      <w:r w:rsidR="00B366BE" w:rsidRPr="00C10A00">
        <w:rPr>
          <w:sz w:val="16"/>
        </w:rPr>
        <w:t xml:space="preserve"> </w:t>
      </w:r>
      <w:hyperlink r:id="rId94">
        <w:r w:rsidRPr="00C10A00">
          <w:rPr>
            <w:rStyle w:val="Hyperlink"/>
            <w:sz w:val="16"/>
          </w:rPr>
          <w:t>https://www.worldbank.org/en/news/press-release/2026/01/13/global-economic-prospects-january-2026-press-release</w:t>
        </w:r>
      </w:hyperlink>
    </w:p>
    <w:p w14:paraId="42F5819E" w14:textId="77777777" w:rsidR="00C046B1" w:rsidRPr="00C10A00" w:rsidRDefault="007451B4" w:rsidP="00C10A00">
      <w:pPr>
        <w:pStyle w:val="Compact"/>
        <w:numPr>
          <w:ilvl w:val="0"/>
          <w:numId w:val="46"/>
        </w:numPr>
        <w:spacing w:after="0"/>
        <w:ind w:hanging="357"/>
        <w:rPr>
          <w:sz w:val="16"/>
        </w:rPr>
      </w:pPr>
      <w:r w:rsidRPr="00C10A00">
        <w:rPr>
          <w:sz w:val="16"/>
        </w:rPr>
        <w:t>U.S. Bureau of Labor Statistics: “Consumer prices up 9.1 percent over the year ended June 2022, largest increase in 40 years”</w:t>
      </w:r>
      <w:r w:rsidR="00B366BE" w:rsidRPr="00C10A00">
        <w:rPr>
          <w:sz w:val="16"/>
        </w:rPr>
        <w:t xml:space="preserve"> </w:t>
      </w:r>
      <w:hyperlink r:id="rId95">
        <w:r w:rsidRPr="00C10A00">
          <w:rPr>
            <w:rStyle w:val="Hyperlink"/>
            <w:sz w:val="16"/>
          </w:rPr>
          <w:t>https://www.bls.gov/opub/ted/2022/consumer-prices-up-9-1-percent-over-the-year-ended-june-2022-largest-increase-in-40-years.htm</w:t>
        </w:r>
      </w:hyperlink>
    </w:p>
    <w:p w14:paraId="5F7A6BBB" w14:textId="77777777" w:rsidR="004F1690" w:rsidRDefault="007451B4" w:rsidP="0080351A">
      <w:pPr>
        <w:pStyle w:val="Compact"/>
        <w:numPr>
          <w:ilvl w:val="0"/>
          <w:numId w:val="46"/>
        </w:numPr>
        <w:spacing w:after="0"/>
        <w:ind w:hanging="357"/>
      </w:pPr>
      <w:r w:rsidRPr="00C10A00">
        <w:rPr>
          <w:sz w:val="16"/>
        </w:rPr>
        <w:t>The Japan Times: “Japan core consumer prices up 4.2% in January, fastest in over 41 years,” 24 February 2023</w:t>
      </w:r>
      <w:r w:rsidR="00B366BE" w:rsidRPr="00C10A00">
        <w:rPr>
          <w:sz w:val="16"/>
        </w:rPr>
        <w:t xml:space="preserve"> </w:t>
      </w:r>
      <w:hyperlink r:id="rId96">
        <w:r w:rsidRPr="00C10A00">
          <w:rPr>
            <w:rStyle w:val="Hyperlink"/>
            <w:sz w:val="16"/>
          </w:rPr>
          <w:t>https://www.japantimes.co.jp/news/2023/02/24/business/inflation-record-high/</w:t>
        </w:r>
      </w:hyperlink>
    </w:p>
    <w:p w14:paraId="7683BCE5" w14:textId="77777777" w:rsidR="004F1690" w:rsidRDefault="004F1690">
      <w:pPr>
        <w:rPr>
          <w:rFonts w:cs="Noto Sans Light"/>
          <w:color w:val="000000" w:themeColor="text1"/>
        </w:rPr>
      </w:pPr>
      <w:r>
        <w:br w:type="page"/>
      </w:r>
    </w:p>
    <w:p w14:paraId="36F2A6D6" w14:textId="77777777" w:rsidR="00C046B1" w:rsidRPr="0080351A" w:rsidRDefault="007451B4" w:rsidP="0080351A">
      <w:pPr>
        <w:pStyle w:val="Compact"/>
        <w:numPr>
          <w:ilvl w:val="0"/>
          <w:numId w:val="46"/>
        </w:numPr>
        <w:spacing w:after="0"/>
        <w:ind w:hanging="357"/>
        <w:rPr>
          <w:sz w:val="16"/>
        </w:rPr>
      </w:pPr>
      <w:r>
        <w:lastRenderedPageBreak/>
        <w:br w:type="page"/>
      </w:r>
    </w:p>
    <w:p w14:paraId="15F72D25" w14:textId="77777777" w:rsidR="00C046B1" w:rsidRPr="00C30EC8" w:rsidRDefault="007451B4" w:rsidP="00C30EC8">
      <w:pPr>
        <w:pStyle w:val="Heading1"/>
      </w:pPr>
      <w:bookmarkStart w:id="126" w:name="_Toc240452350"/>
      <w:bookmarkStart w:id="127" w:name="X6c135405831c81d03d6beb447d79a4529efb82c"/>
      <w:bookmarkEnd w:id="85"/>
      <w:bookmarkEnd w:id="119"/>
      <w:bookmarkEnd w:id="125"/>
      <w:r w:rsidRPr="00C30EC8">
        <w:rPr>
          <w:color w:val="FF9233"/>
        </w:rPr>
        <w:lastRenderedPageBreak/>
        <w:t>Part 4</w:t>
      </w:r>
      <w:r w:rsidR="00B366BE">
        <w:rPr>
          <w:color w:val="FF9233"/>
        </w:rPr>
        <w:br/>
      </w:r>
      <w:r w:rsidRPr="00C30EC8">
        <w:t>Finance, Fairness and Global Cooperation</w:t>
      </w:r>
      <w:bookmarkEnd w:id="126"/>
    </w:p>
    <w:p w14:paraId="468BB045" w14:textId="77777777" w:rsidR="00C046B1" w:rsidRDefault="007451B4" w:rsidP="00022497">
      <w:pPr>
        <w:pStyle w:val="BodyText"/>
        <w:jc w:val="both"/>
      </w:pPr>
      <w:r w:rsidRPr="00E77712">
        <w:rPr>
          <w:b/>
          <w:bCs/>
          <w:color w:val="124F1A" w:themeColor="accent3" w:themeShade="BF"/>
        </w:rPr>
        <w:t>Finance, Fairness and Global Cooperation</w:t>
      </w:r>
      <w:r w:rsidRPr="00E77712">
        <w:rPr>
          <w:color w:val="124F1A" w:themeColor="accent3" w:themeShade="BF"/>
        </w:rPr>
        <w:t xml:space="preserve"> </w:t>
      </w:r>
      <w:r>
        <w:t>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ordinary people have the knowledge to make sound financial decisions, or whether the system’s complexity itself is a source of disadvantage.</w:t>
      </w:r>
    </w:p>
    <w:p w14:paraId="77F61A02" w14:textId="77777777" w:rsidR="00C046B1" w:rsidRDefault="007451B4" w:rsidP="00022497">
      <w:pPr>
        <w:pStyle w:val="BodyText"/>
        <w:jc w:val="both"/>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Across all five topics, the resource ends where finance ultimately answers to something outside itself: not just markets, but law, ethics and international cooperation.</w:t>
      </w:r>
    </w:p>
    <w:p w14:paraId="3750C1DA" w14:textId="77777777" w:rsidR="00C046B1" w:rsidRDefault="007451B4" w:rsidP="009066A4">
      <w:pPr>
        <w:pStyle w:val="Heading2"/>
      </w:pPr>
      <w:bookmarkStart w:id="128" w:name="_Toc240452351"/>
      <w:bookmarkStart w:id="129" w:name="anti-money-laundering-aml-regulations"/>
      <w:r>
        <w:lastRenderedPageBreak/>
        <w:t>4.1. Anti-Money Laundering (AML) Regulations</w:t>
      </w:r>
      <w:bookmarkEnd w:id="128"/>
    </w:p>
    <w:p w14:paraId="30299D3D" w14:textId="77777777" w:rsidR="00C046B1" w:rsidRDefault="007451B4" w:rsidP="00C30EC8">
      <w:pPr>
        <w:pStyle w:val="Heading3"/>
      </w:pPr>
      <w:bookmarkStart w:id="130" w:name="goal-15"/>
      <w:r>
        <w:t>4.1.1. Goal</w:t>
      </w:r>
    </w:p>
    <w:p w14:paraId="47820D38" w14:textId="77777777" w:rsidR="00C046B1" w:rsidRDefault="007451B4">
      <w:pPr>
        <w:pStyle w:val="BodyText"/>
      </w:pPr>
      <w:r>
        <w:t>Explain how governments try to keep the proceeds of crime out of the financial system by making banks the front line of detection.</w:t>
      </w:r>
    </w:p>
    <w:p w14:paraId="6341F1F0"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1" w:name="reading-15"/>
      <w:bookmarkEnd w:id="130"/>
      <w:r>
        <w:t>4.1.2. Reading</w:t>
      </w:r>
    </w:p>
    <w:p w14:paraId="73EB60CC"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27ED5F6E" w14:textId="77777777"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w:t>
      </w:r>
      <w:r w:rsidR="00152693" w:rsidRPr="00152693">
        <w:rPr>
          <w:vertAlign w:val="superscript"/>
        </w:rPr>
        <w:t>[1]</w:t>
      </w:r>
      <w:r>
        <w:t>. Governments cannot watch every transaction themselves, so the law transfers the work to banks: identify each customer and the real person who controls a company, monitor for unusual activity, report what looks suspicious, and screen names against sanctions lists.</w:t>
      </w:r>
    </w:p>
    <w:p w14:paraId="5872D966" w14:textId="77777777" w:rsidR="00C046B1" w:rsidRDefault="007451B4">
      <w:pPr>
        <w:pStyle w:val="articlebodytext"/>
      </w:pPr>
      <w:r>
        <w:t>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w:t>
      </w:r>
      <w:r w:rsidR="00152693" w:rsidRPr="00152693">
        <w:rPr>
          <w:vertAlign w:val="superscript"/>
        </w:rPr>
        <w:t>[2]</w:t>
      </w:r>
      <w:r>
        <w:t xml:space="preserve">. A weak review raises the cost and friction of every cross-border payment a country’s banks make, which </w:t>
      </w:r>
      <w:r>
        <w:t>gives even reluctant governments a reason to comply.</w:t>
      </w:r>
    </w:p>
    <w:p w14:paraId="490B011C" w14:textId="77777777" w:rsidR="00C046B1" w:rsidRDefault="007451B4">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w:t>
      </w:r>
      <w:r w:rsidR="00152693" w:rsidRPr="00152693">
        <w:rPr>
          <w:vertAlign w:val="superscript"/>
        </w:rPr>
        <w:t>[3]</w:t>
      </w:r>
      <w:r>
        <w:t>.</w:t>
      </w:r>
    </w:p>
    <w:p w14:paraId="46366DF5"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w:t>
      </w:r>
      <w:r w:rsidR="00152693" w:rsidRPr="00152693">
        <w:rPr>
          <w:vertAlign w:val="superscript"/>
        </w:rPr>
        <w:t>[4]</w:t>
      </w:r>
      <w:r>
        <w:t>. In October 2024 TD Bank became the largest US bank ever to plead guilty to Bank Secrecy Act failures, paying around US$3 billion and accepting a legal cap on its US growth</w:t>
      </w:r>
      <w:r w:rsidR="00152693" w:rsidRPr="00152693">
        <w:rPr>
          <w:vertAlign w:val="superscript"/>
        </w:rPr>
        <w:t>[5]</w:t>
      </w:r>
      <w:r>
        <w:t>. After its own run of scandals, the European Union set up a central Anti-Money Laundering Authority in Frankfurt, which from 2028 will directly supervise around 40 of the highest-risk cross-border firms</w:t>
      </w:r>
      <w:r w:rsidR="00152693" w:rsidRPr="00152693">
        <w:rPr>
          <w:vertAlign w:val="superscript"/>
        </w:rPr>
        <w:t>[6]</w:t>
      </w:r>
      <w:r>
        <w:t>. Each scandal has been followed by a larger penalty or a new supervisor — an admission that the last line of defence was not enough.</w:t>
      </w:r>
    </w:p>
    <w:p w14:paraId="3125213A" w14:textId="77777777" w:rsidR="00C046B1" w:rsidRDefault="007451B4" w:rsidP="00C30EC8">
      <w:pPr>
        <w:pStyle w:val="Heading3"/>
      </w:pPr>
      <w:bookmarkStart w:id="132" w:name="vocabulary-focus-15"/>
      <w:bookmarkEnd w:id="131"/>
      <w:r>
        <w:lastRenderedPageBreak/>
        <w:t>4.1.3. Vocabulary Focus</w:t>
      </w:r>
    </w:p>
    <w:p w14:paraId="78788403" w14:textId="77777777" w:rsidR="00C046B1" w:rsidRDefault="007451B4">
      <w:pPr>
        <w:pStyle w:val="FirstParagraph"/>
      </w:pPr>
      <w:r>
        <w:t>money laundering; anti-money-laundering (AML); Financial Action Task Force (FATF); mutual evaluation; suspicious-transaction report; the “travel rule”</w:t>
      </w:r>
    </w:p>
    <w:p w14:paraId="426D4E0B" w14:textId="77777777" w:rsidR="00C046B1" w:rsidRDefault="007451B4" w:rsidP="00C30EC8">
      <w:pPr>
        <w:pStyle w:val="Heading3"/>
      </w:pPr>
      <w:bookmarkStart w:id="133" w:name="reading-questions-15"/>
      <w:bookmarkEnd w:id="132"/>
      <w:r>
        <w:t>4.1.4. Reading Questions</w:t>
      </w:r>
    </w:p>
    <w:p w14:paraId="7657C5A6" w14:textId="77777777" w:rsidR="00C046B1" w:rsidRDefault="007451B4" w:rsidP="0080351A">
      <w:pPr>
        <w:pStyle w:val="Compact"/>
        <w:numPr>
          <w:ilvl w:val="0"/>
          <w:numId w:val="47"/>
        </w:numPr>
        <w:spacing w:after="80"/>
      </w:pPr>
      <w:r>
        <w:t>What decision does the compliance analyst in the opening have to make?</w:t>
      </w:r>
    </w:p>
    <w:p w14:paraId="2046605A" w14:textId="77777777" w:rsidR="00C046B1" w:rsidRDefault="007451B4" w:rsidP="0080351A">
      <w:pPr>
        <w:pStyle w:val="Compact"/>
        <w:numPr>
          <w:ilvl w:val="0"/>
          <w:numId w:val="47"/>
        </w:numPr>
        <w:spacing w:after="80"/>
      </w:pPr>
      <w:r>
        <w:t>Why does the reading say the scale of money laundering is “only roughly measured”?</w:t>
      </w:r>
    </w:p>
    <w:p w14:paraId="46EB17AA" w14:textId="77777777" w:rsidR="00C046B1" w:rsidRDefault="007451B4" w:rsidP="0080351A">
      <w:pPr>
        <w:pStyle w:val="Compact"/>
        <w:numPr>
          <w:ilvl w:val="0"/>
          <w:numId w:val="47"/>
        </w:numPr>
        <w:spacing w:after="80"/>
      </w:pPr>
      <w:r>
        <w:t>What work does AML law transfer from governments to banks?</w:t>
      </w:r>
    </w:p>
    <w:p w14:paraId="43F7ACB9" w14:textId="77777777" w:rsidR="00C046B1" w:rsidRDefault="007451B4" w:rsidP="0080351A">
      <w:pPr>
        <w:pStyle w:val="Compact"/>
        <w:numPr>
          <w:ilvl w:val="0"/>
          <w:numId w:val="47"/>
        </w:numPr>
        <w:spacing w:after="80"/>
      </w:pPr>
      <w:r>
        <w:t>Why does a poor FATF review matter to a country’s banks, even though FATF cannot fine the country?</w:t>
      </w:r>
    </w:p>
    <w:p w14:paraId="0FAA187E" w14:textId="77777777" w:rsidR="00C046B1" w:rsidRDefault="007451B4" w:rsidP="0080351A">
      <w:pPr>
        <w:pStyle w:val="Compact"/>
        <w:numPr>
          <w:ilvl w:val="0"/>
          <w:numId w:val="47"/>
        </w:numPr>
        <w:spacing w:after="80"/>
      </w:pPr>
      <w:r>
        <w:t>What did the reading mean by “each scandal has been followed by a larger penalty or a new supervisor”?</w:t>
      </w:r>
    </w:p>
    <w:p w14:paraId="0B7A40BD" w14:textId="77777777" w:rsidR="00C046B1" w:rsidRDefault="007451B4" w:rsidP="00C30EC8">
      <w:pPr>
        <w:pStyle w:val="Heading3"/>
      </w:pPr>
      <w:bookmarkStart w:id="134" w:name="discussion-questions-15"/>
      <w:bookmarkEnd w:id="133"/>
      <w:r>
        <w:t>4.1.5. Discussion Questions</w:t>
      </w:r>
    </w:p>
    <w:p w14:paraId="6C125784" w14:textId="77777777" w:rsidR="00C046B1" w:rsidRDefault="007451B4" w:rsidP="0080351A">
      <w:pPr>
        <w:pStyle w:val="Compact"/>
        <w:numPr>
          <w:ilvl w:val="0"/>
          <w:numId w:val="48"/>
        </w:numPr>
        <w:spacing w:after="80"/>
      </w:pPr>
      <w:r>
        <w:t>AML rules make private banks do the detection work. Is that the right body to carry it, or should governments do more themselves? Give reasons.</w:t>
      </w:r>
    </w:p>
    <w:p w14:paraId="16B46063" w14:textId="77777777" w:rsidR="00C046B1" w:rsidRDefault="007451B4" w:rsidP="0080351A">
      <w:pPr>
        <w:pStyle w:val="Compact"/>
        <w:numPr>
          <w:ilvl w:val="0"/>
          <w:numId w:val="48"/>
        </w:numPr>
        <w:spacing w:after="80"/>
      </w:pPr>
      <w:r>
        <w:t>FATF has no power to fine a country, yet its reviews change behaviour. Why does that indirect pressure work?</w:t>
      </w:r>
    </w:p>
    <w:p w14:paraId="20E26C24" w14:textId="77777777" w:rsidR="00C046B1" w:rsidRDefault="007451B4" w:rsidP="0080351A">
      <w:pPr>
        <w:pStyle w:val="Compact"/>
        <w:numPr>
          <w:ilvl w:val="0"/>
          <w:numId w:val="48"/>
        </w:numPr>
        <w:spacing w:after="80"/>
      </w:pPr>
      <w:r>
        <w:t>Very large fines are meant to deter. Do you think a US$3 billion penalty changes how a bank behaves, or is it treated as a cost of doing business?</w:t>
      </w:r>
    </w:p>
    <w:p w14:paraId="295B6112" w14:textId="77777777" w:rsidR="00C046B1" w:rsidRDefault="007451B4" w:rsidP="0080351A">
      <w:pPr>
        <w:pStyle w:val="Compact"/>
        <w:numPr>
          <w:ilvl w:val="0"/>
          <w:numId w:val="48"/>
        </w:numPr>
        <w:spacing w:after="80"/>
      </w:pPr>
      <w:r>
        <w:t>Compare the FATF “grey list” and a record fine as tools for improving AML. Which would influence a bank more, and why?</w:t>
      </w:r>
    </w:p>
    <w:p w14:paraId="31A7A7A9" w14:textId="77777777" w:rsidR="00C046B1" w:rsidRDefault="007451B4" w:rsidP="0080351A">
      <w:pPr>
        <w:pStyle w:val="Compact"/>
        <w:numPr>
          <w:ilvl w:val="0"/>
          <w:numId w:val="48"/>
        </w:numPr>
        <w:spacing w:after="80"/>
      </w:pPr>
      <w:r>
        <w:t>You advise a mid-sized bank on where to spend a limited compliance budget: customer identity checks, transaction monitoring software, or sanctions screening. Rank the three and justify your order.</w:t>
      </w:r>
    </w:p>
    <w:p w14:paraId="07D7DA1C" w14:textId="77777777" w:rsidR="00C046B1" w:rsidRDefault="007451B4" w:rsidP="00C30EC8">
      <w:pPr>
        <w:pStyle w:val="Heading3"/>
      </w:pPr>
      <w:bookmarkStart w:id="135" w:name="source-notes-15"/>
      <w:bookmarkEnd w:id="134"/>
      <w:r>
        <w:t>4.1.6. Source Notes</w:t>
      </w:r>
    </w:p>
    <w:p w14:paraId="7ED7243B" w14:textId="77777777" w:rsidR="00C046B1" w:rsidRPr="00C10A00" w:rsidRDefault="007451B4" w:rsidP="00C10A00">
      <w:pPr>
        <w:pStyle w:val="Compact"/>
        <w:numPr>
          <w:ilvl w:val="0"/>
          <w:numId w:val="49"/>
        </w:numPr>
        <w:spacing w:after="0"/>
        <w:ind w:hanging="357"/>
        <w:rPr>
          <w:sz w:val="16"/>
        </w:rPr>
      </w:pPr>
      <w:r w:rsidRPr="00C10A00">
        <w:rPr>
          <w:sz w:val="16"/>
        </w:rPr>
        <w:t>United Nations Office on Drugs and Crime: “Money Laundering — Overview”</w:t>
      </w:r>
      <w:r w:rsidR="00B366BE" w:rsidRPr="00C10A00">
        <w:rPr>
          <w:sz w:val="16"/>
        </w:rPr>
        <w:t xml:space="preserve"> </w:t>
      </w:r>
      <w:hyperlink r:id="rId97">
        <w:r w:rsidRPr="00C10A00">
          <w:rPr>
            <w:rStyle w:val="Hyperlink"/>
            <w:sz w:val="16"/>
          </w:rPr>
          <w:t>https://www.unodc.org/unodc/en/money-laundering/overview.html</w:t>
        </w:r>
      </w:hyperlink>
    </w:p>
    <w:p w14:paraId="1E95F741" w14:textId="77777777" w:rsidR="00C046B1" w:rsidRPr="00C10A00" w:rsidRDefault="007451B4" w:rsidP="00C10A00">
      <w:pPr>
        <w:pStyle w:val="Compact"/>
        <w:numPr>
          <w:ilvl w:val="0"/>
          <w:numId w:val="49"/>
        </w:numPr>
        <w:spacing w:after="0"/>
        <w:ind w:hanging="357"/>
        <w:rPr>
          <w:sz w:val="16"/>
        </w:rPr>
      </w:pPr>
      <w:r w:rsidRPr="00C10A00">
        <w:rPr>
          <w:sz w:val="16"/>
        </w:rPr>
        <w:t>Financial Action Task Force: “History of the FATF”</w:t>
      </w:r>
      <w:r w:rsidR="00B366BE" w:rsidRPr="00C10A00">
        <w:rPr>
          <w:sz w:val="16"/>
        </w:rPr>
        <w:t xml:space="preserve"> </w:t>
      </w:r>
      <w:hyperlink r:id="rId98">
        <w:r w:rsidRPr="00C10A00">
          <w:rPr>
            <w:rStyle w:val="Hyperlink"/>
            <w:sz w:val="16"/>
          </w:rPr>
          <w:t>https://www.fatf-gafi.org/en/the-fatf/history-of-the-fatf.html</w:t>
        </w:r>
      </w:hyperlink>
    </w:p>
    <w:p w14:paraId="7A3B29FD" w14:textId="77777777" w:rsidR="00C046B1" w:rsidRPr="00C10A00" w:rsidRDefault="007451B4" w:rsidP="00C10A00">
      <w:pPr>
        <w:pStyle w:val="Compact"/>
        <w:numPr>
          <w:ilvl w:val="0"/>
          <w:numId w:val="49"/>
        </w:numPr>
        <w:spacing w:after="0"/>
        <w:ind w:hanging="357"/>
        <w:rPr>
          <w:sz w:val="16"/>
        </w:rPr>
      </w:pPr>
      <w:r w:rsidRPr="00C10A00">
        <w:rPr>
          <w:sz w:val="16"/>
        </w:rPr>
        <w:t>Japan Financial Services Agency: “JFSA’s initiatives in AML/CFT/CPF in response to FATF Fourth Round Mutual Evaluation Report” (21 December 2021)</w:t>
      </w:r>
      <w:r w:rsidR="00B366BE" w:rsidRPr="00C10A00">
        <w:rPr>
          <w:sz w:val="16"/>
        </w:rPr>
        <w:t xml:space="preserve"> </w:t>
      </w:r>
      <w:hyperlink r:id="rId99">
        <w:r w:rsidRPr="00C10A00">
          <w:rPr>
            <w:rStyle w:val="Hyperlink"/>
            <w:sz w:val="16"/>
          </w:rPr>
          <w:t>https://www.fsa.go.jp/en/news/2021/20211221/20211221.html</w:t>
        </w:r>
      </w:hyperlink>
    </w:p>
    <w:p w14:paraId="4AC6C3A6" w14:textId="77777777" w:rsidR="00C046B1" w:rsidRPr="00C10A00" w:rsidRDefault="007451B4" w:rsidP="00C10A00">
      <w:pPr>
        <w:pStyle w:val="Compact"/>
        <w:numPr>
          <w:ilvl w:val="0"/>
          <w:numId w:val="49"/>
        </w:numPr>
        <w:spacing w:after="0"/>
        <w:ind w:hanging="357"/>
        <w:rPr>
          <w:sz w:val="16"/>
        </w:rPr>
      </w:pPr>
      <w:r w:rsidRPr="00C10A00">
        <w:rPr>
          <w:sz w:val="16"/>
        </w:rPr>
        <w:t>U.S. Department of Justice: “Danske Bank Pleads Guilty to Fraud on U.S. Banks in Multi-Billion Dollar Scheme to Access the U.S. Financial System” (13 December 2022)</w:t>
      </w:r>
      <w:r w:rsidR="00B366BE" w:rsidRPr="00C10A00">
        <w:rPr>
          <w:sz w:val="16"/>
        </w:rPr>
        <w:t xml:space="preserve"> </w:t>
      </w:r>
      <w:hyperlink r:id="rId100">
        <w:r w:rsidRPr="00C10A00">
          <w:rPr>
            <w:rStyle w:val="Hyperlink"/>
            <w:sz w:val="16"/>
          </w:rPr>
          <w:t>https://www.justice.gov/archives/opa/pr/danske-bank-pleads-guilty-fraud-us-banks-multi-billion-dollar-scheme-access-us-financial</w:t>
        </w:r>
      </w:hyperlink>
    </w:p>
    <w:p w14:paraId="464C9125" w14:textId="77777777" w:rsidR="00C046B1" w:rsidRPr="00C10A00" w:rsidRDefault="007451B4" w:rsidP="00C10A00">
      <w:pPr>
        <w:pStyle w:val="Compact"/>
        <w:numPr>
          <w:ilvl w:val="0"/>
          <w:numId w:val="49"/>
        </w:numPr>
        <w:spacing w:after="0"/>
        <w:ind w:hanging="357"/>
        <w:rPr>
          <w:sz w:val="16"/>
        </w:rPr>
      </w:pPr>
      <w:r w:rsidRPr="00C10A00">
        <w:rPr>
          <w:sz w:val="16"/>
        </w:rPr>
        <w:t>U.S. Department of Justice: “TD Bank Pleads Guilty to Bank Secrecy Act and Money Laundering Conspiracy Violations in $1.8B Resolution” (10 October 2024)</w:t>
      </w:r>
      <w:r w:rsidR="00B366BE" w:rsidRPr="00C10A00">
        <w:rPr>
          <w:sz w:val="16"/>
        </w:rPr>
        <w:t xml:space="preserve"> </w:t>
      </w:r>
      <w:hyperlink r:id="rId101">
        <w:r w:rsidRPr="00C10A00">
          <w:rPr>
            <w:rStyle w:val="Hyperlink"/>
            <w:sz w:val="16"/>
          </w:rPr>
          <w:t>https://www.justice.gov/archives/opa/gallery/td-bank-pleads-guilty-bank-secrecy-act-and-money-laundering-conspiracy-violations-18b</w:t>
        </w:r>
      </w:hyperlink>
    </w:p>
    <w:p w14:paraId="02690A1E" w14:textId="77777777" w:rsidR="00C046B1" w:rsidRPr="00C10A00" w:rsidRDefault="007451B4" w:rsidP="00C10A00">
      <w:pPr>
        <w:pStyle w:val="Compact"/>
        <w:numPr>
          <w:ilvl w:val="0"/>
          <w:numId w:val="49"/>
        </w:numPr>
        <w:spacing w:after="0"/>
        <w:ind w:hanging="357"/>
        <w:rPr>
          <w:sz w:val="16"/>
        </w:rPr>
      </w:pPr>
      <w:r w:rsidRPr="00C10A00">
        <w:rPr>
          <w:sz w:val="16"/>
        </w:rPr>
        <w:t>Anti-Money Laundering Authority (EU): Single Programming Document 2026–2028</w:t>
      </w:r>
      <w:r w:rsidR="00B366BE" w:rsidRPr="00C10A00">
        <w:rPr>
          <w:sz w:val="16"/>
        </w:rPr>
        <w:t xml:space="preserve"> </w:t>
      </w:r>
      <w:hyperlink r:id="rId102">
        <w:r w:rsidRPr="00C10A00">
          <w:rPr>
            <w:rStyle w:val="Hyperlink"/>
            <w:sz w:val="16"/>
          </w:rPr>
          <w:t>https://www.amla.europa.eu/system/files/2026-02/AMLA%20SPD%202026-2028.pdf</w:t>
        </w:r>
      </w:hyperlink>
    </w:p>
    <w:p w14:paraId="12B5D3ED" w14:textId="77777777" w:rsidR="00C046B1" w:rsidRDefault="007451B4" w:rsidP="009066A4">
      <w:pPr>
        <w:pStyle w:val="Heading2"/>
      </w:pPr>
      <w:bookmarkStart w:id="136" w:name="_Toc240452352"/>
      <w:bookmarkStart w:id="137" w:name="financial-literacy-programs"/>
      <w:bookmarkEnd w:id="129"/>
      <w:bookmarkEnd w:id="135"/>
      <w:r>
        <w:lastRenderedPageBreak/>
        <w:t>4.2. Financial Literacy Programs</w:t>
      </w:r>
      <w:bookmarkEnd w:id="136"/>
    </w:p>
    <w:p w14:paraId="648FF953" w14:textId="77777777" w:rsidR="00C046B1" w:rsidRDefault="007451B4" w:rsidP="00C30EC8">
      <w:pPr>
        <w:pStyle w:val="Heading3"/>
      </w:pPr>
      <w:bookmarkStart w:id="138" w:name="goal-16"/>
      <w:r>
        <w:t>4.2.1. Goal</w:t>
      </w:r>
    </w:p>
    <w:p w14:paraId="025CC7E9" w14:textId="77777777" w:rsidR="00C046B1" w:rsidRDefault="007451B4">
      <w:pPr>
        <w:pStyle w:val="BodyText"/>
      </w:pPr>
      <w:r>
        <w:t>Weigh the evidence on whether organised financial-education programmes actually change how people manage money.</w:t>
      </w:r>
    </w:p>
    <w:p w14:paraId="3C6DF88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9" w:name="reading-16"/>
      <w:bookmarkEnd w:id="138"/>
      <w:r>
        <w:t>4.2.2. Reading</w:t>
      </w:r>
    </w:p>
    <w:p w14:paraId="61E5414B"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3306C5B2" w14:textId="77777777" w:rsidR="00C046B1" w:rsidRDefault="007451B4">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w:t>
      </w:r>
      <w:r w:rsidR="00152693" w:rsidRPr="00152693">
        <w:rPr>
          <w:vertAlign w:val="superscript"/>
        </w:rPr>
        <w:t>[1]</w:t>
      </w:r>
      <w:r>
        <w:t>.</w:t>
      </w:r>
    </w:p>
    <w:p w14:paraId="25DB0346" w14:textId="09B2584B"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w:t>
      </w:r>
      <w:r w:rsidR="007A0714" w:rsidRPr="007A0714">
        <w:rPr>
          <w:vertAlign w:val="superscript"/>
        </w:rPr>
        <w:t>[7]</w:t>
      </w:r>
      <w:r>
        <w:t>. That fed an argument that better default options and “just-in-time” guidance — help delivered exactly when a person faces a real decision — would beat classroom teaching.</w:t>
      </w:r>
    </w:p>
    <w:p w14:paraId="5E196474" w14:textId="77777777" w:rsidR="00C046B1" w:rsidRDefault="007451B4">
      <w:pPr>
        <w:pStyle w:val="articlebodytext"/>
      </w:pPr>
      <w:r>
        <w:t>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budgeting, saving and borrowing</w:t>
      </w:r>
      <w:r w:rsidR="00152693" w:rsidRPr="00152693">
        <w:rPr>
          <w:vertAlign w:val="superscript"/>
        </w:rPr>
        <w:t>[2]</w:t>
      </w:r>
      <w:r>
        <w:t xml:space="preserve">. The </w:t>
      </w:r>
      <w:r>
        <w:t>honest summary is not “it works” or “it does not,” but that well-designed programmes delivered near a real decision show measurable effects, while poorly designed or badly timed ones show little.</w:t>
      </w:r>
    </w:p>
    <w:p w14:paraId="0F2F8FAF" w14:textId="77777777"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w:t>
      </w:r>
      <w:r w:rsidR="00152693" w:rsidRPr="00152693">
        <w:rPr>
          <w:vertAlign w:val="superscript"/>
        </w:rPr>
        <w:t>[3]</w:t>
      </w:r>
      <w:r>
        <w:t>. Earlier state mandates are found to improve young adults’ credit scores and cut their use of high-cost borrowing</w:t>
      </w:r>
      <w:r w:rsidR="00152693" w:rsidRPr="00152693">
        <w:rPr>
          <w:vertAlign w:val="superscript"/>
        </w:rPr>
        <w:t>[4]</w:t>
      </w:r>
      <w:r>
        <w:t>. The United Kingdom took a different route: its Money and Pensions Service runs a ten-year national strategy, launched in 2020, coordinating banks, charities and schools rather than delivering the teaching itself</w:t>
      </w:r>
      <w:r w:rsidR="00152693" w:rsidRPr="00152693">
        <w:rPr>
          <w:vertAlign w:val="superscript"/>
        </w:rPr>
        <w:t>[5]</w:t>
      </w:r>
      <w:r>
        <w:t>.</w:t>
      </w:r>
    </w:p>
    <w:p w14:paraId="2EA7E260"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w:t>
      </w:r>
      <w:r w:rsidR="00152693" w:rsidRPr="00152693">
        <w:rPr>
          <w:vertAlign w:val="superscript"/>
        </w:rPr>
        <w:t>[6]</w:t>
      </w:r>
      <w:r>
        <w:t>. Its aim is to coordinate teaching as a form of consumer protection: education free of a seller’s incentive to push its own products. Whether a new agency and a school requirement change behaviour is exactly the open question the research leaves.</w:t>
      </w:r>
    </w:p>
    <w:p w14:paraId="79A44062" w14:textId="77777777" w:rsidR="00C046B1" w:rsidRDefault="007451B4" w:rsidP="00C30EC8">
      <w:pPr>
        <w:pStyle w:val="Heading3"/>
      </w:pPr>
      <w:bookmarkStart w:id="140" w:name="vocabulary-focus-16"/>
      <w:bookmarkEnd w:id="139"/>
      <w:r>
        <w:lastRenderedPageBreak/>
        <w:t>4.2.3. Vocabulary Focus</w:t>
      </w:r>
    </w:p>
    <w:p w14:paraId="2D46E2B1" w14:textId="77777777" w:rsidR="00C046B1" w:rsidRDefault="007451B4">
      <w:pPr>
        <w:pStyle w:val="FirstParagraph"/>
      </w:pPr>
      <w:r>
        <w:t>financial literacy; meta-analysis; randomised controlled trial (RCT); “just-in-time” education; national financial-education strategy; default option</w:t>
      </w:r>
    </w:p>
    <w:p w14:paraId="13737A25" w14:textId="77777777" w:rsidR="00C046B1" w:rsidRDefault="007451B4" w:rsidP="00C30EC8">
      <w:pPr>
        <w:pStyle w:val="Heading3"/>
      </w:pPr>
      <w:bookmarkStart w:id="141" w:name="reading-questions-16"/>
      <w:bookmarkEnd w:id="140"/>
      <w:r>
        <w:t>4.2.4. Reading Questions</w:t>
      </w:r>
    </w:p>
    <w:p w14:paraId="502188C0" w14:textId="77777777" w:rsidR="00C046B1" w:rsidRDefault="007451B4" w:rsidP="007451B4">
      <w:pPr>
        <w:pStyle w:val="Compact"/>
        <w:numPr>
          <w:ilvl w:val="0"/>
          <w:numId w:val="50"/>
        </w:numPr>
        <w:spacing w:after="80"/>
      </w:pPr>
      <w:r>
        <w:t>What did the 2014 review conclude about the effect of financial education?</w:t>
      </w:r>
    </w:p>
    <w:p w14:paraId="31880724" w14:textId="77777777" w:rsidR="00C046B1" w:rsidRDefault="007451B4" w:rsidP="007451B4">
      <w:pPr>
        <w:pStyle w:val="Compact"/>
        <w:numPr>
          <w:ilvl w:val="0"/>
          <w:numId w:val="50"/>
        </w:numPr>
        <w:spacing w:after="80"/>
      </w:pPr>
      <w:r>
        <w:t>How did the 2022 meta-analysis differ from the 2014 review in what it found?</w:t>
      </w:r>
    </w:p>
    <w:p w14:paraId="4A86BE4E" w14:textId="77777777" w:rsidR="00C046B1" w:rsidRDefault="007451B4" w:rsidP="007451B4">
      <w:pPr>
        <w:pStyle w:val="Compact"/>
        <w:numPr>
          <w:ilvl w:val="0"/>
          <w:numId w:val="50"/>
        </w:numPr>
        <w:spacing w:after="80"/>
      </w:pPr>
      <w:r>
        <w:t>What does the reading say separates programmes that show measurable effects from those that show little?</w:t>
      </w:r>
    </w:p>
    <w:p w14:paraId="2E3F8217" w14:textId="77777777" w:rsidR="00C046B1" w:rsidRDefault="007451B4" w:rsidP="007451B4">
      <w:pPr>
        <w:pStyle w:val="Compact"/>
        <w:numPr>
          <w:ilvl w:val="0"/>
          <w:numId w:val="50"/>
        </w:numPr>
        <w:spacing w:after="80"/>
      </w:pPr>
      <w:r>
        <w:t>How does the United States decide whether high-school students get a personal-finance course?</w:t>
      </w:r>
    </w:p>
    <w:p w14:paraId="556E7855" w14:textId="77777777" w:rsidR="00C046B1" w:rsidRDefault="007451B4" w:rsidP="007451B4">
      <w:pPr>
        <w:pStyle w:val="Compact"/>
        <w:numPr>
          <w:ilvl w:val="0"/>
          <w:numId w:val="50"/>
        </w:numPr>
        <w:spacing w:after="80"/>
      </w:pPr>
      <w:r>
        <w:t>What are the two concrete reasons Japan made financial education a priority?</w:t>
      </w:r>
    </w:p>
    <w:p w14:paraId="0A0B35C4" w14:textId="77777777" w:rsidR="00C046B1" w:rsidRDefault="007451B4" w:rsidP="00C30EC8">
      <w:pPr>
        <w:pStyle w:val="Heading3"/>
      </w:pPr>
      <w:bookmarkStart w:id="142" w:name="discussion-questions-16"/>
      <w:bookmarkEnd w:id="141"/>
      <w:r>
        <w:t>4.2.5. Discussion Questions</w:t>
      </w:r>
    </w:p>
    <w:p w14:paraId="6B1A4E5B" w14:textId="77777777" w:rsidR="00C046B1" w:rsidRDefault="007451B4" w:rsidP="007451B4">
      <w:pPr>
        <w:pStyle w:val="Compact"/>
        <w:numPr>
          <w:ilvl w:val="0"/>
          <w:numId w:val="51"/>
        </w:numPr>
        <w:spacing w:after="80"/>
      </w:pPr>
      <w:r>
        <w:t>The evidence on whether financial education “works” is genuinely mixed. Should governments keep funding it while the question is unsettled? Give reasons.</w:t>
      </w:r>
    </w:p>
    <w:p w14:paraId="6B3CF510" w14:textId="77777777" w:rsidR="00C046B1" w:rsidRDefault="007451B4" w:rsidP="007451B4">
      <w:pPr>
        <w:pStyle w:val="Compact"/>
        <w:numPr>
          <w:ilvl w:val="0"/>
          <w:numId w:val="51"/>
        </w:numPr>
        <w:spacing w:after="80"/>
      </w:pPr>
      <w:r>
        <w:t>Some argue that better default options and rules do more good than teaching. Do you agree? Use an example.</w:t>
      </w:r>
    </w:p>
    <w:p w14:paraId="1C925855" w14:textId="77777777" w:rsidR="00C046B1" w:rsidRDefault="007451B4" w:rsidP="007451B4">
      <w:pPr>
        <w:pStyle w:val="Compact"/>
        <w:numPr>
          <w:ilvl w:val="0"/>
          <w:numId w:val="51"/>
        </w:numPr>
        <w:spacing w:after="80"/>
      </w:pPr>
      <w:r>
        <w:t>The reading says education provided by a seller carries a conflict of interest. How serious is that problem, and how could it be avoided?</w:t>
      </w:r>
    </w:p>
    <w:p w14:paraId="35536F8C" w14:textId="77777777" w:rsidR="00C046B1" w:rsidRDefault="007451B4" w:rsidP="007451B4">
      <w:pPr>
        <w:pStyle w:val="Compact"/>
        <w:numPr>
          <w:ilvl w:val="0"/>
          <w:numId w:val="51"/>
        </w:numPr>
        <w:spacing w:after="80"/>
      </w:pPr>
      <w:r>
        <w:t>Compare the US state-mandate approach with the UK’s coordinated national strategy. Which looks more likely to change behaviour, and why?</w:t>
      </w:r>
    </w:p>
    <w:p w14:paraId="5CEB3050" w14:textId="77777777" w:rsidR="00C046B1" w:rsidRDefault="007451B4" w:rsidP="007451B4">
      <w:pPr>
        <w:pStyle w:val="Compact"/>
        <w:numPr>
          <w:ilvl w:val="0"/>
          <w:numId w:val="51"/>
        </w:numPr>
        <w:spacing w:after="80"/>
      </w:pPr>
      <w:r>
        <w:t>Design a short financial-education programme for 18-year-olds in their first year at university. Say what it would cover, when it would be delivered, and how you would test whether it worked.</w:t>
      </w:r>
    </w:p>
    <w:p w14:paraId="45A960D4" w14:textId="77777777" w:rsidR="00C046B1" w:rsidRDefault="007451B4" w:rsidP="00C30EC8">
      <w:pPr>
        <w:pStyle w:val="Heading3"/>
      </w:pPr>
      <w:bookmarkStart w:id="143" w:name="source-notes-16"/>
      <w:bookmarkEnd w:id="142"/>
      <w:r>
        <w:t>4.2.6. Source Notes</w:t>
      </w:r>
    </w:p>
    <w:p w14:paraId="0DF470D9" w14:textId="77777777" w:rsidR="00C046B1" w:rsidRPr="00C10A00" w:rsidRDefault="007451B4" w:rsidP="00C10A00">
      <w:pPr>
        <w:pStyle w:val="Compact"/>
        <w:numPr>
          <w:ilvl w:val="0"/>
          <w:numId w:val="52"/>
        </w:numPr>
        <w:spacing w:after="0"/>
        <w:ind w:hanging="357"/>
        <w:rPr>
          <w:sz w:val="16"/>
        </w:rPr>
      </w:pPr>
      <w:r w:rsidRPr="00C10A00">
        <w:rPr>
          <w:sz w:val="16"/>
        </w:rPr>
        <w:t>OECD: “OECD/INFE 2023 International Survey of Adult Financial Literacy”</w:t>
      </w:r>
      <w:r w:rsidR="00B366BE" w:rsidRPr="00C10A00">
        <w:rPr>
          <w:sz w:val="16"/>
        </w:rPr>
        <w:t xml:space="preserve"> </w:t>
      </w:r>
      <w:hyperlink r:id="rId103">
        <w:r w:rsidRPr="00C10A00">
          <w:rPr>
            <w:rStyle w:val="Hyperlink"/>
            <w:sz w:val="16"/>
          </w:rPr>
          <w:t>https://www.oecd.org/en/publications/oecd-infe-2023-international-survey-of-adult-financial-literacy_56003a32-en.html</w:t>
        </w:r>
      </w:hyperlink>
    </w:p>
    <w:p w14:paraId="7599E169" w14:textId="77777777" w:rsidR="00C046B1" w:rsidRPr="00C10A00" w:rsidRDefault="007451B4" w:rsidP="00C10A00">
      <w:pPr>
        <w:pStyle w:val="Compact"/>
        <w:numPr>
          <w:ilvl w:val="0"/>
          <w:numId w:val="52"/>
        </w:numPr>
        <w:spacing w:after="0"/>
        <w:ind w:hanging="357"/>
        <w:rPr>
          <w:sz w:val="16"/>
        </w:rPr>
      </w:pPr>
      <w:r w:rsidRPr="00C10A00">
        <w:rPr>
          <w:sz w:val="16"/>
        </w:rPr>
        <w:t>Kaiser, Lusardi, Menkhoff &amp; Urban: “Financial education affects financial knowledge and downstream behaviors,” Journal of Financial Economics 145(2) (2022)</w:t>
      </w:r>
      <w:r w:rsidR="00B366BE" w:rsidRPr="00C10A00">
        <w:rPr>
          <w:sz w:val="16"/>
        </w:rPr>
        <w:t xml:space="preserve"> </w:t>
      </w:r>
      <w:hyperlink r:id="rId104">
        <w:r w:rsidRPr="00C10A00">
          <w:rPr>
            <w:rStyle w:val="Hyperlink"/>
            <w:sz w:val="16"/>
          </w:rPr>
          <w:t>https://www.sciencedirect.com/science/article/abs/pii/S0304405X21004281</w:t>
        </w:r>
      </w:hyperlink>
    </w:p>
    <w:p w14:paraId="2B697C45" w14:textId="77777777" w:rsidR="00C046B1" w:rsidRPr="00C10A00" w:rsidRDefault="007451B4" w:rsidP="00C10A00">
      <w:pPr>
        <w:pStyle w:val="Compact"/>
        <w:numPr>
          <w:ilvl w:val="0"/>
          <w:numId w:val="52"/>
        </w:numPr>
        <w:spacing w:after="0"/>
        <w:ind w:hanging="357"/>
        <w:rPr>
          <w:sz w:val="16"/>
        </w:rPr>
      </w:pPr>
      <w:r w:rsidRPr="00C10A00">
        <w:rPr>
          <w:sz w:val="16"/>
        </w:rPr>
        <w:t>Next Gen Personal Finance: “State of Financial Education” report</w:t>
      </w:r>
      <w:r w:rsidR="00B366BE" w:rsidRPr="00C10A00">
        <w:rPr>
          <w:sz w:val="16"/>
        </w:rPr>
        <w:t xml:space="preserve"> </w:t>
      </w:r>
      <w:hyperlink r:id="rId105">
        <w:r w:rsidRPr="00C10A00">
          <w:rPr>
            <w:rStyle w:val="Hyperlink"/>
            <w:sz w:val="16"/>
          </w:rPr>
          <w:t>https://www.ngpf.org/state-of-financial-education-report</w:t>
        </w:r>
      </w:hyperlink>
    </w:p>
    <w:p w14:paraId="08D1381D" w14:textId="77777777" w:rsidR="00C046B1" w:rsidRPr="00C10A00" w:rsidRDefault="007451B4" w:rsidP="00C10A00">
      <w:pPr>
        <w:pStyle w:val="Compact"/>
        <w:numPr>
          <w:ilvl w:val="0"/>
          <w:numId w:val="52"/>
        </w:numPr>
        <w:spacing w:after="0"/>
        <w:ind w:hanging="357"/>
        <w:rPr>
          <w:sz w:val="16"/>
        </w:rPr>
      </w:pPr>
      <w:r w:rsidRPr="00C10A00">
        <w:rPr>
          <w:sz w:val="16"/>
        </w:rPr>
        <w:t>National Endowment for Financial Education: “Passing Legislation Is Just the Beginning: A 2024 Legislative Review of K-12 Financial Education Requirements”</w:t>
      </w:r>
      <w:r w:rsidR="00B366BE" w:rsidRPr="00C10A00">
        <w:rPr>
          <w:sz w:val="16"/>
        </w:rPr>
        <w:t xml:space="preserve"> </w:t>
      </w:r>
      <w:hyperlink r:id="rId106">
        <w:r w:rsidRPr="00C10A00">
          <w:rPr>
            <w:rStyle w:val="Hyperlink"/>
            <w:sz w:val="16"/>
          </w:rPr>
          <w:t>https://www.nefe.org/news/2024/08/2024-legislative-review.aspx</w:t>
        </w:r>
      </w:hyperlink>
    </w:p>
    <w:p w14:paraId="5D626A3A" w14:textId="77777777" w:rsidR="00C046B1" w:rsidRPr="00C10A00" w:rsidRDefault="007451B4" w:rsidP="00C10A00">
      <w:pPr>
        <w:pStyle w:val="Compact"/>
        <w:numPr>
          <w:ilvl w:val="0"/>
          <w:numId w:val="52"/>
        </w:numPr>
        <w:spacing w:after="0"/>
        <w:ind w:hanging="357"/>
        <w:rPr>
          <w:sz w:val="16"/>
        </w:rPr>
      </w:pPr>
      <w:r w:rsidRPr="00C10A00">
        <w:rPr>
          <w:sz w:val="16"/>
        </w:rPr>
        <w:t>Money and Pensions Service (UK): “UK Strategy for Financial Wellbeing”</w:t>
      </w:r>
      <w:r w:rsidR="00B366BE" w:rsidRPr="00C10A00">
        <w:rPr>
          <w:sz w:val="16"/>
        </w:rPr>
        <w:t xml:space="preserve"> </w:t>
      </w:r>
      <w:hyperlink r:id="rId107">
        <w:r w:rsidRPr="00C10A00">
          <w:rPr>
            <w:rStyle w:val="Hyperlink"/>
            <w:sz w:val="16"/>
          </w:rPr>
          <w:t>https://maps.org.uk/en/our-work/uk-strategy-for-financial-wellbeing</w:t>
        </w:r>
      </w:hyperlink>
    </w:p>
    <w:p w14:paraId="23922E08" w14:textId="77777777" w:rsidR="00C046B1" w:rsidRPr="00C10A00" w:rsidRDefault="007451B4" w:rsidP="00C10A00">
      <w:pPr>
        <w:pStyle w:val="Compact"/>
        <w:numPr>
          <w:ilvl w:val="0"/>
          <w:numId w:val="52"/>
        </w:numPr>
        <w:spacing w:after="0"/>
        <w:ind w:hanging="357"/>
        <w:rPr>
          <w:sz w:val="16"/>
        </w:rPr>
      </w:pPr>
      <w:r w:rsidRPr="00C10A00">
        <w:rPr>
          <w:sz w:val="16"/>
        </w:rPr>
        <w:t>Prime Minister’s Office of Japan: “Launching Ceremony of the Japan Financial Literacy and Education Corporation (J-FLEC)” (2 August 2024)</w:t>
      </w:r>
      <w:r w:rsidR="00B366BE" w:rsidRPr="00C10A00">
        <w:rPr>
          <w:sz w:val="16"/>
        </w:rPr>
        <w:t xml:space="preserve"> </w:t>
      </w:r>
      <w:hyperlink r:id="rId108">
        <w:r w:rsidRPr="00C10A00">
          <w:rPr>
            <w:rStyle w:val="Hyperlink"/>
            <w:sz w:val="16"/>
          </w:rPr>
          <w:t>https://japan.kantei.go.jp/101_kishida/actions/202408/02j-flec.html</w:t>
        </w:r>
      </w:hyperlink>
    </w:p>
    <w:p w14:paraId="5ADA29F9" w14:textId="77777777" w:rsidR="00C046B1" w:rsidRPr="00C10A00" w:rsidRDefault="007451B4" w:rsidP="00C10A00">
      <w:pPr>
        <w:pStyle w:val="Compact"/>
        <w:numPr>
          <w:ilvl w:val="0"/>
          <w:numId w:val="52"/>
        </w:numPr>
        <w:spacing w:after="0"/>
        <w:ind w:hanging="357"/>
        <w:rPr>
          <w:sz w:val="16"/>
        </w:rPr>
      </w:pPr>
      <w:r>
        <w:rPr>
          <w:sz w:val="16"/>
        </w:rPr>
        <w:t xml:space="preserve">Fernandes, D., Lynch, J.G., &amp; Netemeyer, R.G.: “Financial Literacy, Financial Education, and Downstream Financial Behaviors,” Management Science, 2014 </w:t>
      </w:r>
      <w:hyperlink r:id="rId109">
        <w:r>
          <w:rPr>
            <w:rStyle w:val="Hyperlink"/>
            <w:sz w:val="16"/>
          </w:rPr>
          <w:t>https://papers.ssrn.com/sol3/papers.cfm?abstract_id=2333898</w:t>
        </w:r>
      </w:hyperlink>
    </w:p>
    <w:p w14:paraId="39FC9F28" w14:textId="77777777" w:rsidR="00C046B1" w:rsidRDefault="007451B4" w:rsidP="009066A4">
      <w:pPr>
        <w:pStyle w:val="Heading2"/>
      </w:pPr>
      <w:bookmarkStart w:id="144" w:name="_Toc240452353"/>
      <w:bookmarkStart w:id="145" w:name="Xce4fe2c82a5aae0b0e5c24878e8c3567e0a1460"/>
      <w:bookmarkEnd w:id="137"/>
      <w:bookmarkEnd w:id="143"/>
      <w:r>
        <w:lastRenderedPageBreak/>
        <w:t>4.3. Wealth Inequality and Redistribution Policies</w:t>
      </w:r>
      <w:bookmarkEnd w:id="144"/>
    </w:p>
    <w:p w14:paraId="2B72887D" w14:textId="77777777" w:rsidR="00C046B1" w:rsidRDefault="007451B4" w:rsidP="00C30EC8">
      <w:pPr>
        <w:pStyle w:val="Heading3"/>
      </w:pPr>
      <w:bookmarkStart w:id="146" w:name="goal-17"/>
      <w:r>
        <w:t>4.3.1. Goal</w:t>
      </w:r>
    </w:p>
    <w:p w14:paraId="63EAFDC6" w14:textId="77777777" w:rsidR="00C046B1" w:rsidRDefault="007451B4">
      <w:pPr>
        <w:pStyle w:val="BodyText"/>
      </w:pPr>
      <w:r>
        <w:t>Explain how wealth inequality is measured and which redistribution tools actually move the numbers.</w:t>
      </w:r>
    </w:p>
    <w:p w14:paraId="4916710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47" w:name="reading-17"/>
      <w:bookmarkEnd w:id="146"/>
      <w:r>
        <w:t>4.3.2. Reading</w:t>
      </w:r>
    </w:p>
    <w:p w14:paraId="7CFA895B" w14:textId="77777777" w:rsidR="00C046B1" w:rsidRDefault="007451B4">
      <w:pPr>
        <w:pStyle w:val="articlebodytext"/>
      </w:pPr>
      <w:r>
        <w:t>The richest 10% of the world’s adults own about 76% of all household wealth. The poorest half own about 2%</w:t>
      </w:r>
      <w:r w:rsidR="00152693" w:rsidRPr="00152693">
        <w:rPr>
          <w:vertAlign w:val="superscript"/>
        </w:rPr>
        <w:t>[1]</w:t>
      </w:r>
      <w:r>
        <w:t>. The gap in what people own is far wider than the gap in what they earn, because wealth compounds over time and passes between generations, while a wage stops when the work does.</w:t>
      </w:r>
    </w:p>
    <w:p w14:paraId="32745F45" w14:textId="77777777" w:rsidR="00C046B1" w:rsidRDefault="007451B4">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w:t>
      </w:r>
      <w:r w:rsidR="00152693" w:rsidRPr="00152693">
        <w:rPr>
          <w:vertAlign w:val="superscript"/>
        </w:rPr>
        <w:t>[2]</w:t>
      </w:r>
      <w:r>
        <w:t>. Across the OECD, taxes and cash transfers narrow the income gap — by more in high-transfer systems such as France and the Nordic countries, and by less in the United States and South Korea.</w:t>
      </w:r>
    </w:p>
    <w:p w14:paraId="3577B39B" w14:textId="77777777" w:rsidR="00C046B1" w:rsidRDefault="007451B4">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w:t>
      </w:r>
      <w:r w:rsidR="00152693" w:rsidRPr="00152693">
        <w:rPr>
          <w:vertAlign w:val="superscript"/>
        </w:rPr>
        <w:t>[3]</w:t>
      </w:r>
      <w:r>
        <w:t>. The common reasons: the taxes raised little, were hard to value and enforce, and prompted wealthy residents to move assets abroad or leave.</w:t>
      </w:r>
    </w:p>
    <w:p w14:paraId="4C321D78" w14:textId="77777777" w:rsidR="00C046B1" w:rsidRDefault="007451B4">
      <w:pPr>
        <w:pStyle w:val="articlebodytext"/>
      </w:pPr>
      <w:r>
        <w:t xml:space="preserve">Japan shows that a tax system’s design matters more than its headline rates. Its </w:t>
      </w:r>
      <w:r>
        <w:t>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w:t>
      </w:r>
      <w:r w:rsidR="00152693" w:rsidRPr="00152693">
        <w:rPr>
          <w:vertAlign w:val="superscript"/>
        </w:rPr>
        <w:t>[4]</w:t>
      </w:r>
      <w:r>
        <w:t>.</w:t>
      </w:r>
    </w:p>
    <w:p w14:paraId="39A16E78"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w:t>
      </w:r>
      <w:r w:rsidR="00152693" w:rsidRPr="00152693">
        <w:rPr>
          <w:vertAlign w:val="superscript"/>
        </w:rPr>
        <w:t>[5]</w:t>
      </w:r>
      <w:r>
        <w:t>. In July 2024 G20 finance ministers issued a first joint statement on taxing the very wealthy, non-binding, with the US and Germany among the holdouts</w:t>
      </w:r>
      <w:r w:rsidR="00152693" w:rsidRPr="00152693">
        <w:rPr>
          <w:vertAlign w:val="superscript"/>
        </w:rPr>
        <w:t>[6]</w:t>
      </w:r>
      <w:r>
        <w:t>. Taxing wealth is less about rates than about which kinds of income and assets are taxed lightly — and the wealthiest hold exactly those.</w:t>
      </w:r>
    </w:p>
    <w:p w14:paraId="0117BE53" w14:textId="77777777" w:rsidR="00C046B1" w:rsidRDefault="007451B4" w:rsidP="00C30EC8">
      <w:pPr>
        <w:pStyle w:val="Heading3"/>
      </w:pPr>
      <w:bookmarkStart w:id="148" w:name="vocabulary-focus-17"/>
      <w:bookmarkEnd w:id="147"/>
      <w:r>
        <w:lastRenderedPageBreak/>
        <w:t>4.3.3. Vocabulary Focus</w:t>
      </w:r>
    </w:p>
    <w:p w14:paraId="06ED29A2" w14:textId="77777777" w:rsidR="00C046B1" w:rsidRDefault="007451B4">
      <w:pPr>
        <w:pStyle w:val="FirstParagraph"/>
      </w:pPr>
      <w:r>
        <w:t>wealth (net worth); Gini coefficient; progressive / regressive tax; transfer payment; net wealth tax; effective tax rate</w:t>
      </w:r>
    </w:p>
    <w:p w14:paraId="5362D729" w14:textId="77777777" w:rsidR="00C046B1" w:rsidRDefault="007451B4" w:rsidP="00C30EC8">
      <w:pPr>
        <w:pStyle w:val="Heading3"/>
      </w:pPr>
      <w:bookmarkStart w:id="149" w:name="reading-questions-17"/>
      <w:bookmarkEnd w:id="148"/>
      <w:r>
        <w:t>4.3.4. Reading Questions</w:t>
      </w:r>
    </w:p>
    <w:p w14:paraId="11E524CA" w14:textId="77777777" w:rsidR="00C046B1" w:rsidRDefault="007451B4" w:rsidP="007451B4">
      <w:pPr>
        <w:pStyle w:val="Compact"/>
        <w:numPr>
          <w:ilvl w:val="0"/>
          <w:numId w:val="53"/>
        </w:numPr>
      </w:pPr>
      <w:r>
        <w:t>Why is the gap in what people own wider than the gap in what they earn?</w:t>
      </w:r>
    </w:p>
    <w:p w14:paraId="1EC10FEF" w14:textId="77777777" w:rsidR="00C046B1" w:rsidRDefault="007451B4" w:rsidP="007451B4">
      <w:pPr>
        <w:pStyle w:val="Compact"/>
        <w:numPr>
          <w:ilvl w:val="0"/>
          <w:numId w:val="53"/>
        </w:numPr>
      </w:pPr>
      <w:r>
        <w:t>What does a Gini coefficient of 0 mean, and what does 1 mean?</w:t>
      </w:r>
    </w:p>
    <w:p w14:paraId="6F8D004A" w14:textId="77777777" w:rsidR="00C046B1" w:rsidRDefault="007451B4" w:rsidP="007451B4">
      <w:pPr>
        <w:pStyle w:val="Compact"/>
        <w:numPr>
          <w:ilvl w:val="0"/>
          <w:numId w:val="53"/>
        </w:numPr>
      </w:pPr>
      <w:r>
        <w:t>What happened to the number of OECD countries with an annual net wealth tax between 1990 and 2020, and why?</w:t>
      </w:r>
    </w:p>
    <w:p w14:paraId="0F510721" w14:textId="77777777" w:rsidR="00C046B1" w:rsidRDefault="007451B4" w:rsidP="007451B4">
      <w:pPr>
        <w:pStyle w:val="Compact"/>
        <w:numPr>
          <w:ilvl w:val="0"/>
          <w:numId w:val="53"/>
        </w:numPr>
      </w:pPr>
      <w:r>
        <w:t>Why can the average tax rate fall for Japan’s highest earners?</w:t>
      </w:r>
    </w:p>
    <w:p w14:paraId="328B345D" w14:textId="77777777" w:rsidR="00C046B1" w:rsidRDefault="007451B4" w:rsidP="007451B4">
      <w:pPr>
        <w:pStyle w:val="Compact"/>
        <w:numPr>
          <w:ilvl w:val="0"/>
          <w:numId w:val="53"/>
        </w:numPr>
        <w:spacing w:after="0"/>
      </w:pPr>
      <w:r>
        <w:t>What would the Zucman blueprint require of the world’s billionaires, and how much would it raise?</w:t>
      </w:r>
    </w:p>
    <w:p w14:paraId="2164902E" w14:textId="77777777" w:rsidR="00C046B1" w:rsidRDefault="007451B4" w:rsidP="00C30EC8">
      <w:pPr>
        <w:pStyle w:val="Heading3"/>
      </w:pPr>
      <w:bookmarkStart w:id="150" w:name="discussion-questions-17"/>
      <w:bookmarkEnd w:id="149"/>
      <w:r>
        <w:t>4.3.5. Discussion Questions</w:t>
      </w:r>
    </w:p>
    <w:p w14:paraId="29FBF7A0"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42577078" w14:textId="77777777" w:rsidR="00C046B1" w:rsidRDefault="007451B4" w:rsidP="007451B4">
      <w:pPr>
        <w:pStyle w:val="Compact"/>
        <w:numPr>
          <w:ilvl w:val="0"/>
          <w:numId w:val="54"/>
        </w:numPr>
      </w:pPr>
      <w:r>
        <w:t>The reading says tax design matters more than headline rates. Do you agree? Use the Japanese example.</w:t>
      </w:r>
    </w:p>
    <w:p w14:paraId="2F82800A"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3C76CE4F" w14:textId="77777777" w:rsidR="00C046B1" w:rsidRDefault="007451B4" w:rsidP="007451B4">
      <w:pPr>
        <w:pStyle w:val="Compact"/>
        <w:numPr>
          <w:ilvl w:val="0"/>
          <w:numId w:val="54"/>
        </w:numPr>
      </w:pPr>
      <w:r>
        <w:t>Compare taxing income and taxing wealth. Which is easier for a government to do well, and why?</w:t>
      </w:r>
    </w:p>
    <w:p w14:paraId="34D57BE6"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7CFF002A" w14:textId="77777777" w:rsidR="00C046B1" w:rsidRDefault="007451B4" w:rsidP="00C30EC8">
      <w:pPr>
        <w:pStyle w:val="Heading3"/>
      </w:pPr>
      <w:bookmarkStart w:id="151" w:name="source-notes-17"/>
      <w:bookmarkEnd w:id="150"/>
      <w:r>
        <w:t>4.3.6. Source Notes</w:t>
      </w:r>
    </w:p>
    <w:p w14:paraId="5DB654C0" w14:textId="77777777" w:rsidR="00C046B1" w:rsidRPr="00C10A00" w:rsidRDefault="007451B4" w:rsidP="00C10A00">
      <w:pPr>
        <w:pStyle w:val="Compact"/>
        <w:numPr>
          <w:ilvl w:val="0"/>
          <w:numId w:val="55"/>
        </w:numPr>
        <w:spacing w:after="0"/>
        <w:ind w:hanging="357"/>
        <w:rPr>
          <w:sz w:val="16"/>
        </w:rPr>
      </w:pPr>
      <w:r w:rsidRPr="00C10A00">
        <w:rPr>
          <w:sz w:val="16"/>
        </w:rPr>
        <w:t>World Inequality Lab: World Inequality Report 2022, executive summary</w:t>
      </w:r>
      <w:r w:rsidR="00B366BE" w:rsidRPr="00C10A00">
        <w:rPr>
          <w:sz w:val="16"/>
        </w:rPr>
        <w:t xml:space="preserve"> </w:t>
      </w:r>
      <w:hyperlink r:id="rId110">
        <w:r w:rsidRPr="00C10A00">
          <w:rPr>
            <w:rStyle w:val="Hyperlink"/>
            <w:sz w:val="16"/>
          </w:rPr>
          <w:t>https://wir2022.wid.world/executive-summary/</w:t>
        </w:r>
      </w:hyperlink>
    </w:p>
    <w:p w14:paraId="36DE2F94" w14:textId="77777777" w:rsidR="00C046B1" w:rsidRPr="00C10A00" w:rsidRDefault="007451B4" w:rsidP="00C10A00">
      <w:pPr>
        <w:pStyle w:val="Compact"/>
        <w:numPr>
          <w:ilvl w:val="0"/>
          <w:numId w:val="55"/>
        </w:numPr>
        <w:spacing w:after="0"/>
        <w:ind w:hanging="357"/>
        <w:rPr>
          <w:sz w:val="16"/>
        </w:rPr>
      </w:pPr>
      <w:r w:rsidRPr="00C10A00">
        <w:rPr>
          <w:sz w:val="16"/>
        </w:rPr>
        <w:t>Federal Reserve Bank of St. Louis: “The State of U.S. Household Wealth”</w:t>
      </w:r>
      <w:r w:rsidR="00B366BE" w:rsidRPr="00C10A00">
        <w:rPr>
          <w:sz w:val="16"/>
        </w:rPr>
        <w:t xml:space="preserve"> </w:t>
      </w:r>
      <w:hyperlink r:id="rId111">
        <w:r w:rsidRPr="00C10A00">
          <w:rPr>
            <w:rStyle w:val="Hyperlink"/>
            <w:sz w:val="16"/>
          </w:rPr>
          <w:t>https://www.stlouisfed.org/community-development/publications/the-state-of-us-household-wealth</w:t>
        </w:r>
      </w:hyperlink>
    </w:p>
    <w:p w14:paraId="04D414D7" w14:textId="77777777" w:rsidR="00C046B1" w:rsidRPr="00C10A00" w:rsidRDefault="007451B4" w:rsidP="00C10A00">
      <w:pPr>
        <w:pStyle w:val="Compact"/>
        <w:numPr>
          <w:ilvl w:val="0"/>
          <w:numId w:val="55"/>
        </w:numPr>
        <w:spacing w:after="0"/>
        <w:ind w:hanging="357"/>
        <w:rPr>
          <w:sz w:val="16"/>
        </w:rPr>
      </w:pPr>
      <w:r w:rsidRPr="00C10A00">
        <w:rPr>
          <w:sz w:val="16"/>
        </w:rPr>
        <w:t>OECD: “The Role and Design of Net Wealth Taxes in the OECD” (Tax Policy Studies, 2018)</w:t>
      </w:r>
      <w:r w:rsidR="00B366BE" w:rsidRPr="00C10A00">
        <w:rPr>
          <w:sz w:val="16"/>
        </w:rPr>
        <w:t xml:space="preserve"> </w:t>
      </w:r>
      <w:hyperlink r:id="rId112">
        <w:r w:rsidRPr="00C10A00">
          <w:rPr>
            <w:rStyle w:val="Hyperlink"/>
            <w:sz w:val="16"/>
          </w:rPr>
          <w:t>https://www.oecd.org/en/publications/the-role-and-design-of-net-wealth-taxes-in-the-oecd_9789264290303-en.html</w:t>
        </w:r>
      </w:hyperlink>
    </w:p>
    <w:p w14:paraId="573027F0" w14:textId="77777777" w:rsidR="00C046B1" w:rsidRPr="00C10A00" w:rsidRDefault="007451B4" w:rsidP="00C10A00">
      <w:pPr>
        <w:pStyle w:val="Compact"/>
        <w:numPr>
          <w:ilvl w:val="0"/>
          <w:numId w:val="55"/>
        </w:numPr>
        <w:spacing w:after="0"/>
        <w:ind w:hanging="357"/>
        <w:rPr>
          <w:sz w:val="16"/>
        </w:rPr>
      </w:pPr>
      <w:r w:rsidRPr="00C10A00">
        <w:rPr>
          <w:sz w:val="16"/>
        </w:rPr>
        <w:t>Daiwa Institute of Research: “Minimum Tax of 22.5% on Top-Income Earners Introduced” (Japan)</w:t>
      </w:r>
      <w:r w:rsidR="00B366BE" w:rsidRPr="00C10A00">
        <w:rPr>
          <w:sz w:val="16"/>
        </w:rPr>
        <w:t xml:space="preserve"> </w:t>
      </w:r>
      <w:hyperlink r:id="rId113">
        <w:r w:rsidRPr="00C10A00">
          <w:rPr>
            <w:rStyle w:val="Hyperlink"/>
            <w:sz w:val="16"/>
          </w:rPr>
          <w:t>https://www.dir.co.jp/english/research/report/law-research/20230113_023550.html</w:t>
        </w:r>
      </w:hyperlink>
    </w:p>
    <w:p w14:paraId="6D7905FD" w14:textId="77777777" w:rsidR="00C046B1" w:rsidRPr="00C10A00" w:rsidRDefault="007451B4" w:rsidP="00C10A00">
      <w:pPr>
        <w:pStyle w:val="Compact"/>
        <w:numPr>
          <w:ilvl w:val="0"/>
          <w:numId w:val="55"/>
        </w:numPr>
        <w:spacing w:after="0"/>
        <w:ind w:hanging="357"/>
        <w:rPr>
          <w:sz w:val="16"/>
        </w:rPr>
      </w:pPr>
      <w:r w:rsidRPr="00C10A00">
        <w:rPr>
          <w:sz w:val="16"/>
        </w:rPr>
        <w:t>Gabriel Zucman: “A blueprint for a coordinated minimum effective taxation standard for ultra-high-net-worth individuals” (G20, 2024)</w:t>
      </w:r>
      <w:r w:rsidR="00B366BE" w:rsidRPr="00C10A00">
        <w:rPr>
          <w:sz w:val="16"/>
        </w:rPr>
        <w:t xml:space="preserve"> </w:t>
      </w:r>
      <w:hyperlink r:id="rId114">
        <w:r w:rsidRPr="00C10A00">
          <w:rPr>
            <w:rStyle w:val="Hyperlink"/>
            <w:sz w:val="16"/>
          </w:rPr>
          <w:t>https://gabriel-zucman.eu/files/report-g20.pdf</w:t>
        </w:r>
      </w:hyperlink>
    </w:p>
    <w:p w14:paraId="56E7B903" w14:textId="77777777" w:rsidR="00C046B1" w:rsidRPr="00C10A00" w:rsidRDefault="007451B4" w:rsidP="00C10A00">
      <w:pPr>
        <w:pStyle w:val="Compact"/>
        <w:numPr>
          <w:ilvl w:val="0"/>
          <w:numId w:val="55"/>
        </w:numPr>
        <w:spacing w:after="0"/>
        <w:ind w:hanging="357"/>
        <w:rPr>
          <w:sz w:val="16"/>
        </w:rPr>
      </w:pPr>
      <w:r w:rsidRPr="00C10A00">
        <w:rPr>
          <w:sz w:val="16"/>
        </w:rPr>
        <w:t>NPR: “At the G20, a billionaire tax is being proposed. But is it feasible?” (4 August 2024)</w:t>
      </w:r>
      <w:r w:rsidR="00B366BE" w:rsidRPr="00C10A00">
        <w:rPr>
          <w:sz w:val="16"/>
        </w:rPr>
        <w:t xml:space="preserve"> </w:t>
      </w:r>
      <w:hyperlink r:id="rId115">
        <w:r w:rsidRPr="00C10A00">
          <w:rPr>
            <w:rStyle w:val="Hyperlink"/>
            <w:sz w:val="16"/>
          </w:rPr>
          <w:t>https://www.npr.org/2024/08/04/nx-s1-5060344/at-the-g20-a-billionaire-tax-is-being-proposed-but-is-it-feasible</w:t>
        </w:r>
      </w:hyperlink>
    </w:p>
    <w:p w14:paraId="12B19CE8" w14:textId="77777777" w:rsidR="00C046B1" w:rsidRDefault="007451B4" w:rsidP="009066A4">
      <w:pPr>
        <w:pStyle w:val="Heading2"/>
      </w:pPr>
      <w:bookmarkStart w:id="152" w:name="_Toc240452354"/>
      <w:bookmarkStart w:id="153" w:name="corporate-governance-and-accountability"/>
      <w:bookmarkEnd w:id="145"/>
      <w:bookmarkEnd w:id="151"/>
      <w:r>
        <w:lastRenderedPageBreak/>
        <w:t>4.4. Corporate Governance and Accountability</w:t>
      </w:r>
      <w:bookmarkEnd w:id="152"/>
    </w:p>
    <w:p w14:paraId="42DD2A93" w14:textId="77777777" w:rsidR="00C046B1" w:rsidRDefault="007451B4" w:rsidP="00C30EC8">
      <w:pPr>
        <w:pStyle w:val="Heading3"/>
      </w:pPr>
      <w:bookmarkStart w:id="154" w:name="goal-18"/>
      <w:r>
        <w:t>4.4.1. Goal</w:t>
      </w:r>
    </w:p>
    <w:p w14:paraId="39B72F61" w14:textId="77777777" w:rsidR="00C046B1" w:rsidRDefault="007451B4">
      <w:pPr>
        <w:pStyle w:val="BodyText"/>
      </w:pPr>
      <w:r>
        <w:t>Trace how corporate-governance rules developed — mostly after scandals — and explain the chain of accountability they try to enforce.</w:t>
      </w:r>
    </w:p>
    <w:p w14:paraId="43A17E3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5" w:name="reading-18"/>
      <w:bookmarkEnd w:id="154"/>
      <w:r>
        <w:t>4.4.2. Reading</w:t>
      </w:r>
    </w:p>
    <w:p w14:paraId="257500D8" w14:textId="77777777" w:rsidR="00C046B1" w:rsidRDefault="00DC68B9">
      <w:pPr>
        <w:pStyle w:val="articlebodytext"/>
      </w:pPr>
      <w:r>
        <w:t>It is often said that shareholders run a company they own, and that a board simply works for the chief executive. Both are wrong.</w:t>
      </w:r>
      <w:r w:rsidR="007451B4">
        <w:t xml:space="preserve"> Shareholders elect a board; the board is supposed to hire, monitor, pay and, if necessary, fire the management on the owners’ behalf. </w:t>
      </w:r>
      <w:r>
        <w:t>Corporate governance is the set of rules and checks that tries to make that chain of accountability actually work, developed mostly in response to failures.</w:t>
      </w:r>
    </w:p>
    <w:p w14:paraId="14AE1CAA" w14:textId="19F1DB76"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w:t>
      </w:r>
      <w:r w:rsidR="00152693" w:rsidRPr="00152693">
        <w:rPr>
          <w:vertAlign w:val="superscript"/>
        </w:rPr>
        <w:t>[1]</w:t>
      </w:r>
      <w:r>
        <w:t>. The United States went further after Enron collapsed in 2001. The 2002 Sarbanes-Oxley Act made governance duties statutory, requiring executives to personally certify the accounts, and created a new body to police the auditors</w:t>
      </w:r>
      <w:r w:rsidR="007A0714" w:rsidRPr="007A0714">
        <w:rPr>
          <w:vertAlign w:val="superscript"/>
        </w:rPr>
        <w:t>[7]</w:t>
      </w:r>
      <w:r>
        <w:t>.</w:t>
      </w:r>
    </w:p>
    <w:p w14:paraId="768E5017" w14:textId="6E7D09C4" w:rsidR="00C046B1" w:rsidRDefault="007451B4">
      <w:pPr>
        <w:pStyle w:val="articlebodytext"/>
      </w:pPr>
      <w:r>
        <w:t>The pattern — scandal, then rules — repeated elsewhere. In 2009 the founder of the Indian IT firm Satyam confessed to inflating its accounts for years, feeding directly into India’s Companies Act 2013, which required listed boards to include independent directors</w:t>
      </w:r>
      <w:r w:rsidR="007A0714" w:rsidRPr="007A0714">
        <w:rPr>
          <w:vertAlign w:val="superscript"/>
        </w:rPr>
        <w:t>[8]</w:t>
      </w:r>
      <w:r>
        <w:t>. In Germany, Wirecard, a DAX-listed payments company, collapsed in June 2020 after admitting that about EUR 1.9 billion of its cash had probably never existed. Its auditor had signed off for a decade; the regulator, meanwhile, had spent its energy investi</w:t>
      </w:r>
      <w:r>
        <w:t>gating the journalists who raised the alarm</w:t>
      </w:r>
      <w:r w:rsidR="00152693" w:rsidRPr="00152693">
        <w:rPr>
          <w:vertAlign w:val="superscript"/>
        </w:rPr>
        <w:t>[2]</w:t>
      </w:r>
      <w:r>
        <w:t>.</w:t>
      </w:r>
    </w:p>
    <w:p w14:paraId="4CA3743F" w14:textId="77777777" w:rsidR="00C046B1" w:rsidRDefault="00DC68B9">
      <w:pPr>
        <w:pStyle w:val="articlebodytext"/>
      </w:pPr>
      <w:r>
        <w:t>Japan has since run a sustained governance-reform programme.</w:t>
      </w:r>
      <w:r w:rsidR="007451B4">
        <w:t xml:space="preserve">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w:t>
      </w:r>
      <w:r w:rsidR="00152693" w:rsidRPr="00152693">
        <w:rPr>
          <w:vertAlign w:val="superscript"/>
        </w:rPr>
        <w:t>[3]</w:t>
      </w:r>
      <w:r w:rsidR="007451B4">
        <w:t>. In 2023 the Tokyo Stock Exchange went further, publicly pressing the roughly half of its top-tier “Prime” companies trading below the value of their own net assets to publish plans to improve capital efficiency</w:t>
      </w:r>
      <w:r w:rsidR="00152693" w:rsidRPr="00152693">
        <w:rPr>
          <w:vertAlign w:val="superscript"/>
        </w:rPr>
        <w:t>[4]</w:t>
      </w:r>
      <w:r w:rsidR="007451B4">
        <w:t>. The reforms are credited as one trigger for the strong 2023–24 rise in Japanese share prices.</w:t>
      </w:r>
    </w:p>
    <w:p w14:paraId="35AF725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w:t>
      </w:r>
      <w:r w:rsidR="00152693" w:rsidRPr="00152693">
        <w:rPr>
          <w:vertAlign w:val="superscript"/>
        </w:rPr>
        <w:t>[5]</w:t>
      </w:r>
      <w:r>
        <w:t>. It was the first board election decided on climate strategy, and a concrete demonstration that the owners-elect-the-board mechanism can change a company’s direction</w:t>
      </w:r>
      <w:r w:rsidR="00152693" w:rsidRPr="00152693">
        <w:rPr>
          <w:vertAlign w:val="superscript"/>
        </w:rPr>
        <w:t>[6]</w:t>
      </w:r>
      <w:r>
        <w:t>. Three decades of codes and laws have not prevented every scandal; what they have built is a chain of accountability that holds when someone chooses to pull on it.</w:t>
      </w:r>
    </w:p>
    <w:p w14:paraId="26C1A109" w14:textId="77777777" w:rsidR="00C046B1" w:rsidRDefault="007451B4" w:rsidP="00C30EC8">
      <w:pPr>
        <w:pStyle w:val="Heading3"/>
      </w:pPr>
      <w:bookmarkStart w:id="156" w:name="vocabulary-focus-18"/>
      <w:bookmarkEnd w:id="155"/>
      <w:r>
        <w:lastRenderedPageBreak/>
        <w:t>4.4.3. Vocabulary Focus</w:t>
      </w:r>
    </w:p>
    <w:p w14:paraId="6D4BA9AA" w14:textId="77777777" w:rsidR="00C046B1" w:rsidRDefault="007451B4">
      <w:pPr>
        <w:pStyle w:val="FirstParagraph"/>
      </w:pPr>
      <w:r>
        <w:t>corporate governance; board of directors; non-executive (independent) director; “comply or explain”; cross-shareholding; shareholder activism</w:t>
      </w:r>
    </w:p>
    <w:p w14:paraId="0AB8BEF8" w14:textId="77777777" w:rsidR="00C046B1" w:rsidRDefault="007451B4" w:rsidP="00C30EC8">
      <w:pPr>
        <w:pStyle w:val="Heading3"/>
      </w:pPr>
      <w:bookmarkStart w:id="157" w:name="reading-questions-18"/>
      <w:bookmarkEnd w:id="156"/>
      <w:r>
        <w:t>4.4.4. Reading Questions</w:t>
      </w:r>
    </w:p>
    <w:p w14:paraId="6C82EC42" w14:textId="77777777" w:rsidR="00C046B1" w:rsidRDefault="007451B4" w:rsidP="007451B4">
      <w:pPr>
        <w:pStyle w:val="Compact"/>
        <w:numPr>
          <w:ilvl w:val="0"/>
          <w:numId w:val="56"/>
        </w:numPr>
        <w:spacing w:after="40"/>
      </w:pPr>
      <w:r>
        <w:t>What is wrong with the idea that “shareholders run the company”?</w:t>
      </w:r>
    </w:p>
    <w:p w14:paraId="75AE9AB5" w14:textId="77777777" w:rsidR="00C046B1" w:rsidRDefault="007451B4" w:rsidP="007451B4">
      <w:pPr>
        <w:pStyle w:val="Compact"/>
        <w:numPr>
          <w:ilvl w:val="0"/>
          <w:numId w:val="56"/>
        </w:numPr>
        <w:spacing w:after="40"/>
      </w:pPr>
      <w:r>
        <w:t>What does “comply or explain” allow a company to do?</w:t>
      </w:r>
    </w:p>
    <w:p w14:paraId="4671FFF9" w14:textId="77777777" w:rsidR="00C046B1" w:rsidRDefault="007451B4" w:rsidP="007451B4">
      <w:pPr>
        <w:pStyle w:val="Compact"/>
        <w:numPr>
          <w:ilvl w:val="0"/>
          <w:numId w:val="56"/>
        </w:numPr>
        <w:spacing w:after="40"/>
      </w:pPr>
      <w:r>
        <w:t>In the Wirecard case, which checks failed, and what had the regulator been doing instead?</w:t>
      </w:r>
    </w:p>
    <w:p w14:paraId="1E75D4CB" w14:textId="77777777" w:rsidR="00C046B1" w:rsidRDefault="007451B4" w:rsidP="007451B4">
      <w:pPr>
        <w:pStyle w:val="Compact"/>
        <w:numPr>
          <w:ilvl w:val="0"/>
          <w:numId w:val="56"/>
        </w:numPr>
        <w:spacing w:after="40"/>
      </w:pPr>
      <w:r>
        <w:t>What three changes did Japan’s 2014 and 2015 codes push companies to make?</w:t>
      </w:r>
    </w:p>
    <w:p w14:paraId="2971215A" w14:textId="77777777" w:rsidR="00C046B1" w:rsidRDefault="007451B4" w:rsidP="007451B4">
      <w:pPr>
        <w:pStyle w:val="Compact"/>
        <w:numPr>
          <w:ilvl w:val="0"/>
          <w:numId w:val="56"/>
        </w:numPr>
        <w:spacing w:after="40"/>
      </w:pPr>
      <w:r>
        <w:t>How did a fund owning only 0.02% of ExxonMobil win three board seats?</w:t>
      </w:r>
    </w:p>
    <w:p w14:paraId="7419369C" w14:textId="77777777" w:rsidR="00C046B1" w:rsidRDefault="007451B4" w:rsidP="00C30EC8">
      <w:pPr>
        <w:pStyle w:val="Heading3"/>
      </w:pPr>
      <w:bookmarkStart w:id="158" w:name="discussion-questions-18"/>
      <w:bookmarkEnd w:id="157"/>
      <w:r>
        <w:t>4.4.5. Discussion Questions</w:t>
      </w:r>
    </w:p>
    <w:p w14:paraId="0650F25D" w14:textId="77777777" w:rsidR="00C046B1" w:rsidRDefault="007451B4" w:rsidP="007451B4">
      <w:pPr>
        <w:pStyle w:val="Compact"/>
        <w:numPr>
          <w:ilvl w:val="0"/>
          <w:numId w:val="57"/>
        </w:numPr>
        <w:spacing w:after="40"/>
      </w:pPr>
      <w:r>
        <w:t>Governance rules have mostly followed scandals rather than prevented them. Is that inevitable, or could rules be more forward-looking?</w:t>
      </w:r>
    </w:p>
    <w:p w14:paraId="6A6E9EA4" w14:textId="77777777" w:rsidR="00C046B1" w:rsidRDefault="007451B4" w:rsidP="007451B4">
      <w:pPr>
        <w:pStyle w:val="Compact"/>
        <w:numPr>
          <w:ilvl w:val="0"/>
          <w:numId w:val="57"/>
        </w:numPr>
        <w:spacing w:after="40"/>
      </w:pPr>
      <w:r>
        <w:t>The UK uses “comply or explain” codes; the US uses hard law. What are the strengths and weaknesses of each approach?</w:t>
      </w:r>
    </w:p>
    <w:p w14:paraId="30C8F702" w14:textId="77777777" w:rsidR="00C046B1" w:rsidRDefault="007451B4" w:rsidP="007451B4">
      <w:pPr>
        <w:pStyle w:val="Compact"/>
        <w:numPr>
          <w:ilvl w:val="0"/>
          <w:numId w:val="57"/>
        </w:numPr>
        <w:spacing w:after="40"/>
      </w:pPr>
      <w:r>
        <w:t>Japan’s reforms are credited with helping lift share prices, but critics say disclosing a plan is not the same as delivering results. How would you tell whether the reforms worked?</w:t>
      </w:r>
    </w:p>
    <w:p w14:paraId="28B8E41D" w14:textId="77777777" w:rsidR="00C046B1" w:rsidRDefault="007451B4" w:rsidP="007451B4">
      <w:pPr>
        <w:pStyle w:val="Compact"/>
        <w:numPr>
          <w:ilvl w:val="0"/>
          <w:numId w:val="57"/>
        </w:numPr>
        <w:spacing w:after="40"/>
      </w:pPr>
      <w:r>
        <w:t>Should a fund owning a tiny stake be able to reshape a large company’s board? Give reasons for and against.</w:t>
      </w:r>
    </w:p>
    <w:p w14:paraId="581404F3" w14:textId="77777777" w:rsidR="00C046B1" w:rsidRDefault="007451B4" w:rsidP="007451B4">
      <w:pPr>
        <w:pStyle w:val="Compact"/>
        <w:numPr>
          <w:ilvl w:val="0"/>
          <w:numId w:val="57"/>
        </w:numPr>
        <w:spacing w:after="40"/>
      </w:pPr>
      <w:r>
        <w:t>Compare the Cadbury Report (1992), the Wirecard collapse (2020) and the Exxon board vote (2021) as moments in this history. Put them in order of how much each changed corporate governance, and defend your ranking.</w:t>
      </w:r>
    </w:p>
    <w:p w14:paraId="130EC502" w14:textId="77777777" w:rsidR="00C046B1" w:rsidRDefault="007451B4" w:rsidP="00C30EC8">
      <w:pPr>
        <w:pStyle w:val="Heading3"/>
      </w:pPr>
      <w:bookmarkStart w:id="159" w:name="source-notes-18"/>
      <w:bookmarkEnd w:id="158"/>
      <w:r>
        <w:t>4.4.6. Source Notes</w:t>
      </w:r>
    </w:p>
    <w:p w14:paraId="38A89254" w14:textId="77777777" w:rsidR="00C046B1" w:rsidRPr="00C10A00" w:rsidRDefault="007451B4" w:rsidP="00C10A00">
      <w:pPr>
        <w:pStyle w:val="Compact"/>
        <w:numPr>
          <w:ilvl w:val="0"/>
          <w:numId w:val="58"/>
        </w:numPr>
        <w:spacing w:after="0"/>
        <w:ind w:hanging="357"/>
        <w:rPr>
          <w:sz w:val="16"/>
        </w:rPr>
      </w:pPr>
      <w:r w:rsidRPr="00C10A00">
        <w:rPr>
          <w:sz w:val="16"/>
        </w:rPr>
        <w:t>Cambridge Judge Business School — The Cadbury Archive: the Cadbury Report (1992)</w:t>
      </w:r>
      <w:r w:rsidR="00B366BE" w:rsidRPr="00C10A00">
        <w:rPr>
          <w:sz w:val="16"/>
        </w:rPr>
        <w:t xml:space="preserve"> </w:t>
      </w:r>
      <w:hyperlink r:id="rId116">
        <w:r w:rsidRPr="00C10A00">
          <w:rPr>
            <w:rStyle w:val="Hyperlink"/>
            <w:sz w:val="16"/>
          </w:rPr>
          <w:t>https://www.jbs.cam.ac.uk/faculty-research/publications/cadbury-archive/report/</w:t>
        </w:r>
      </w:hyperlink>
    </w:p>
    <w:p w14:paraId="360267A0" w14:textId="77777777" w:rsidR="00C046B1" w:rsidRPr="00C10A00" w:rsidRDefault="007451B4" w:rsidP="00C10A00">
      <w:pPr>
        <w:pStyle w:val="Compact"/>
        <w:numPr>
          <w:ilvl w:val="0"/>
          <w:numId w:val="58"/>
        </w:numPr>
        <w:spacing w:after="0"/>
        <w:ind w:hanging="357"/>
        <w:rPr>
          <w:sz w:val="16"/>
        </w:rPr>
      </w:pPr>
      <w:r w:rsidRPr="00C10A00">
        <w:rPr>
          <w:sz w:val="16"/>
        </w:rPr>
        <w:t>CNBC: “‘The Enron of Germany’: Wirecard scandal casts a shadow on corporate governance” (29 June 2020)</w:t>
      </w:r>
      <w:r w:rsidR="00B366BE" w:rsidRPr="00C10A00">
        <w:rPr>
          <w:sz w:val="16"/>
        </w:rPr>
        <w:t xml:space="preserve"> </w:t>
      </w:r>
      <w:hyperlink r:id="rId117">
        <w:r w:rsidRPr="00C10A00">
          <w:rPr>
            <w:rStyle w:val="Hyperlink"/>
            <w:sz w:val="16"/>
          </w:rPr>
          <w:t>https://www.cnbc.com/2020/06/29/enron-of-germany-wirecard-scandal-casts-a-shadow-on-governance.html</w:t>
        </w:r>
      </w:hyperlink>
    </w:p>
    <w:p w14:paraId="154E2711" w14:textId="77777777" w:rsidR="00C046B1" w:rsidRPr="00C10A00" w:rsidRDefault="007451B4" w:rsidP="00C10A00">
      <w:pPr>
        <w:pStyle w:val="Compact"/>
        <w:numPr>
          <w:ilvl w:val="0"/>
          <w:numId w:val="58"/>
        </w:numPr>
        <w:spacing w:after="0"/>
        <w:ind w:hanging="357"/>
        <w:rPr>
          <w:sz w:val="16"/>
        </w:rPr>
      </w:pPr>
      <w:r w:rsidRPr="00C10A00">
        <w:rPr>
          <w:sz w:val="16"/>
        </w:rPr>
        <w:t>Japan Exchange Group: “Corporate Governance Code” (2015; revised 2018, 2021)</w:t>
      </w:r>
      <w:r w:rsidR="00B366BE" w:rsidRPr="00C10A00">
        <w:rPr>
          <w:sz w:val="16"/>
        </w:rPr>
        <w:t xml:space="preserve"> </w:t>
      </w:r>
      <w:hyperlink r:id="rId118">
        <w:r w:rsidRPr="00C10A00">
          <w:rPr>
            <w:rStyle w:val="Hyperlink"/>
            <w:sz w:val="16"/>
          </w:rPr>
          <w:t>https://www.jpx.co.jp/english/equities/listing/cg/</w:t>
        </w:r>
      </w:hyperlink>
    </w:p>
    <w:p w14:paraId="723D64A8" w14:textId="77777777" w:rsidR="00C046B1" w:rsidRPr="00C10A00" w:rsidRDefault="007451B4" w:rsidP="00C10A00">
      <w:pPr>
        <w:pStyle w:val="Compact"/>
        <w:numPr>
          <w:ilvl w:val="0"/>
          <w:numId w:val="58"/>
        </w:numPr>
        <w:spacing w:after="0"/>
        <w:ind w:hanging="357"/>
        <w:rPr>
          <w:sz w:val="16"/>
        </w:rPr>
      </w:pPr>
      <w:r w:rsidRPr="00C10A00">
        <w:rPr>
          <w:sz w:val="16"/>
        </w:rPr>
        <w:t>Harvard Law School Forum on Corporate Governance: “Tokyo Stock Exchange Initiative on Cost of Capital and Stock Price Conscious Management”</w:t>
      </w:r>
      <w:r w:rsidR="00B366BE" w:rsidRPr="00C10A00">
        <w:rPr>
          <w:sz w:val="16"/>
        </w:rPr>
        <w:t xml:space="preserve"> </w:t>
      </w:r>
      <w:hyperlink r:id="rId119">
        <w:r w:rsidRPr="00C10A00">
          <w:rPr>
            <w:rStyle w:val="Hyperlink"/>
            <w:sz w:val="16"/>
          </w:rPr>
          <w:t>https://corpgov.law.harvard.edu/2025/10/21/tokyo-stock-exchange-initiative-on-cost-of-capital-and-stock-price-conscious-management/</w:t>
        </w:r>
      </w:hyperlink>
    </w:p>
    <w:p w14:paraId="384B64B0" w14:textId="77777777" w:rsidR="00C046B1" w:rsidRPr="00C10A00" w:rsidRDefault="007451B4" w:rsidP="00C10A00">
      <w:pPr>
        <w:pStyle w:val="Compact"/>
        <w:numPr>
          <w:ilvl w:val="0"/>
          <w:numId w:val="58"/>
        </w:numPr>
        <w:spacing w:after="0"/>
        <w:ind w:hanging="357"/>
        <w:rPr>
          <w:sz w:val="16"/>
        </w:rPr>
      </w:pPr>
      <w:r w:rsidRPr="00C10A00">
        <w:rPr>
          <w:sz w:val="16"/>
        </w:rPr>
        <w:t>CNBC: “Engine No. 1 wins at least 2 Exxon board seats as activist pushes for climate strategy change” (26 May 2021)</w:t>
      </w:r>
      <w:r w:rsidR="00B366BE" w:rsidRPr="00C10A00">
        <w:rPr>
          <w:sz w:val="16"/>
        </w:rPr>
        <w:t xml:space="preserve"> </w:t>
      </w:r>
      <w:hyperlink r:id="rId120">
        <w:r w:rsidRPr="00C10A00">
          <w:rPr>
            <w:rStyle w:val="Hyperlink"/>
            <w:sz w:val="16"/>
          </w:rPr>
          <w:t>https://www.cnbc.com/2021/05/26/engine-no-1-gets-at-least-2-candidates-elected-to-exxons-board-in-win-for-the-activist.html</w:t>
        </w:r>
      </w:hyperlink>
    </w:p>
    <w:p w14:paraId="3F627DE4" w14:textId="77777777" w:rsidR="00C046B1" w:rsidRPr="00C10A00" w:rsidRDefault="007451B4" w:rsidP="00C10A00">
      <w:pPr>
        <w:pStyle w:val="Compact"/>
        <w:numPr>
          <w:ilvl w:val="0"/>
          <w:numId w:val="58"/>
        </w:numPr>
        <w:spacing w:after="0"/>
        <w:ind w:hanging="357"/>
        <w:rPr>
          <w:sz w:val="16"/>
        </w:rPr>
      </w:pPr>
      <w:r w:rsidRPr="00C10A00">
        <w:rPr>
          <w:sz w:val="16"/>
        </w:rPr>
        <w:t>Skadden: “What the Exxon Mobil Shareholder Votes Mean” (June 2021)</w:t>
      </w:r>
      <w:r w:rsidR="00B366BE" w:rsidRPr="00C10A00">
        <w:rPr>
          <w:sz w:val="16"/>
        </w:rPr>
        <w:t xml:space="preserve"> </w:t>
      </w:r>
      <w:hyperlink r:id="rId121">
        <w:r w:rsidRPr="00C10A00">
          <w:rPr>
            <w:rStyle w:val="Hyperlink"/>
            <w:sz w:val="16"/>
          </w:rPr>
          <w:t>https://www.skadden.com/insights/publications/2021/06/the-informed-board/what-the-exxon-mobil-shareholder-votes-mean</w:t>
        </w:r>
      </w:hyperlink>
    </w:p>
    <w:p w14:paraId="7E891D74" w14:textId="77777777" w:rsidR="00C046B1" w:rsidRPr="00C10A00" w:rsidRDefault="007451B4" w:rsidP="00C10A00">
      <w:pPr>
        <w:pStyle w:val="Compact"/>
        <w:numPr>
          <w:ilvl w:val="0"/>
          <w:numId w:val="58"/>
        </w:numPr>
        <w:spacing w:after="0"/>
        <w:ind w:hanging="357"/>
        <w:rPr>
          <w:sz w:val="16"/>
        </w:rPr>
      </w:pPr>
      <w:r>
        <w:rPr>
          <w:sz w:val="16"/>
        </w:rPr>
        <w:t xml:space="preserve">U.S. Congress: H.R.3763 – Sarbanes-Oxley Act of 2002, 30 July 2002 </w:t>
      </w:r>
      <w:hyperlink r:id="rId122">
        <w:r>
          <w:rPr>
            <w:rStyle w:val="Hyperlink"/>
            <w:sz w:val="16"/>
          </w:rPr>
          <w:t>https://www.congress.gov/bill/107th-congress/house-bill/3763</w:t>
        </w:r>
      </w:hyperlink>
    </w:p>
    <w:p w14:paraId="6D3BEFD6" w14:textId="77777777" w:rsidR="00C046B1" w:rsidRPr="00C10A00" w:rsidRDefault="007451B4" w:rsidP="00C10A00">
      <w:pPr>
        <w:pStyle w:val="Compact"/>
        <w:numPr>
          <w:ilvl w:val="0"/>
          <w:numId w:val="58"/>
        </w:numPr>
        <w:spacing w:after="0"/>
        <w:ind w:hanging="357"/>
        <w:rPr>
          <w:sz w:val="16"/>
        </w:rPr>
      </w:pPr>
      <w:r>
        <w:rPr>
          <w:sz w:val="16"/>
        </w:rPr>
        <w:t xml:space="preserve">CNBC: “Major Indian company named for truth admits fraud,” 7 January 2009 </w:t>
      </w:r>
      <w:hyperlink r:id="rId123">
        <w:r>
          <w:rPr>
            <w:rStyle w:val="Hyperlink"/>
            <w:sz w:val="16"/>
          </w:rPr>
          <w:t>https://www.cnbc.com/2009/01/07/major-indian-company-named-for-truth-admits-fraud.html</w:t>
        </w:r>
      </w:hyperlink>
    </w:p>
    <w:p w14:paraId="40847862" w14:textId="77777777" w:rsidR="00C046B1" w:rsidRPr="009066A4" w:rsidRDefault="007451B4" w:rsidP="009066A4">
      <w:pPr>
        <w:pStyle w:val="Heading2"/>
      </w:pPr>
      <w:bookmarkStart w:id="160" w:name="_Toc240452355"/>
      <w:bookmarkStart w:id="161" w:name="Xef20604ba327252e3b1c022b0cd3c5f0a2f9ea3"/>
      <w:bookmarkEnd w:id="153"/>
      <w:bookmarkEnd w:id="159"/>
      <w:r w:rsidRPr="009066A4">
        <w:lastRenderedPageBreak/>
        <w:t>4.5. Economic Diplomacy and International Cooperation</w:t>
      </w:r>
      <w:bookmarkEnd w:id="160"/>
    </w:p>
    <w:p w14:paraId="350B184D" w14:textId="77777777" w:rsidR="00C046B1" w:rsidRDefault="007451B4" w:rsidP="00C30EC8">
      <w:pPr>
        <w:pStyle w:val="Heading3"/>
      </w:pPr>
      <w:bookmarkStart w:id="162" w:name="goal-19"/>
      <w:r>
        <w:t>4.5.1. Goal</w:t>
      </w:r>
    </w:p>
    <w:p w14:paraId="05B00D81" w14:textId="77777777" w:rsidR="00C046B1" w:rsidRDefault="007451B4">
      <w:pPr>
        <w:pStyle w:val="BodyText"/>
      </w:pPr>
      <w:r>
        <w:t>Show how governments use financial and trade ties as foreign-policy tools, and why doing so is costly to the country that tries it.</w:t>
      </w:r>
    </w:p>
    <w:p w14:paraId="4E02C4E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3" w:name="reading-19"/>
      <w:bookmarkEnd w:id="162"/>
      <w:r>
        <w:t>4.5.2. Reading</w:t>
      </w:r>
    </w:p>
    <w:p w14:paraId="5B49F211"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ED86FEF" w14:textId="77777777" w:rsidR="00C046B1" w:rsidRDefault="007451B4">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w:t>
      </w:r>
      <w:r w:rsidR="00152693" w:rsidRPr="00152693">
        <w:rPr>
          <w:vertAlign w:val="superscript"/>
        </w:rPr>
        <w:t>[1]</w:t>
      </w:r>
      <w:r>
        <w:t>.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w:t>
      </w:r>
      <w:r w:rsidR="00152693" w:rsidRPr="00152693">
        <w:rPr>
          <w:vertAlign w:val="superscript"/>
        </w:rPr>
        <w:t>[1]</w:t>
      </w:r>
      <w:r>
        <w:t>.</w:t>
      </w:r>
    </w:p>
    <w:p w14:paraId="104B0409" w14:textId="77777777" w:rsidR="00C046B1" w:rsidRDefault="007451B4">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28E68970" w14:textId="77777777"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w:t>
      </w:r>
      <w:r w:rsidR="00152693" w:rsidRPr="00152693">
        <w:rPr>
          <w:vertAlign w:val="superscript"/>
        </w:rPr>
        <w:t>[2]</w:t>
      </w:r>
      <w:r>
        <w:t>. At COP29 in Baku in November 2024 they agreed a new goal — at least US$300 billion a year by 2035, within a broader aspiration of US$1.3 trillion — which many developing countries called far too low</w:t>
      </w:r>
      <w:r w:rsidR="00152693" w:rsidRPr="00152693">
        <w:rPr>
          <w:vertAlign w:val="superscript"/>
        </w:rPr>
        <w:t>[3]</w:t>
      </w:r>
      <w:r>
        <w:t>.</w:t>
      </w:r>
    </w:p>
    <w:p w14:paraId="2F33620F" w14:textId="77777777"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w:t>
      </w:r>
      <w:r w:rsidR="00152693" w:rsidRPr="00152693">
        <w:rPr>
          <w:vertAlign w:val="superscript"/>
        </w:rPr>
        <w:t>[4]</w:t>
      </w:r>
      <w:r>
        <w:t>, and Tokyo secured a G7 carve-out exempting it from the price cap</w:t>
      </w:r>
      <w:r w:rsidR="00152693" w:rsidRPr="00152693">
        <w:rPr>
          <w:vertAlign w:val="superscript"/>
        </w:rPr>
        <w:t>[5]</w:t>
      </w:r>
      <w:r>
        <w:t>. The reasoning was blunt: solidarity with allies matters, but a country that cannot fuel its power stations has no foreign policy at all.</w:t>
      </w:r>
    </w:p>
    <w:p w14:paraId="6145A127"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w:t>
      </w:r>
      <w:r w:rsidR="00152693" w:rsidRPr="00152693">
        <w:rPr>
          <w:vertAlign w:val="superscript"/>
        </w:rPr>
        <w:t>[6]</w:t>
      </w:r>
      <w:r>
        <w:t>. The 2022 sanctions imposed large costs without forcing a change of course — which is why economic diplomacy is best described as leverage, not control.</w:t>
      </w:r>
    </w:p>
    <w:p w14:paraId="47444EDA" w14:textId="77777777" w:rsidR="00C046B1" w:rsidRDefault="007451B4" w:rsidP="00C30EC8">
      <w:pPr>
        <w:pStyle w:val="Heading3"/>
      </w:pPr>
      <w:bookmarkStart w:id="164" w:name="vocabulary-focus-19"/>
      <w:bookmarkEnd w:id="163"/>
      <w:r>
        <w:lastRenderedPageBreak/>
        <w:t>4.5.3. Vocabulary Focus</w:t>
      </w:r>
    </w:p>
    <w:p w14:paraId="2291DA70" w14:textId="77777777" w:rsidR="00C046B1" w:rsidRDefault="007451B4">
      <w:pPr>
        <w:pStyle w:val="FirstParagraph"/>
      </w:pPr>
      <w:r>
        <w:t>economic diplomacy; sanctions; asset freeze; SWIFT; secondary sanctions; price cap</w:t>
      </w:r>
    </w:p>
    <w:p w14:paraId="5075BAFA" w14:textId="77777777" w:rsidR="00C046B1" w:rsidRDefault="007451B4" w:rsidP="00C30EC8">
      <w:pPr>
        <w:pStyle w:val="Heading3"/>
      </w:pPr>
      <w:bookmarkStart w:id="165" w:name="reading-questions-19"/>
      <w:bookmarkEnd w:id="164"/>
      <w:r>
        <w:t>4.5.4. Reading Questions</w:t>
      </w:r>
    </w:p>
    <w:p w14:paraId="4F92DCD0" w14:textId="77777777" w:rsidR="00C046B1" w:rsidRDefault="007451B4" w:rsidP="007451B4">
      <w:pPr>
        <w:pStyle w:val="Compact"/>
        <w:numPr>
          <w:ilvl w:val="0"/>
          <w:numId w:val="59"/>
        </w:numPr>
      </w:pPr>
      <w:r>
        <w:t>What are the two “tracks” of economic diplomacy described in the reading?</w:t>
      </w:r>
    </w:p>
    <w:p w14:paraId="502E0927" w14:textId="77777777" w:rsidR="00C046B1" w:rsidRDefault="007451B4" w:rsidP="007451B4">
      <w:pPr>
        <w:pStyle w:val="Compact"/>
        <w:numPr>
          <w:ilvl w:val="0"/>
          <w:numId w:val="59"/>
        </w:numPr>
      </w:pPr>
      <w:r>
        <w:t>What three main measures did the G7 and EU take against Russia in 2022?</w:t>
      </w:r>
    </w:p>
    <w:p w14:paraId="11220519" w14:textId="77777777" w:rsidR="00C046B1" w:rsidRDefault="007451B4" w:rsidP="007451B4">
      <w:pPr>
        <w:pStyle w:val="Compact"/>
        <w:numPr>
          <w:ilvl w:val="0"/>
          <w:numId w:val="59"/>
        </w:numPr>
      </w:pPr>
      <w:r>
        <w:t>Why does the reading say the leverage behind sanctions is “concentrated in the US dollar”?</w:t>
      </w:r>
    </w:p>
    <w:p w14:paraId="612A4115" w14:textId="77777777" w:rsidR="00C046B1" w:rsidRDefault="007451B4" w:rsidP="007451B4">
      <w:pPr>
        <w:pStyle w:val="Compact"/>
        <w:numPr>
          <w:ilvl w:val="0"/>
          <w:numId w:val="59"/>
        </w:numPr>
      </w:pPr>
      <w:r>
        <w:t>What line did Japan draw when it joined the 2022 sanctions, and why?</w:t>
      </w:r>
    </w:p>
    <w:p w14:paraId="2D0FBAE4" w14:textId="77777777" w:rsidR="00C046B1" w:rsidRDefault="007451B4" w:rsidP="007451B4">
      <w:pPr>
        <w:pStyle w:val="Compact"/>
        <w:numPr>
          <w:ilvl w:val="0"/>
          <w:numId w:val="59"/>
        </w:numPr>
        <w:spacing w:after="0"/>
      </w:pPr>
      <w:r>
        <w:t>What costs does the reading say fall on the country that applies sanctions?</w:t>
      </w:r>
    </w:p>
    <w:p w14:paraId="4F8184C2" w14:textId="77777777" w:rsidR="00C046B1" w:rsidRDefault="007451B4" w:rsidP="00C30EC8">
      <w:pPr>
        <w:pStyle w:val="Heading3"/>
      </w:pPr>
      <w:bookmarkStart w:id="166" w:name="discussion-questions-19"/>
      <w:bookmarkEnd w:id="165"/>
      <w:r>
        <w:t>4.5.5. Discussion Questions</w:t>
      </w:r>
    </w:p>
    <w:p w14:paraId="36CEEEB4"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3BA83C4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401CE47B"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2F760C1D"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5EBB8EAC"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C5D4A07" w14:textId="77777777" w:rsidR="00C046B1" w:rsidRDefault="007451B4" w:rsidP="00C30EC8">
      <w:pPr>
        <w:pStyle w:val="Heading3"/>
      </w:pPr>
      <w:bookmarkStart w:id="167" w:name="source-notes-19"/>
      <w:bookmarkEnd w:id="166"/>
      <w:r>
        <w:t>4.5.6. Source Notes</w:t>
      </w:r>
    </w:p>
    <w:p w14:paraId="01EDDDD1" w14:textId="77777777" w:rsidR="00C046B1" w:rsidRPr="00C10A00" w:rsidRDefault="007451B4" w:rsidP="00C10A00">
      <w:pPr>
        <w:pStyle w:val="Compact"/>
        <w:numPr>
          <w:ilvl w:val="0"/>
          <w:numId w:val="61"/>
        </w:numPr>
        <w:spacing w:after="0"/>
        <w:ind w:hanging="357"/>
        <w:rPr>
          <w:sz w:val="16"/>
        </w:rPr>
      </w:pPr>
      <w:r w:rsidRPr="00C10A00">
        <w:rPr>
          <w:sz w:val="16"/>
        </w:rPr>
        <w:t>Council on Foreign Relations: “How to Use Russia’s Frozen Assets”</w:t>
      </w:r>
      <w:r w:rsidR="00B366BE" w:rsidRPr="00C10A00">
        <w:rPr>
          <w:sz w:val="16"/>
        </w:rPr>
        <w:t xml:space="preserve"> </w:t>
      </w:r>
      <w:hyperlink r:id="rId124">
        <w:r w:rsidRPr="00C10A00">
          <w:rPr>
            <w:rStyle w:val="Hyperlink"/>
            <w:sz w:val="16"/>
          </w:rPr>
          <w:t>https://www.cfr.org/articles/how-use-russias-frozen-assets</w:t>
        </w:r>
      </w:hyperlink>
    </w:p>
    <w:p w14:paraId="1D63444A" w14:textId="77777777" w:rsidR="00C046B1" w:rsidRPr="00C10A00" w:rsidRDefault="007451B4" w:rsidP="00C10A00">
      <w:pPr>
        <w:pStyle w:val="Compact"/>
        <w:numPr>
          <w:ilvl w:val="0"/>
          <w:numId w:val="61"/>
        </w:numPr>
        <w:spacing w:after="0"/>
        <w:ind w:hanging="357"/>
        <w:rPr>
          <w:sz w:val="16"/>
        </w:rPr>
      </w:pPr>
      <w:r w:rsidRPr="00C10A00">
        <w:rPr>
          <w:sz w:val="16"/>
        </w:rPr>
        <w:t>UN News: “COP29 climate talks end with $300 billion annual pledge” (Baku, November 2024)</w:t>
      </w:r>
      <w:r w:rsidR="00B366BE" w:rsidRPr="00C10A00">
        <w:rPr>
          <w:sz w:val="16"/>
        </w:rPr>
        <w:t xml:space="preserve"> </w:t>
      </w:r>
      <w:hyperlink r:id="rId125">
        <w:r w:rsidRPr="00C10A00">
          <w:rPr>
            <w:rStyle w:val="Hyperlink"/>
            <w:sz w:val="16"/>
          </w:rPr>
          <w:t>https://news.un.org/en/story/2024/11/1157416</w:t>
        </w:r>
      </w:hyperlink>
    </w:p>
    <w:p w14:paraId="043F888E" w14:textId="77777777" w:rsidR="00C046B1" w:rsidRPr="00C10A00" w:rsidRDefault="007451B4" w:rsidP="00C10A00">
      <w:pPr>
        <w:pStyle w:val="Compact"/>
        <w:numPr>
          <w:ilvl w:val="0"/>
          <w:numId w:val="61"/>
        </w:numPr>
        <w:spacing w:after="0"/>
        <w:ind w:hanging="357"/>
        <w:rPr>
          <w:sz w:val="16"/>
        </w:rPr>
      </w:pPr>
      <w:r w:rsidRPr="00C10A00">
        <w:rPr>
          <w:sz w:val="16"/>
        </w:rPr>
        <w:t>UNCTAD: “Countries agree $300 billion by 2035 for new climate finance goal – what next?”</w:t>
      </w:r>
      <w:r w:rsidR="00B366BE" w:rsidRPr="00C10A00">
        <w:rPr>
          <w:sz w:val="16"/>
        </w:rPr>
        <w:t xml:space="preserve"> </w:t>
      </w:r>
      <w:hyperlink r:id="rId126">
        <w:r w:rsidRPr="00C10A00">
          <w:rPr>
            <w:rStyle w:val="Hyperlink"/>
            <w:sz w:val="16"/>
          </w:rPr>
          <w:t>https://unctad.org/news/countries-agree-300-billion-2035-new-climate-finance-goal-what-next</w:t>
        </w:r>
      </w:hyperlink>
    </w:p>
    <w:p w14:paraId="14666683" w14:textId="77777777" w:rsidR="00C046B1" w:rsidRPr="00C10A00" w:rsidRDefault="007451B4" w:rsidP="00C10A00">
      <w:pPr>
        <w:pStyle w:val="Compact"/>
        <w:numPr>
          <w:ilvl w:val="0"/>
          <w:numId w:val="61"/>
        </w:numPr>
        <w:spacing w:after="0"/>
        <w:ind w:hanging="357"/>
        <w:rPr>
          <w:sz w:val="16"/>
        </w:rPr>
      </w:pPr>
      <w:r w:rsidRPr="00C10A00">
        <w:rPr>
          <w:sz w:val="16"/>
        </w:rPr>
        <w:t>Malay Mail / Reuters: “Japan will not abandon Sakhalin-2 LNG stake, says PM Kishida” (31 March 2022)</w:t>
      </w:r>
      <w:r w:rsidR="00B366BE" w:rsidRPr="00C10A00">
        <w:rPr>
          <w:sz w:val="16"/>
        </w:rPr>
        <w:t xml:space="preserve"> </w:t>
      </w:r>
      <w:hyperlink r:id="rId127">
        <w:r w:rsidRPr="00C10A00">
          <w:rPr>
            <w:rStyle w:val="Hyperlink"/>
            <w:sz w:val="16"/>
          </w:rPr>
          <w:t>https://www.malaymail.com/news/money/2022/03/31/japan-will-not-abandon-sakhalin-2-lng-stake-says-pm-kishida/2050743</w:t>
        </w:r>
      </w:hyperlink>
    </w:p>
    <w:p w14:paraId="37776889" w14:textId="77777777" w:rsidR="00C046B1" w:rsidRPr="00C10A00" w:rsidRDefault="007451B4" w:rsidP="00C10A00">
      <w:pPr>
        <w:pStyle w:val="Compact"/>
        <w:numPr>
          <w:ilvl w:val="0"/>
          <w:numId w:val="61"/>
        </w:numPr>
        <w:spacing w:after="0"/>
        <w:ind w:hanging="357"/>
        <w:rPr>
          <w:sz w:val="16"/>
        </w:rPr>
      </w:pPr>
      <w:r w:rsidRPr="00C10A00">
        <w:rPr>
          <w:sz w:val="16"/>
        </w:rPr>
        <w:t>France 24: “Sakhalin exception: the Russian energy Japan can’t quit” (19 January 2023)</w:t>
      </w:r>
      <w:r w:rsidR="00B366BE" w:rsidRPr="00C10A00">
        <w:rPr>
          <w:sz w:val="16"/>
        </w:rPr>
        <w:t xml:space="preserve"> </w:t>
      </w:r>
      <w:hyperlink r:id="rId128">
        <w:r w:rsidRPr="00C10A00">
          <w:rPr>
            <w:rStyle w:val="Hyperlink"/>
            <w:sz w:val="16"/>
          </w:rPr>
          <w:t>https://www.france24.com/en/live-news/20230119-sakhalin-exception-the-russian-energy-japan-can-t-quit</w:t>
        </w:r>
      </w:hyperlink>
    </w:p>
    <w:p w14:paraId="7AF22B67" w14:textId="77777777" w:rsidR="005969B9" w:rsidRDefault="007451B4" w:rsidP="00C10A00">
      <w:pPr>
        <w:pStyle w:val="Compact"/>
        <w:numPr>
          <w:ilvl w:val="0"/>
          <w:numId w:val="61"/>
        </w:numPr>
        <w:spacing w:after="0"/>
        <w:ind w:hanging="357"/>
        <w:sectPr w:rsidR="005969B9" w:rsidSect="00B75C3E">
          <w:headerReference w:type="even" r:id="rId129"/>
          <w:headerReference w:type="default" r:id="rId130"/>
          <w:footerReference w:type="even" r:id="rId131"/>
          <w:headerReference w:type="first" r:id="rId132"/>
          <w:footerReference w:type="first" r:id="rId133"/>
          <w:footnotePr>
            <w:numRestart w:val="eachSect"/>
          </w:footnotePr>
          <w:pgSz w:w="11907" w:h="16840" w:code="9"/>
          <w:pgMar w:top="1134" w:right="1701" w:bottom="1134" w:left="1701" w:header="567" w:footer="454" w:gutter="0"/>
          <w:cols w:space="720"/>
        </w:sectPr>
      </w:pPr>
      <w:r w:rsidRPr="00C10A00">
        <w:rPr>
          <w:sz w:val="16"/>
        </w:rPr>
        <w:t>Asian Infrastructure Investment Bank: “About AIIB”</w:t>
      </w:r>
      <w:r w:rsidR="00B366BE" w:rsidRPr="00C10A00">
        <w:rPr>
          <w:sz w:val="16"/>
        </w:rPr>
        <w:t xml:space="preserve"> </w:t>
      </w:r>
      <w:hyperlink r:id="rId134">
        <w:r w:rsidRPr="00C10A00">
          <w:rPr>
            <w:rStyle w:val="Hyperlink"/>
            <w:sz w:val="16"/>
          </w:rPr>
          <w:t>https://www.aiib.org/en/about-aiib/index.html</w:t>
        </w:r>
      </w:hyperlink>
      <w:bookmarkEnd w:id="127"/>
      <w:bookmarkEnd w:id="161"/>
      <w:bookmarkEnd w:id="167"/>
    </w:p>
    <w:p w14:paraId="3778143E" w14:textId="77777777" w:rsidR="00C046B1" w:rsidRPr="00C10A00" w:rsidRDefault="005969B9" w:rsidP="005969B9">
      <w:pPr>
        <w:pStyle w:val="Compact"/>
        <w:numPr>
          <w:ilvl w:val="0"/>
          <w:numId w:val="0"/>
        </w:numPr>
        <w:spacing w:after="0"/>
        <w:rPr>
          <w:sz w:val="16"/>
        </w:rPr>
      </w:pPr>
      <w:r w:rsidRPr="005969B9">
        <w:rPr>
          <w:noProof/>
          <w:sz w:val="16"/>
        </w:rPr>
        <w:lastRenderedPageBreak/>
        <mc:AlternateContent>
          <mc:Choice Requires="wps">
            <w:drawing>
              <wp:anchor distT="45720" distB="45720" distL="114300" distR="114300" simplePos="0" relativeHeight="251661312" behindDoc="0" locked="0" layoutInCell="1" allowOverlap="1" wp14:anchorId="46409134" wp14:editId="5450B51E">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2862D161" w14:textId="77777777"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72073D58" w14:textId="77777777" w:rsidR="005969B9" w:rsidRDefault="005969B9" w:rsidP="005969B9">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6409134" id="_x0000_t202" coordsize="21600,21600" o:spt="202" path="m,l,21600r21600,l21600,xe">
                <v:stroke joinstyle="miter"/>
                <v:path gradientshapeok="t" o:connecttype="rect"/>
              </v:shapetype>
              <v:shape id="Text Box 2" o:spid="_x0000_s1026" type="#_x0000_t202" style="position:absolute;margin-left:0;margin-top:0;width:168.3pt;height:55.15pt;z-index:251661312;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2862D161" w14:textId="77777777"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72073D58" w14:textId="77777777" w:rsidR="005969B9" w:rsidRDefault="005969B9" w:rsidP="005969B9">
                      <w:pPr>
                        <w:jc w:val="center"/>
                        <w:rPr>
                          <w:lang w:eastAsia="ja-JP"/>
                        </w:rPr>
                      </w:pPr>
                      <w:r>
                        <w:rPr>
                          <w:rFonts w:hint="eastAsia"/>
                          <w:lang w:eastAsia="ja-JP"/>
                        </w:rPr>
                        <w:t>Avanti Staff Corporation</w:t>
                      </w:r>
                    </w:p>
                  </w:txbxContent>
                </v:textbox>
                <w10:wrap type="square" anchorx="margin" anchory="margin"/>
              </v:shape>
            </w:pict>
          </mc:Fallback>
        </mc:AlternateContent>
      </w:r>
      <w:r>
        <w:rPr>
          <w:noProof/>
        </w:rPr>
        <w:drawing>
          <wp:anchor distT="0" distB="0" distL="114300" distR="114300" simplePos="0" relativeHeight="251659264" behindDoc="0" locked="0" layoutInCell="1" allowOverlap="1" wp14:anchorId="39C7FEC9" wp14:editId="7DF0818A">
            <wp:simplePos x="0" y="0"/>
            <wp:positionH relativeFrom="margin">
              <wp:align>center</wp:align>
            </wp:positionH>
            <wp:positionV relativeFrom="margin">
              <wp:align>bottom</wp:align>
            </wp:positionV>
            <wp:extent cx="1800000" cy="180000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35">
                      <a:extLst>
                        <a:ext uri="{96DAC541-7B7A-43D3-8B79-37D633B846F1}">
                          <asvg:svgBlip xmlns:asvg="http://schemas.microsoft.com/office/drawing/2016/SVG/main" r:embed="rId136"/>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sectPr w:rsidR="00C046B1" w:rsidRPr="00C10A00" w:rsidSect="00B75C3E">
      <w:footerReference w:type="default" r:id="rId137"/>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35D2A" w14:textId="77777777" w:rsidR="00B91632" w:rsidRDefault="00B91632">
      <w:pPr>
        <w:spacing w:after="0"/>
      </w:pPr>
      <w:r>
        <w:separator/>
      </w:r>
    </w:p>
  </w:endnote>
  <w:endnote w:type="continuationSeparator" w:id="0">
    <w:p w14:paraId="231B2AF8" w14:textId="77777777" w:rsidR="00B91632" w:rsidRDefault="00B916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F3A4C7FE-43F1-4DA2-BCF3-422AA4FB7CFE}"/>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1F4C8F40-14DA-4333-AADF-9431EF9AE962}"/>
    <w:embedBold r:id="rId3" w:fontKey="{D48C841D-93B5-4CF1-B63D-27F2B1096536}"/>
    <w:embedItalic r:id="rId4" w:fontKey="{D713AF49-DBEC-4BCF-AB0B-62B63CEEBDA7}"/>
    <w:embedBoldItalic r:id="rId5" w:fontKey="{E4F0AD22-1B80-4FE9-A861-9308FC0238BE}"/>
  </w:font>
  <w:font w:name="Noto Sans">
    <w:panose1 w:val="020B0502040504020204"/>
    <w:charset w:val="00"/>
    <w:family w:val="swiss"/>
    <w:pitch w:val="variable"/>
    <w:sig w:usb0="E00002FF" w:usb1="4000201F" w:usb2="08000029" w:usb3="00000000" w:csb0="0000019F" w:csb1="00000000"/>
    <w:embedRegular r:id="rId6" w:fontKey="{244BEF32-1D87-4A66-AFB1-3875AC26455E}"/>
    <w:embedBold r:id="rId7" w:fontKey="{9303281C-BC0D-4F0A-9234-DE9BBA54EFC9}"/>
    <w:embedItalic r:id="rId8" w:fontKey="{D4DD51EA-0FCF-4F09-9328-4C5BE59C7782}"/>
  </w:font>
  <w:font w:name="Noto Sans Condensed Medium">
    <w:altName w:val="Calibri"/>
    <w:charset w:val="00"/>
    <w:family w:val="swiss"/>
    <w:pitch w:val="variable"/>
    <w:sig w:usb0="E00002FF" w:usb1="4000201F" w:usb2="08000029" w:usb3="00000000" w:csb0="0000019F" w:csb1="00000000"/>
    <w:embedRegular r:id="rId9" w:fontKey="{169B8B9C-ACCE-413E-B744-C5A5DEA0F52C}"/>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25271D3A-8093-4CF6-A901-2FC9AE5D9903}"/>
  </w:font>
  <w:font w:name="Noto Sans SemiBold">
    <w:panose1 w:val="020B0502040504020204"/>
    <w:charset w:val="00"/>
    <w:family w:val="swiss"/>
    <w:pitch w:val="variable"/>
    <w:sig w:usb0="E00002FF" w:usb1="4000201F" w:usb2="08000029" w:usb3="00000000" w:csb0="0000019F" w:csb1="00000000"/>
    <w:embedRegular r:id="rId11" w:fontKey="{AAAA4395-2A40-4ECC-B1D5-3D1003B4F7BE}"/>
    <w:embedBold r:id="rId12" w:fontKey="{68D64D21-19E0-4B70-A4E0-6E59CFD9F96B}"/>
  </w:font>
  <w:font w:name="Noto Sans Light">
    <w:panose1 w:val="020B0502040504020204"/>
    <w:charset w:val="00"/>
    <w:family w:val="swiss"/>
    <w:pitch w:val="variable"/>
    <w:sig w:usb0="E00002FF" w:usb1="4000201F" w:usb2="08000029" w:usb3="00000000" w:csb0="0000019F" w:csb1="00000000"/>
    <w:embedRegular r:id="rId13" w:fontKey="{DA381F05-A9D2-4C00-BCDB-80C04C866DC5}"/>
  </w:font>
  <w:font w:name="Aptos Display">
    <w:charset w:val="00"/>
    <w:family w:val="swiss"/>
    <w:pitch w:val="variable"/>
    <w:sig w:usb0="20000287" w:usb1="00000003" w:usb2="00000000" w:usb3="00000000" w:csb0="0000019F" w:csb1="00000000"/>
    <w:embedRegular r:id="rId14" w:fontKey="{1E4D66A5-2591-4B6A-9FB0-9F0C36A07C5D}"/>
  </w:font>
  <w:font w:name="Consolas">
    <w:panose1 w:val="020B0609020204030204"/>
    <w:charset w:val="00"/>
    <w:family w:val="modern"/>
    <w:pitch w:val="fixed"/>
    <w:sig w:usb0="E00006FF" w:usb1="0000FCFF" w:usb2="00000001" w:usb3="00000000" w:csb0="0000019F" w:csb1="00000000"/>
    <w:embedRegular r:id="rId15" w:fontKey="{EF792E7C-7DDB-4673-9246-B3A71A31CD1B}"/>
    <w:embedBold r:id="rId16" w:fontKey="{55834579-92E6-4775-A7B4-B7709DA5AB00}"/>
    <w:embedItalic r:id="rId17" w:fontKey="{F6C30D49-B5BA-4835-B22B-3FF2DB20C384}"/>
    <w:embedBoldItalic r:id="rId18" w:fontKey="{A6B638DE-4BB6-4BEF-B8CB-00BEFF1803E7}"/>
  </w:font>
  <w:font w:name="Noto Serif">
    <w:panose1 w:val="02020502060505020204"/>
    <w:charset w:val="00"/>
    <w:family w:val="roman"/>
    <w:pitch w:val="variable"/>
    <w:sig w:usb0="E00002FF" w:usb1="4000201F" w:usb2="08000029" w:usb3="00000000" w:csb0="0000019F" w:csb1="00000000"/>
    <w:embedRegular r:id="rId19" w:fontKey="{16EC527D-3E57-4766-8DB9-6B348AEEC350}"/>
  </w:font>
  <w:font w:name="Noto Serif Light">
    <w:panose1 w:val="02020502060505020204"/>
    <w:charset w:val="00"/>
    <w:family w:val="roman"/>
    <w:pitch w:val="variable"/>
    <w:sig w:usb0="E00002FF" w:usb1="4000201F" w:usb2="08000029" w:usb3="00000000" w:csb0="0000019F" w:csb1="00000000"/>
    <w:embedRegular r:id="rId20" w:fontKey="{B9C6A4DC-9879-4399-B069-463E1F1792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83DF" w14:textId="77777777" w:rsidR="004B559C" w:rsidRDefault="004B559C" w:rsidP="004B559C">
    <w:pPr>
      <w:pStyle w:val="Footer"/>
      <w:jc w:val="center"/>
    </w:pPr>
    <w:r>
      <w:rPr>
        <w:rFonts w:hint="eastAsia"/>
        <w:lang w:eastAsia="ja-JP"/>
      </w:rPr>
      <w:t>p.</w:t>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3A6C" w14:textId="77777777"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076D" w14:textId="77777777" w:rsidR="00C046B1" w:rsidRDefault="00C046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24B6" w14:textId="77777777" w:rsidR="00C046B1" w:rsidRDefault="00C046B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0546" w14:textId="77777777" w:rsidR="00E30FA9" w:rsidRDefault="00E30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A4E36" w14:textId="77777777" w:rsidR="00B91632" w:rsidRDefault="00B91632">
      <w:pPr>
        <w:spacing w:after="0"/>
      </w:pPr>
      <w:r>
        <w:separator/>
      </w:r>
    </w:p>
  </w:footnote>
  <w:footnote w:type="continuationSeparator" w:id="0">
    <w:p w14:paraId="1E7C983F" w14:textId="77777777" w:rsidR="00B91632" w:rsidRDefault="00B9163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1953"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EC8C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6A9B"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914700687">
    <w:abstractNumId w:val="0"/>
  </w:num>
  <w:num w:numId="63" w16cid:durableId="88007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20361"/>
    <w:rsid w:val="0002044E"/>
    <w:rsid w:val="00022497"/>
    <w:rsid w:val="00030618"/>
    <w:rsid w:val="00045E28"/>
    <w:rsid w:val="000606AF"/>
    <w:rsid w:val="00083AA8"/>
    <w:rsid w:val="000A2DD3"/>
    <w:rsid w:val="000A494D"/>
    <w:rsid w:val="000E1670"/>
    <w:rsid w:val="000E7DB6"/>
    <w:rsid w:val="000F006E"/>
    <w:rsid w:val="00141582"/>
    <w:rsid w:val="00142BF4"/>
    <w:rsid w:val="00152693"/>
    <w:rsid w:val="00170051"/>
    <w:rsid w:val="0017535D"/>
    <w:rsid w:val="00180B44"/>
    <w:rsid w:val="001943E7"/>
    <w:rsid w:val="001C1E80"/>
    <w:rsid w:val="001C2CB1"/>
    <w:rsid w:val="001C42A4"/>
    <w:rsid w:val="00211A21"/>
    <w:rsid w:val="00251A48"/>
    <w:rsid w:val="00252517"/>
    <w:rsid w:val="00257EA7"/>
    <w:rsid w:val="00261CEB"/>
    <w:rsid w:val="0027476D"/>
    <w:rsid w:val="00290EC5"/>
    <w:rsid w:val="0029418A"/>
    <w:rsid w:val="002A4053"/>
    <w:rsid w:val="002D2C7A"/>
    <w:rsid w:val="002D34F5"/>
    <w:rsid w:val="002E23BB"/>
    <w:rsid w:val="00321E9D"/>
    <w:rsid w:val="00344431"/>
    <w:rsid w:val="00362DA6"/>
    <w:rsid w:val="00383396"/>
    <w:rsid w:val="003875CD"/>
    <w:rsid w:val="003A49D9"/>
    <w:rsid w:val="003B18A2"/>
    <w:rsid w:val="003C363C"/>
    <w:rsid w:val="003D3734"/>
    <w:rsid w:val="003E07D3"/>
    <w:rsid w:val="003E6CA1"/>
    <w:rsid w:val="0040485E"/>
    <w:rsid w:val="0040566D"/>
    <w:rsid w:val="0042301F"/>
    <w:rsid w:val="00441C68"/>
    <w:rsid w:val="00462FA2"/>
    <w:rsid w:val="004630A7"/>
    <w:rsid w:val="004B559C"/>
    <w:rsid w:val="004C2D33"/>
    <w:rsid w:val="004F1690"/>
    <w:rsid w:val="004F2F33"/>
    <w:rsid w:val="00507385"/>
    <w:rsid w:val="00523AD5"/>
    <w:rsid w:val="0054028B"/>
    <w:rsid w:val="00550075"/>
    <w:rsid w:val="00556806"/>
    <w:rsid w:val="00564267"/>
    <w:rsid w:val="00571387"/>
    <w:rsid w:val="005968F8"/>
    <w:rsid w:val="005969B9"/>
    <w:rsid w:val="005B22E7"/>
    <w:rsid w:val="005F6CBD"/>
    <w:rsid w:val="00615337"/>
    <w:rsid w:val="00642BB1"/>
    <w:rsid w:val="006A313C"/>
    <w:rsid w:val="006A656D"/>
    <w:rsid w:val="006B18BD"/>
    <w:rsid w:val="006C224F"/>
    <w:rsid w:val="006D58AA"/>
    <w:rsid w:val="006D63A4"/>
    <w:rsid w:val="0072199E"/>
    <w:rsid w:val="00724919"/>
    <w:rsid w:val="007262E7"/>
    <w:rsid w:val="007316A3"/>
    <w:rsid w:val="00734B84"/>
    <w:rsid w:val="00736338"/>
    <w:rsid w:val="007451B4"/>
    <w:rsid w:val="007631BB"/>
    <w:rsid w:val="00765905"/>
    <w:rsid w:val="007918E8"/>
    <w:rsid w:val="007A0714"/>
    <w:rsid w:val="007A07C8"/>
    <w:rsid w:val="007B5FC5"/>
    <w:rsid w:val="007F2D5D"/>
    <w:rsid w:val="0080351A"/>
    <w:rsid w:val="0081019A"/>
    <w:rsid w:val="008139AF"/>
    <w:rsid w:val="00832D93"/>
    <w:rsid w:val="008577E8"/>
    <w:rsid w:val="0086267A"/>
    <w:rsid w:val="00863C39"/>
    <w:rsid w:val="008970DB"/>
    <w:rsid w:val="008A0C2B"/>
    <w:rsid w:val="008C4196"/>
    <w:rsid w:val="008C5AF5"/>
    <w:rsid w:val="008D7992"/>
    <w:rsid w:val="008E446A"/>
    <w:rsid w:val="008E68C4"/>
    <w:rsid w:val="008F2D40"/>
    <w:rsid w:val="009027FE"/>
    <w:rsid w:val="009066A4"/>
    <w:rsid w:val="00910287"/>
    <w:rsid w:val="00953907"/>
    <w:rsid w:val="00955D6F"/>
    <w:rsid w:val="009607F6"/>
    <w:rsid w:val="0096232B"/>
    <w:rsid w:val="00963DA2"/>
    <w:rsid w:val="0098482B"/>
    <w:rsid w:val="009863FC"/>
    <w:rsid w:val="00986895"/>
    <w:rsid w:val="009A26D4"/>
    <w:rsid w:val="009B2D6F"/>
    <w:rsid w:val="009B488A"/>
    <w:rsid w:val="009B7EDC"/>
    <w:rsid w:val="009C0FD7"/>
    <w:rsid w:val="009C17C1"/>
    <w:rsid w:val="009E13EA"/>
    <w:rsid w:val="009E1544"/>
    <w:rsid w:val="009F487F"/>
    <w:rsid w:val="009F5D03"/>
    <w:rsid w:val="00A01554"/>
    <w:rsid w:val="00A33568"/>
    <w:rsid w:val="00A97292"/>
    <w:rsid w:val="00AA04C7"/>
    <w:rsid w:val="00AD1487"/>
    <w:rsid w:val="00AD239B"/>
    <w:rsid w:val="00AF1970"/>
    <w:rsid w:val="00AF6B07"/>
    <w:rsid w:val="00B174DE"/>
    <w:rsid w:val="00B366BE"/>
    <w:rsid w:val="00B41970"/>
    <w:rsid w:val="00B44EAE"/>
    <w:rsid w:val="00B75C3E"/>
    <w:rsid w:val="00B91632"/>
    <w:rsid w:val="00B96A60"/>
    <w:rsid w:val="00BA173B"/>
    <w:rsid w:val="00BC44BF"/>
    <w:rsid w:val="00BD4544"/>
    <w:rsid w:val="00BD6785"/>
    <w:rsid w:val="00BE110C"/>
    <w:rsid w:val="00BF3F39"/>
    <w:rsid w:val="00C046B1"/>
    <w:rsid w:val="00C10A00"/>
    <w:rsid w:val="00C211D6"/>
    <w:rsid w:val="00C26839"/>
    <w:rsid w:val="00C30EC8"/>
    <w:rsid w:val="00C536DF"/>
    <w:rsid w:val="00C54B24"/>
    <w:rsid w:val="00C80EEC"/>
    <w:rsid w:val="00C94B4C"/>
    <w:rsid w:val="00C95BDD"/>
    <w:rsid w:val="00CB0268"/>
    <w:rsid w:val="00CC4985"/>
    <w:rsid w:val="00CE4947"/>
    <w:rsid w:val="00CF37A2"/>
    <w:rsid w:val="00CF4B2D"/>
    <w:rsid w:val="00D05A89"/>
    <w:rsid w:val="00D13634"/>
    <w:rsid w:val="00D307BF"/>
    <w:rsid w:val="00D52261"/>
    <w:rsid w:val="00D73CF6"/>
    <w:rsid w:val="00D775DC"/>
    <w:rsid w:val="00D96158"/>
    <w:rsid w:val="00DB2DCB"/>
    <w:rsid w:val="00DC5D9A"/>
    <w:rsid w:val="00DC68B9"/>
    <w:rsid w:val="00DD01DD"/>
    <w:rsid w:val="00DE0C1F"/>
    <w:rsid w:val="00DE61E5"/>
    <w:rsid w:val="00DE632D"/>
    <w:rsid w:val="00E30FA9"/>
    <w:rsid w:val="00E64A4E"/>
    <w:rsid w:val="00E77712"/>
    <w:rsid w:val="00E81FB3"/>
    <w:rsid w:val="00EA64C6"/>
    <w:rsid w:val="00EB0AB8"/>
    <w:rsid w:val="00EE1025"/>
    <w:rsid w:val="00EE5BEF"/>
    <w:rsid w:val="00EF011A"/>
    <w:rsid w:val="00EF03FA"/>
    <w:rsid w:val="00F0164B"/>
    <w:rsid w:val="00F254BC"/>
    <w:rsid w:val="00F4084A"/>
    <w:rsid w:val="00F4335B"/>
    <w:rsid w:val="00F4751F"/>
    <w:rsid w:val="00F50FC8"/>
    <w:rsid w:val="00F6057E"/>
    <w:rsid w:val="00F62C48"/>
    <w:rsid w:val="00F858DD"/>
    <w:rsid w:val="00F865B8"/>
    <w:rsid w:val="00F95BEC"/>
    <w:rsid w:val="00F95F76"/>
    <w:rsid w:val="00FB0C53"/>
    <w:rsid w:val="00FD08A2"/>
    <w:rsid w:val="00FE2A7F"/>
    <w:rsid w:val="00FF3F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F268C8"/>
  <w15:docId w15:val="{CF41A2B6-2D1E-4893-9070-404D1D9C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30EC8"/>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9066A4"/>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6"/>
    </w:rPr>
  </w:style>
  <w:style w:type="paragraph" w:styleId="Heading3">
    <w:name w:val="heading 3"/>
    <w:basedOn w:val="Normal"/>
    <w:next w:val="BodyText"/>
    <w:link w:val="Heading3Char"/>
    <w:uiPriority w:val="9"/>
    <w:unhideWhenUsed/>
    <w:qFormat/>
    <w:rsid w:val="00C30EC8"/>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94B4C"/>
    <w:pPr>
      <w:snapToGrid w:val="0"/>
      <w:spacing w:after="240" w:line="300" w:lineRule="auto"/>
    </w:pPr>
  </w:style>
  <w:style w:type="paragraph" w:customStyle="1" w:styleId="FirstParagraph">
    <w:name w:val="First Paragraph"/>
    <w:basedOn w:val="BodyText"/>
    <w:next w:val="BodyText"/>
    <w:qFormat/>
    <w:rsid w:val="00141582"/>
    <w:pPr>
      <w:suppressAutoHyphens/>
      <w:spacing w:line="264" w:lineRule="auto"/>
    </w:pPr>
    <w:rPr>
      <w:rFonts w:cs="Noto Sans SemiBold"/>
    </w:rPr>
  </w:style>
  <w:style w:type="paragraph" w:customStyle="1" w:styleId="Compact">
    <w:name w:val="Compact"/>
    <w:basedOn w:val="BodyText"/>
    <w:qFormat/>
    <w:rsid w:val="00D96158"/>
    <w:pPr>
      <w:numPr>
        <w:numId w:val="10"/>
      </w:numPr>
      <w:suppressAutoHyphens/>
      <w:spacing w:after="160" w:line="264" w:lineRule="auto"/>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0EC8"/>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9066A4"/>
    <w:rPr>
      <w:rFonts w:ascii="Noto Sans Condensed Medium" w:eastAsiaTheme="majorEastAsia" w:hAnsi="Noto Sans Condensed Medium" w:cs="Noto Sans Condensed Medium"/>
      <w:color w:val="124F1A" w:themeColor="accent3" w:themeShade="BF"/>
      <w:sz w:val="36"/>
      <w:szCs w:val="36"/>
    </w:rPr>
  </w:style>
  <w:style w:type="character" w:customStyle="1" w:styleId="Heading3Char">
    <w:name w:val="Heading 3 Char"/>
    <w:basedOn w:val="DefaultParagraphFont"/>
    <w:link w:val="Heading3"/>
    <w:uiPriority w:val="9"/>
    <w:rsid w:val="00C30EC8"/>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B366BE"/>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uiPriority w:val="99"/>
    <w:rsid w:val="00B75C3E"/>
    <w:pPr>
      <w:tabs>
        <w:tab w:val="center" w:pos="4513"/>
        <w:tab w:val="right" w:pos="9026"/>
      </w:tabs>
      <w:spacing w:after="0"/>
    </w:pPr>
  </w:style>
  <w:style w:type="character" w:customStyle="1" w:styleId="HeaderChar">
    <w:name w:val="Header Char"/>
    <w:basedOn w:val="DefaultParagraphFont"/>
    <w:link w:val="Header"/>
    <w:uiPriority w:val="99"/>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paragraph" w:customStyle="1" w:styleId="Heading2nolevel">
    <w:name w:val="Heading 2 (no level)"/>
    <w:basedOn w:val="Heading2"/>
    <w:qFormat/>
    <w:rsid w:val="00B366BE"/>
    <w:pPr>
      <w:outlineLvl w:val="9"/>
    </w:pPr>
  </w:style>
  <w:style w:type="character" w:customStyle="1" w:styleId="BodyTextChar">
    <w:name w:val="Body Text Char"/>
    <w:basedOn w:val="DefaultParagraphFont"/>
    <w:link w:val="BodyText"/>
    <w:rsid w:val="00C94B4C"/>
    <w:rPr>
      <w:rFonts w:ascii="Noto Sans" w:hAnsi="Noto San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cnbc.com/2020/06/29/enron-of-germany-wirecard-scandal-casts-a-shadow-on-governance.html" TargetMode="External"/><Relationship Id="rId21" Type="http://schemas.openxmlformats.org/officeDocument/2006/relationships/hyperlink" Target="https://www.centralbanking.com/fintech/cbdc/7974406/digital-euro-could-reopen-e-krona-debate-for-riksbank-bunge" TargetMode="External"/><Relationship Id="rId42" Type="http://schemas.openxmlformats.org/officeDocument/2006/relationships/hyperlink" Target="https://www.sechistorical.org/collection/papers/1980/1988_0101_BradyReport.pdf" TargetMode="External"/><Relationship Id="rId63" Type="http://schemas.openxmlformats.org/officeDocument/2006/relationships/hyperlink" Target="https://www.congress.gov/crs-product/RS22331" TargetMode="External"/><Relationship Id="rId84" Type="http://schemas.openxmlformats.org/officeDocument/2006/relationships/hyperlink" Target="https://www.customs.go.jp/english/c-answer_e/keizairenkei/4052_e.htm" TargetMode="External"/><Relationship Id="rId138" Type="http://schemas.openxmlformats.org/officeDocument/2006/relationships/fontTable" Target="fontTable.xml"/><Relationship Id="rId16" Type="http://schemas.openxmlformats.org/officeDocument/2006/relationships/hyperlink" Target="https://english.www.gov.cn/archive/statistics/202409/05/content_WS66d9ab78c6d0868f4e8eaa27.html" TargetMode="External"/><Relationship Id="rId107" Type="http://schemas.openxmlformats.org/officeDocument/2006/relationships/hyperlink" Target="https://maps.org.uk/en/our-work/uk-strategy-for-financial-wellbeing" TargetMode="External"/><Relationship Id="rId11" Type="http://schemas.openxmlformats.org/officeDocument/2006/relationships/hyperlink" Target="https://www.pbs.org/newshour/show/bankman-fried-sentenced-to-25-years-in-prison-for-massive-ftx-fraud" TargetMode="External"/><Relationship Id="rId32" Type="http://schemas.openxmlformats.org/officeDocument/2006/relationships/hyperlink" Target="https://fpf.org/blog/the-digital-personal-data-protection-act-of-india-explained/" TargetMode="External"/><Relationship Id="rId37" Type="http://schemas.openxmlformats.org/officeDocument/2006/relationships/hyperlink" Target="https://www.bis.org/publ/bisbull52.htm" TargetMode="External"/><Relationship Id="rId53" Type="http://schemas.openxmlformats.org/officeDocument/2006/relationships/hyperlink" Target="https://nolhga.com/policyholders/how-youre-protected/" TargetMode="External"/><Relationship Id="rId58" Type="http://schemas.openxmlformats.org/officeDocument/2006/relationships/hyperlink" Target="https://www.boj.or.jp/en/research/brp/fsr/index.htm" TargetMode="External"/><Relationship Id="rId74" Type="http://schemas.openxmlformats.org/officeDocument/2006/relationships/hyperlink" Target="https://www.bloomberg.com/news/articles/2024-01-23/eu-faces-481-billion-annual-shortfall-on-strategic-investments" TargetMode="External"/><Relationship Id="rId79" Type="http://schemas.openxmlformats.org/officeDocument/2006/relationships/hyperlink" Target="https://cepr.org/voxeu/columns/foreign-exporters-absorbed-nearly-half-2025-us-tariff-shock" TargetMode="External"/><Relationship Id="rId102" Type="http://schemas.openxmlformats.org/officeDocument/2006/relationships/hyperlink" Target="https://www.amla.europa.eu/system/files/2026-02/AMLA%20SPD%202026-2028.pdf" TargetMode="External"/><Relationship Id="rId123" Type="http://schemas.openxmlformats.org/officeDocument/2006/relationships/hyperlink" Target="https://www.cnbc.com/2009/01/07/major-indian-company-named-for-truth-admits-fraud.html" TargetMode="External"/><Relationship Id="rId128" Type="http://schemas.openxmlformats.org/officeDocument/2006/relationships/hyperlink" Target="https://www.france24.com/en/live-news/20230119-sakhalin-exception-the-russian-energy-japan-can-t-quit" TargetMode="External"/><Relationship Id="rId5" Type="http://schemas.openxmlformats.org/officeDocument/2006/relationships/webSettings" Target="webSettings.xml"/><Relationship Id="rId90" Type="http://schemas.openxmlformats.org/officeDocument/2006/relationships/hyperlink" Target="https://www.oecd.org/en/publications/2025/11/pensions-at-a-glance-2025_76510fe4/full-report/demographic-old-age-to-working-age-ratio_25476b96.html" TargetMode="External"/><Relationship Id="rId95" Type="http://schemas.openxmlformats.org/officeDocument/2006/relationships/hyperlink" Target="https://www.bls.gov/opub/ted/2022/consumer-prices-up-9-1-percent-over-the-year-ended-june-2022-largest-increase-in-40-years.htm" TargetMode="External"/><Relationship Id="rId22" Type="http://schemas.openxmlformats.org/officeDocument/2006/relationships/hyperlink" Target="https://www.fca.org.uk/news/press-releases/financial-conduct-authority%E2%80%99s-regulatory-sandbox-opens-applications" TargetMode="External"/><Relationship Id="rId27" Type="http://schemas.openxmlformats.org/officeDocument/2006/relationships/hyperlink" Target="https://www.jonesday.com/en/insights/2021/05/japans-amended-payment-services-act-could-prompt-more-nonbank-entries-into-traditional-banking-services" TargetMode="External"/><Relationship Id="rId43" Type="http://schemas.openxmlformats.org/officeDocument/2006/relationships/hyperlink" Target="https://www.investor.gov/introduction-investing/investing-basics/glossary/stock-market-circuit-breakers" TargetMode="External"/><Relationship Id="rId48" Type="http://schemas.openxmlformats.org/officeDocument/2006/relationships/hyperlink" Target="https://www.france24.com/en/france/20250913-france-credit-score-downgraded-lowest-on-record-amid-political-crisis-lecornu-macron-budget" TargetMode="External"/><Relationship Id="rId64" Type="http://schemas.openxmlformats.org/officeDocument/2006/relationships/hyperlink" Target="https://www.bloomberg.com/news/articles/2024-07-03/sri-lanka-bondholders-agree-on-core-terms-of-debt-restructuring" TargetMode="External"/><Relationship Id="rId69" Type="http://schemas.openxmlformats.org/officeDocument/2006/relationships/hyperlink" Target="https://eur-lex.europa.eu/EN/legal-content/summary/european-green-bond-standard.html" TargetMode="External"/><Relationship Id="rId113" Type="http://schemas.openxmlformats.org/officeDocument/2006/relationships/hyperlink" Target="https://www.dir.co.jp/english/research/report/law-research/20230113_023550.html" TargetMode="External"/><Relationship Id="rId118" Type="http://schemas.openxmlformats.org/officeDocument/2006/relationships/hyperlink" Target="https://www.jpx.co.jp/english/equities/listing/cg/" TargetMode="External"/><Relationship Id="rId134" Type="http://schemas.openxmlformats.org/officeDocument/2006/relationships/hyperlink" Target="https://www.aiib.org/en/about-aiib/index.html" TargetMode="External"/><Relationship Id="rId139" Type="http://schemas.openxmlformats.org/officeDocument/2006/relationships/theme" Target="theme/theme1.xml"/><Relationship Id="rId80" Type="http://schemas.openxmlformats.org/officeDocument/2006/relationships/hyperlink" Target="https://budgetlab.yale.edu/research/state-us-tariffs-october-17-2025" TargetMode="External"/><Relationship Id="rId85" Type="http://schemas.openxmlformats.org/officeDocument/2006/relationships/hyperlink" Target="https://www.ssa.gov/policy/docs/progdesc/intl_update/2023-06/index.html" TargetMode="External"/><Relationship Id="rId12" Type="http://schemas.openxmlformats.org/officeDocument/2006/relationships/hyperlink" Target="https://www.esma.europa.eu/esmas-activities/digital-finance-and-innovation/markets-crypto-assets-regulation-mica" TargetMode="External"/><Relationship Id="rId17" Type="http://schemas.openxmlformats.org/officeDocument/2006/relationships/hyperlink" Target="https://www.ecb.europa.eu/press/pr/date/2025/html/ecb.pr251030~8c5b5beef0.en.html" TargetMode="External"/><Relationship Id="rId33" Type="http://schemas.openxmlformats.org/officeDocument/2006/relationships/hyperlink" Target="https://www.ppc.go.jp/en/legal/" TargetMode="External"/><Relationship Id="rId38" Type="http://schemas.openxmlformats.org/officeDocument/2006/relationships/hyperlink" Target="https://www.meti.go.jp/english/press/2025/0331_001.html" TargetMode="External"/><Relationship Id="rId59" Type="http://schemas.openxmlformats.org/officeDocument/2006/relationships/hyperlink" Target="https://www.bankingsupervision.europa.eu/press/pr/date/2022/html/ssm.pr220708~565c38d18a.en.html" TargetMode="External"/><Relationship Id="rId103" Type="http://schemas.openxmlformats.org/officeDocument/2006/relationships/hyperlink" Target="https://www.oecd.org/en/publications/oecd-infe-2023-international-survey-of-adult-financial-literacy_56003a32-en.html" TargetMode="External"/><Relationship Id="rId108" Type="http://schemas.openxmlformats.org/officeDocument/2006/relationships/hyperlink" Target="https://japan.kantei.go.jp/101_kishida/actions/202408/02j-flec.html" TargetMode="External"/><Relationship Id="rId124" Type="http://schemas.openxmlformats.org/officeDocument/2006/relationships/hyperlink" Target="https://www.cfr.org/articles/how-use-russias-frozen-assets" TargetMode="External"/><Relationship Id="rId129" Type="http://schemas.openxmlformats.org/officeDocument/2006/relationships/header" Target="header1.xml"/><Relationship Id="rId54" Type="http://schemas.openxmlformats.org/officeDocument/2006/relationships/hyperlink" Target="https://www.iais.org/2024/12/iais-adopts-insurance-capital-standard-and-other-enhancements-to-its-global-standards-to-promote-a-resilient-insurance-sector/" TargetMode="External"/><Relationship Id="rId70" Type="http://schemas.openxmlformats.org/officeDocument/2006/relationships/hyperlink" Target="https://www.mof.go.jp/english/policy/jgbs/topics/JapanClimateTransitionBonds/index.html" TargetMode="External"/><Relationship Id="rId75" Type="http://schemas.openxmlformats.org/officeDocument/2006/relationships/hyperlink" Target="https://asia.nikkei.com/spotlight/datawatch/aging-infrastructure-a-major-roadblock-to-japan-s-future" TargetMode="External"/><Relationship Id="rId91" Type="http://schemas.openxmlformats.org/officeDocument/2006/relationships/hyperlink" Target="https://www.imf.org/en/publications/weo/issues/2020/04/14/weo-april-2020" TargetMode="External"/><Relationship Id="rId96" Type="http://schemas.openxmlformats.org/officeDocument/2006/relationships/hyperlink" Target="https://www.japantimes.co.jp/news/2023/02/24/business/inflation-record-high/"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ocuments1.worldbank.org/curated/en/912001605241080935/txt/Global-Experiences-from-Regulatory-Sandboxes.txt" TargetMode="External"/><Relationship Id="rId28" Type="http://schemas.openxmlformats.org/officeDocument/2006/relationships/hyperlink" Target="https://www.dataprotection.ie/en/news-media/press-releases/Data-Protection-Commission-announces-conclusion-of-inquiry-into-Meta-Ireland" TargetMode="External"/><Relationship Id="rId49" Type="http://schemas.openxmlformats.org/officeDocument/2006/relationships/hyperlink" Target="https://www.jcr.co.jp/en/service/company/regu/" TargetMode="External"/><Relationship Id="rId114" Type="http://schemas.openxmlformats.org/officeDocument/2006/relationships/hyperlink" Target="https://gabriel-zucman.eu/files/report-g20.pdf" TargetMode="External"/><Relationship Id="rId119" Type="http://schemas.openxmlformats.org/officeDocument/2006/relationships/hyperlink" Target="https://corpgov.law.harvard.edu/2025/10/21/tokyo-stock-exchange-initiative-on-cost-of-capital-and-stock-price-conscious-management/" TargetMode="External"/><Relationship Id="rId44" Type="http://schemas.openxmlformats.org/officeDocument/2006/relationships/hyperlink" Target="https://www.sec.gov/ocr/ocr-reports-and-studies" TargetMode="External"/><Relationship Id="rId60" Type="http://schemas.openxmlformats.org/officeDocument/2006/relationships/hyperlink" Target="https://www.imf.org/external/datamapper/GGXWDG_NGDP@WEO" TargetMode="External"/><Relationship Id="rId65" Type="http://schemas.openxmlformats.org/officeDocument/2006/relationships/hyperlink" Target="https://debtjustice.org.uk/press-release/zambia-reaches-debt-deal-with-bondholders" TargetMode="External"/><Relationship Id="rId81" Type="http://schemas.openxmlformats.org/officeDocument/2006/relationships/hyperlink" Target="https://www.congress.gov/crs-product/LSB11398" TargetMode="External"/><Relationship Id="rId86" Type="http://schemas.openxmlformats.org/officeDocument/2006/relationships/hyperlink" Target="https://www.ssa.gov/news/en/press/releases/2026-06-09.html" TargetMode="External"/><Relationship Id="rId130" Type="http://schemas.openxmlformats.org/officeDocument/2006/relationships/header" Target="header2.xml"/><Relationship Id="rId135" Type="http://schemas.openxmlformats.org/officeDocument/2006/relationships/image" Target="media/image1.png"/><Relationship Id="rId13" Type="http://schemas.openxmlformats.org/officeDocument/2006/relationships/hyperlink" Target="https://www.whitehouse.gov/fact-sheets/2025/07/fact-sheet-president-donald-j-trump-signs-genius-act-into-law/" TargetMode="External"/><Relationship Id="rId18" Type="http://schemas.openxmlformats.org/officeDocument/2006/relationships/hyperlink" Target="https://www.centralbankbahamas.com/news/public-notices/the-sand-dollar-is-on-schedule-for-gradual-national-release-to-the-bahamas-in-mid-october-2020" TargetMode="External"/><Relationship Id="rId39" Type="http://schemas.openxmlformats.org/officeDocument/2006/relationships/hyperlink" Target="https://www.pib.gov.in/PressReleasePage.aspx?PRID=2049231" TargetMode="External"/><Relationship Id="rId109" Type="http://schemas.openxmlformats.org/officeDocument/2006/relationships/hyperlink" Target="https://papers.ssrn.com/sol3/papers.cfm?abstract_id=2333898" TargetMode="External"/><Relationship Id="rId34" Type="http://schemas.openxmlformats.org/officeDocument/2006/relationships/hyperlink" Target="https://ec.europa.eu/commission/presscorner/detail/en/IP_19_421" TargetMode="External"/><Relationship Id="rId50" Type="http://schemas.openxmlformats.org/officeDocument/2006/relationships/hyperlink" Target="https://www.fsa.go.jp/en/refer/ins/capital.html" TargetMode="External"/><Relationship Id="rId55" Type="http://schemas.openxmlformats.org/officeDocument/2006/relationships/hyperlink" Target="https://www.federalreserve.gov/newsevents/pressreleases/bcreg20090507a.htm" TargetMode="External"/><Relationship Id="rId76" Type="http://schemas.openxmlformats.org/officeDocument/2006/relationships/hyperlink" Target="https://www.scmp.com/news/china/diplomacy/article/3187354/china-backed-nairobi-expressway-opens-kenya-paving-way-more" TargetMode="External"/><Relationship Id="rId97" Type="http://schemas.openxmlformats.org/officeDocument/2006/relationships/hyperlink" Target="https://www.unodc.org/unodc/en/money-laundering/overview.html" TargetMode="External"/><Relationship Id="rId104" Type="http://schemas.openxmlformats.org/officeDocument/2006/relationships/hyperlink" Target="https://www.sciencedirect.com/science/article/abs/pii/S0304405X21004281" TargetMode="External"/><Relationship Id="rId120" Type="http://schemas.openxmlformats.org/officeDocument/2006/relationships/hyperlink" Target="https://www.cnbc.com/2021/05/26/engine-no-1-gets-at-least-2-candidates-elected-to-exxons-board-in-win-for-the-activist.html" TargetMode="External"/><Relationship Id="rId125" Type="http://schemas.openxmlformats.org/officeDocument/2006/relationships/hyperlink" Target="https://news.un.org/en/story/2024/11/1157416" TargetMode="External"/><Relationship Id="rId7" Type="http://schemas.openxmlformats.org/officeDocument/2006/relationships/endnotes" Target="endnotes.xml"/><Relationship Id="rId71" Type="http://schemas.openxmlformats.org/officeDocument/2006/relationships/hyperlink" Target="https://thedocs.worldbank.org/en/doc/0cbf29fe7e18a8d8a64b67ad2d0a6a7c-0340012026/original/WBG-TRE-Labeled-Sustainable-Bonds-Market-Update-2025-Q4.pdf" TargetMode="External"/><Relationship Id="rId92" Type="http://schemas.openxmlformats.org/officeDocument/2006/relationships/hyperlink" Target="https://ec.europa.eu/eurostat/documents/portlet_file_entry/2995521/2-02022021-AP-EN.pdf" TargetMode="External"/><Relationship Id="rId2" Type="http://schemas.openxmlformats.org/officeDocument/2006/relationships/numbering" Target="numbering.xml"/><Relationship Id="rId29" Type="http://schemas.openxmlformats.org/officeDocument/2006/relationships/hyperlink" Target="https://www.dlapiper.com/en/insights/publications/2025/01/dla-piper-gdpr-fines-and-data-breach-survey-january-2025" TargetMode="External"/><Relationship Id="rId24" Type="http://schemas.openxmlformats.org/officeDocument/2006/relationships/hyperlink" Target="https://finance.ec.europa.eu/consumer-finance-and-payments/payment-services/payment-services_en" TargetMode="External"/><Relationship Id="rId40" Type="http://schemas.openxmlformats.org/officeDocument/2006/relationships/hyperlink" Target="https://www.japanpost.jp/en/corporate/changes/index.html" TargetMode="External"/><Relationship Id="rId45" Type="http://schemas.openxmlformats.org/officeDocument/2006/relationships/hyperlink" Target="https://www.justice.gov/archives/opa/pr/justice-department-and-state-partners-secure-1375-billion-settlement-sp-defrauding-investors" TargetMode="External"/><Relationship Id="rId66" Type="http://schemas.openxmlformats.org/officeDocument/2006/relationships/hyperlink" Target="https://www.icmagroup.org/sustainable-finance/the-principles-guidelines-and-handbooks/green-bond-principles-gbp/" TargetMode="External"/><Relationship Id="rId87" Type="http://schemas.openxmlformats.org/officeDocument/2006/relationships/hyperlink" Target="https://www.koreaherald.com/article/10446290" TargetMode="External"/><Relationship Id="rId110" Type="http://schemas.openxmlformats.org/officeDocument/2006/relationships/hyperlink" Target="https://wir2022.wid.world/executive-summary/" TargetMode="External"/><Relationship Id="rId115" Type="http://schemas.openxmlformats.org/officeDocument/2006/relationships/hyperlink" Target="https://www.npr.org/2024/08/04/nx-s1-5060344/at-the-g20-a-billionaire-tax-is-being-proposed-but-is-it-feasible" TargetMode="External"/><Relationship Id="rId131" Type="http://schemas.openxmlformats.org/officeDocument/2006/relationships/footer" Target="footer3.xml"/><Relationship Id="rId136" Type="http://schemas.openxmlformats.org/officeDocument/2006/relationships/image" Target="media/image2.svg"/><Relationship Id="rId61" Type="http://schemas.openxmlformats.org/officeDocument/2006/relationships/hyperlink" Target="https://www.mof.go.jp/english/policy/jgbs/reference/Others/holdings01.pdf" TargetMode="External"/><Relationship Id="rId82" Type="http://schemas.openxmlformats.org/officeDocument/2006/relationships/hyperlink" Target="https://www.congress.gov/crs-product/IN12608" TargetMode="External"/><Relationship Id="rId19" Type="http://schemas.openxmlformats.org/officeDocument/2006/relationships/hyperlink" Target="https://www.ecb.europa.eu/press/pr/date/2025/html/ecb.pr251030~8c5b5beef0.en.html" TargetMode="External"/><Relationship Id="rId14" Type="http://schemas.openxmlformats.org/officeDocument/2006/relationships/hyperlink" Target="https://www.bis.org/publ/bppdf/bispap159.htm" TargetMode="External"/><Relationship Id="rId30" Type="http://schemas.openxmlformats.org/officeDocument/2006/relationships/hyperlink" Target="https://www.consumerfinance.gov/archive/newsroom/cfpb-ftc-states-announce-settlement-with-equifax-over-2017-data-breach/" TargetMode="External"/><Relationship Id="rId35" Type="http://schemas.openxmlformats.org/officeDocument/2006/relationships/hyperlink" Target="https://www.worldbank.org/en/news/press-release/2025/07/16/mobile-phone-technology-powers-saving-surge-in-developing-economies" TargetMode="External"/><Relationship Id="rId56" Type="http://schemas.openxmlformats.org/officeDocument/2006/relationships/hyperlink" Target="https://www.eba.europa.eu/publications-and-media/press-releases/eba-publishes-results-its-2025-eu-wide-stress-test" TargetMode="External"/><Relationship Id="rId77" Type="http://schemas.openxmlformats.org/officeDocument/2006/relationships/hyperlink" Target="https://www.worldbank.org/en/about/annual-report/financial-summary" TargetMode="External"/><Relationship Id="rId100" Type="http://schemas.openxmlformats.org/officeDocument/2006/relationships/hyperlink" Target="https://www.justice.gov/archives/opa/pr/danske-bank-pleads-guilty-fraud-us-banks-multi-billion-dollar-scheme-access-us-financial" TargetMode="External"/><Relationship Id="rId105" Type="http://schemas.openxmlformats.org/officeDocument/2006/relationships/hyperlink" Target="https://www.ngpf.org/state-of-financial-education-report" TargetMode="External"/><Relationship Id="rId126" Type="http://schemas.openxmlformats.org/officeDocument/2006/relationships/hyperlink" Target="https://unctad.org/news/countries-agree-300-billion-2035-new-climate-finance-goal-what-next" TargetMode="External"/><Relationship Id="rId8" Type="http://schemas.openxmlformats.org/officeDocument/2006/relationships/footer" Target="footer1.xml"/><Relationship Id="rId51" Type="http://schemas.openxmlformats.org/officeDocument/2006/relationships/hyperlink" Target="https://www.eiopa.europa.eu/browse/regulation-and-policy/solvency-ii_en" TargetMode="External"/><Relationship Id="rId72" Type="http://schemas.openxmlformats.org/officeDocument/2006/relationships/hyperlink" Target="https://www.gihub.org/media/global-infrastructure-investment-need-to-reach-usd97-trillion-by-2040/" TargetMode="External"/><Relationship Id="rId93" Type="http://schemas.openxmlformats.org/officeDocument/2006/relationships/hyperlink" Target="https://www.ecb.europa.eu/mopo/implement/pepp/html/index.en.html" TargetMode="External"/><Relationship Id="rId98" Type="http://schemas.openxmlformats.org/officeDocument/2006/relationships/hyperlink" Target="https://www.fatf-gafi.org/en/the-fatf/history-of-the-fatf.html" TargetMode="External"/><Relationship Id="rId121" Type="http://schemas.openxmlformats.org/officeDocument/2006/relationships/hyperlink" Target="https://www.skadden.com/insights/publications/2021/06/the-informed-board/what-the-exxon-mobil-shareholder-votes-mean" TargetMode="External"/><Relationship Id="rId3" Type="http://schemas.openxmlformats.org/officeDocument/2006/relationships/styles" Target="styles.xml"/><Relationship Id="rId25" Type="http://schemas.openxmlformats.org/officeDocument/2006/relationships/hyperlink" Target="https://www.business-standard.com/finance/news/upi-completes-10-years-clocks-nearly-13k-fold-rise-in-transaction-volume-126082400604_1.html" TargetMode="External"/><Relationship Id="rId46" Type="http://schemas.openxmlformats.org/officeDocument/2006/relationships/hyperlink" Target="https://www.esma.europa.eu/esmas-activities/investors-and-issuers/credit-rating-agencies" TargetMode="External"/><Relationship Id="rId67" Type="http://schemas.openxmlformats.org/officeDocument/2006/relationships/hyperlink" Target="https://www.eib.org/en/press/all/2022-308-15-years-of-eib-green-bonds-leading-sustainable-investment-from-niche-to-mainstream" TargetMode="External"/><Relationship Id="rId116" Type="http://schemas.openxmlformats.org/officeDocument/2006/relationships/hyperlink" Target="https://www.jbs.cam.ac.uk/faculty-research/publications/cadbury-archive/report/" TargetMode="External"/><Relationship Id="rId137" Type="http://schemas.openxmlformats.org/officeDocument/2006/relationships/footer" Target="footer5.xml"/><Relationship Id="rId20" Type="http://schemas.openxmlformats.org/officeDocument/2006/relationships/hyperlink" Target="https://www.boj.or.jp/en/paym/digital/index.htm" TargetMode="External"/><Relationship Id="rId41" Type="http://schemas.openxmlformats.org/officeDocument/2006/relationships/hyperlink" Target="https://www.jpx.co.jp/english/derivatives/rules/price-limit-cb/" TargetMode="External"/><Relationship Id="rId62" Type="http://schemas.openxmlformats.org/officeDocument/2006/relationships/hyperlink" Target="https://www.dmo.gov.uk/media/dmgaetip/gar2025a.pdf" TargetMode="External"/><Relationship Id="rId83" Type="http://schemas.openxmlformats.org/officeDocument/2006/relationships/hyperlink" Target="https://www.aljazeera.com/news/2025/8/27/us-imposes-50-percent-tariff-on-india-over-russian-oil-purchases" TargetMode="External"/><Relationship Id="rId88" Type="http://schemas.openxmlformats.org/officeDocument/2006/relationships/hyperlink" Target="https://www.japantimes.co.jp/news/2024/07/03/japan/society/pension-funds/" TargetMode="External"/><Relationship Id="rId111" Type="http://schemas.openxmlformats.org/officeDocument/2006/relationships/hyperlink" Target="https://www.stlouisfed.org/community-development/publications/the-state-of-us-household-wealth" TargetMode="External"/><Relationship Id="rId132" Type="http://schemas.openxmlformats.org/officeDocument/2006/relationships/header" Target="header3.xml"/><Relationship Id="rId15" Type="http://schemas.openxmlformats.org/officeDocument/2006/relationships/hyperlink" Target="https://www.imf.org/-/media/files/publications/ftn063/2024/english/ftnea2024005.pdf" TargetMode="External"/><Relationship Id="rId36" Type="http://schemas.openxmlformats.org/officeDocument/2006/relationships/hyperlink" Target="https://www.centralbank.go.ke/2024/12/13/10960/" TargetMode="External"/><Relationship Id="rId57" Type="http://schemas.openxmlformats.org/officeDocument/2006/relationships/hyperlink" Target="https://www.fdic.gov/news/speeches/2023/spmar2723.html" TargetMode="External"/><Relationship Id="rId106" Type="http://schemas.openxmlformats.org/officeDocument/2006/relationships/hyperlink" Target="https://www.nefe.org/news/2024/08/2024-legislative-review.aspx" TargetMode="External"/><Relationship Id="rId127" Type="http://schemas.openxmlformats.org/officeDocument/2006/relationships/hyperlink" Target="https://www.malaymail.com/news/money/2022/03/31/japan-will-not-abandon-sakhalin-2-lng-stake-says-pm-kishida/2050743" TargetMode="External"/><Relationship Id="rId10" Type="http://schemas.openxmlformats.org/officeDocument/2006/relationships/hyperlink" Target="https://www.fsa.go.jp/en/news/2022/20221207/01.pdf" TargetMode="External"/><Relationship Id="rId31" Type="http://schemas.openxmlformats.org/officeDocument/2006/relationships/hyperlink" Target="https://eur-lex.europa.eu/legal-content/EN/TXT/?uri=CELEX%3A32019D0419" TargetMode="External"/><Relationship Id="rId52" Type="http://schemas.openxmlformats.org/officeDocument/2006/relationships/hyperlink" Target="https://content.naic.org/cipr-topics/risk-based-capital" TargetMode="External"/><Relationship Id="rId73" Type="http://schemas.openxmlformats.org/officeDocument/2006/relationships/hyperlink" Target="https://www.asce.org/publications-and-news/civil-engineering-source/society-news/article/2025/03/25/asce-report-card-gives-us-infrastructure-highest-ever-c-grade" TargetMode="External"/><Relationship Id="rId78" Type="http://schemas.openxmlformats.org/officeDocument/2006/relationships/hyperlink" Target="https://libertystreeteconomics.newyorkfed.org/2026/02/who-is-paying-for-the-2025-u-s-tariffs/" TargetMode="External"/><Relationship Id="rId94" Type="http://schemas.openxmlformats.org/officeDocument/2006/relationships/hyperlink" Target="https://www.worldbank.org/en/news/press-release/2026/01/13/global-economic-prospects-january-2026-press-release" TargetMode="External"/><Relationship Id="rId99" Type="http://schemas.openxmlformats.org/officeDocument/2006/relationships/hyperlink" Target="https://www.fsa.go.jp/en/news/2021/20211221/20211221.html" TargetMode="External"/><Relationship Id="rId101" Type="http://schemas.openxmlformats.org/officeDocument/2006/relationships/hyperlink" Target="https://www.justice.gov/archives/opa/gallery/td-bank-pleads-guilty-bank-secrecy-act-and-money-laundering-conspiracy-violations-18b" TargetMode="External"/><Relationship Id="rId122" Type="http://schemas.openxmlformats.org/officeDocument/2006/relationships/hyperlink" Target="https://www.congress.gov/bill/107th-congress/house-bill/3763"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hyperlink" Target="https://www.torys.com/insights/publications/2017/07/update-on-japanese-fintech-law" TargetMode="External"/><Relationship Id="rId47" Type="http://schemas.openxmlformats.org/officeDocument/2006/relationships/hyperlink" Target="https://www.cnbc.com/2025/05/16/moodys-downgrades-united-states-credit-rating-on-increase-in-government-debt.html" TargetMode="External"/><Relationship Id="rId68" Type="http://schemas.openxmlformats.org/officeDocument/2006/relationships/hyperlink" Target="https://www.bis.org/publ/qtrpdf/r_qt2503d.htm" TargetMode="External"/><Relationship Id="rId89" Type="http://schemas.openxmlformats.org/officeDocument/2006/relationships/hyperlink" Target="https://www.mhlw.go.jp/english/policy/pension/pension/dl/act_250926a.pdf" TargetMode="External"/><Relationship Id="rId112" Type="http://schemas.openxmlformats.org/officeDocument/2006/relationships/hyperlink" Target="https://www.oecd.org/en/publications/the-role-and-design-of-net-wealth-taxes-in-the-oecd_9789264290303-en.html" TargetMode="External"/><Relationship Id="rId133"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E463B-814F-4B33-8411-9C445C792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52</Pages>
  <Words>19438</Words>
  <Characters>110799</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Dobson</cp:lastModifiedBy>
  <cp:revision>28</cp:revision>
  <cp:lastPrinted>2026-09-17T04:46:00Z</cp:lastPrinted>
  <dcterms:created xsi:type="dcterms:W3CDTF">2026-09-14T05:22:00Z</dcterms:created>
  <dcterms:modified xsi:type="dcterms:W3CDTF">2026-09-18T09:20:00Z</dcterms:modified>
</cp:coreProperties>
</file>