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B3C5161" w14:textId="2CF6CAE1" w:rsidR="00A0572C" w:rsidRPr="00B43587" w:rsidRDefault="00A0572C" w:rsidP="003C47D0">
      <w:pPr>
        <w:pStyle w:val="Heading1"/>
        <w:numPr>
          <w:ilvl w:val="0"/>
          <w:numId w:val="16"/>
        </w:numPr>
      </w:pPr>
      <w:bookmarkStart w:id="21" w:name="_Toc115796831"/>
      <w:r w:rsidRPr="00B43587">
        <w:t>Using Diplomatic Language</w:t>
      </w:r>
      <w:bookmarkEnd w:id="21"/>
    </w:p>
    <w:p w14:paraId="140ACE95" w14:textId="5EB77E43" w:rsidR="00A0572C" w:rsidRPr="00B43587" w:rsidRDefault="00A0572C" w:rsidP="00A0572C">
      <w:pPr>
        <w:snapToGrid w:val="0"/>
      </w:pPr>
      <w:r w:rsidRPr="00B43587">
        <w:t>When communicating with others about problems, we have to be careful that we do not offend other people involved with the problem. The purpose of problem-solving is finding the most effective solution to the problem. The purpose of</w:t>
      </w:r>
      <w:r>
        <w:t xml:space="preserve"> effective</w:t>
      </w:r>
      <w:r w:rsidRPr="00B43587">
        <w:t xml:space="preserve"> problem-solving is not to blame others for causing the problem.</w:t>
      </w:r>
      <w:r>
        <w:t xml:space="preserve"> Often the people involved in causing a problem must also be involved in solving it. We need to make sure that are </w:t>
      </w:r>
      <w:r w:rsidRPr="00B43587">
        <w:t>careful about what we say, and how we say it.</w:t>
      </w:r>
    </w:p>
    <w:p w14:paraId="7DA3E385" w14:textId="38A5F507" w:rsidR="00A0572C" w:rsidRPr="002C5AEB" w:rsidRDefault="00F54E6F" w:rsidP="00F54E6F">
      <w:pPr>
        <w:pStyle w:val="Heading2"/>
        <w:rPr>
          <w:lang w:val="en-AU"/>
        </w:rPr>
      </w:pPr>
      <w:bookmarkStart w:id="22" w:name="_Toc115796832"/>
      <w:r>
        <w:rPr>
          <w:lang w:val="en-AU"/>
        </w:rPr>
        <w:t xml:space="preserve">6.1 </w:t>
      </w:r>
      <w:r w:rsidR="008D40DD">
        <w:rPr>
          <w:lang w:val="en-AU"/>
        </w:rPr>
        <w:t>Technique 1</w:t>
      </w:r>
      <w:r>
        <w:rPr>
          <w:lang w:val="en-AU"/>
        </w:rPr>
        <w:t xml:space="preserve"> – </w:t>
      </w:r>
      <w:r w:rsidR="00CB2FF0">
        <w:rPr>
          <w:lang w:val="en-AU"/>
        </w:rPr>
        <w:t>Downplaying</w:t>
      </w:r>
      <w:r w:rsidR="002C5AEB">
        <w:rPr>
          <w:lang w:val="en-AU"/>
        </w:rPr>
        <w:t xml:space="preserve"> </w:t>
      </w:r>
      <w:r w:rsidR="00CB2FF0">
        <w:rPr>
          <w:lang w:val="en-AU"/>
        </w:rPr>
        <w:t>I</w:t>
      </w:r>
      <w:r w:rsidR="002C5AEB">
        <w:rPr>
          <w:lang w:val="en-AU"/>
        </w:rPr>
        <w:t>ssues</w:t>
      </w:r>
      <w:bookmarkEnd w:id="22"/>
    </w:p>
    <w:p w14:paraId="11CF4D37" w14:textId="257D5340" w:rsidR="00BA759A" w:rsidRDefault="00BA759A" w:rsidP="00A0572C">
      <w:pPr>
        <w:snapToGrid w:val="0"/>
      </w:pPr>
      <w:r>
        <w:t xml:space="preserve">We often add phrases to our language to minimize an issue, or reduce its significance. So, instead of saying, ‘There’s a problem with your report’, we would more likely say ‘There’s a </w:t>
      </w:r>
      <w:r w:rsidRPr="00D90469">
        <w:rPr>
          <w:u w:val="single"/>
        </w:rPr>
        <w:t>small</w:t>
      </w:r>
      <w:r>
        <w:t xml:space="preserve"> problem with your report</w:t>
      </w:r>
      <w:r w:rsidR="00D90469">
        <w:t>’</w:t>
      </w:r>
      <w:r>
        <w:t>.</w:t>
      </w:r>
    </w:p>
    <w:p w14:paraId="5304F263" w14:textId="77777777" w:rsidR="008B6A3C" w:rsidRDefault="00BA759A" w:rsidP="00D15A80">
      <w:pPr>
        <w:snapToGrid w:val="0"/>
        <w:spacing w:after="120"/>
      </w:pPr>
      <w:r>
        <w:t>Additional vocabulary for downplaying issues: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737"/>
        <w:gridCol w:w="2737"/>
        <w:gridCol w:w="2737"/>
      </w:tblGrid>
      <w:tr w:rsidR="008B6A3C" w14:paraId="23053C18" w14:textId="77777777" w:rsidTr="008B6A3C">
        <w:tc>
          <w:tcPr>
            <w:tcW w:w="2737" w:type="dxa"/>
          </w:tcPr>
          <w:p w14:paraId="2B912FE4" w14:textId="5DB3226F" w:rsidR="008B6A3C" w:rsidRDefault="008B6A3C" w:rsidP="00013BD9">
            <w:pPr>
              <w:pStyle w:val="ListParagraph"/>
              <w:numPr>
                <w:ilvl w:val="0"/>
                <w:numId w:val="45"/>
              </w:numPr>
              <w:snapToGrid w:val="0"/>
            </w:pPr>
            <w:r>
              <w:t>minor</w:t>
            </w:r>
          </w:p>
        </w:tc>
        <w:tc>
          <w:tcPr>
            <w:tcW w:w="2737" w:type="dxa"/>
          </w:tcPr>
          <w:p w14:paraId="7BE70AC7" w14:textId="3C3CD244" w:rsidR="008B6A3C" w:rsidRDefault="008B6A3C" w:rsidP="00013BD9">
            <w:pPr>
              <w:pStyle w:val="ListParagraph"/>
              <w:numPr>
                <w:ilvl w:val="0"/>
                <w:numId w:val="45"/>
              </w:numPr>
              <w:snapToGrid w:val="0"/>
            </w:pPr>
            <w:r>
              <w:t>slight</w:t>
            </w:r>
          </w:p>
        </w:tc>
        <w:tc>
          <w:tcPr>
            <w:tcW w:w="2737" w:type="dxa"/>
          </w:tcPr>
          <w:p w14:paraId="69956309" w14:textId="045B61A9" w:rsidR="008B6A3C" w:rsidRDefault="008B6A3C" w:rsidP="00013BD9">
            <w:pPr>
              <w:pStyle w:val="ListParagraph"/>
              <w:numPr>
                <w:ilvl w:val="0"/>
                <w:numId w:val="45"/>
              </w:numPr>
              <w:snapToGrid w:val="0"/>
            </w:pPr>
            <w:r>
              <w:t>short</w:t>
            </w:r>
          </w:p>
        </w:tc>
      </w:tr>
      <w:tr w:rsidR="008B6A3C" w14:paraId="73C6DC1D" w14:textId="77777777" w:rsidTr="008B6A3C">
        <w:tc>
          <w:tcPr>
            <w:tcW w:w="2737" w:type="dxa"/>
          </w:tcPr>
          <w:p w14:paraId="1ADF26CF" w14:textId="52F7D103" w:rsidR="008B6A3C" w:rsidRDefault="008B6A3C" w:rsidP="00013BD9">
            <w:pPr>
              <w:pStyle w:val="ListParagraph"/>
              <w:numPr>
                <w:ilvl w:val="0"/>
                <w:numId w:val="45"/>
              </w:numPr>
              <w:snapToGrid w:val="0"/>
            </w:pPr>
            <w:r>
              <w:t>bit of a</w:t>
            </w:r>
          </w:p>
        </w:tc>
        <w:tc>
          <w:tcPr>
            <w:tcW w:w="2737" w:type="dxa"/>
          </w:tcPr>
          <w:p w14:paraId="7DE08E9D" w14:textId="1E4A261E" w:rsidR="008B6A3C" w:rsidRDefault="008B6A3C" w:rsidP="00013BD9">
            <w:pPr>
              <w:pStyle w:val="ListParagraph"/>
              <w:numPr>
                <w:ilvl w:val="0"/>
                <w:numId w:val="45"/>
              </w:numPr>
              <w:snapToGrid w:val="0"/>
            </w:pPr>
            <w:r>
              <w:t>just (with an action)</w:t>
            </w:r>
          </w:p>
        </w:tc>
        <w:tc>
          <w:tcPr>
            <w:tcW w:w="2737" w:type="dxa"/>
          </w:tcPr>
          <w:p w14:paraId="2ACC1ED0" w14:textId="77777777" w:rsidR="008B6A3C" w:rsidRDefault="008B6A3C" w:rsidP="00013BD9">
            <w:pPr>
              <w:snapToGrid w:val="0"/>
            </w:pPr>
          </w:p>
        </w:tc>
      </w:tr>
    </w:tbl>
    <w:p w14:paraId="33681CDC" w14:textId="619EBFA1" w:rsidR="004B2EF1" w:rsidRDefault="00F54E6F" w:rsidP="00F54E6F">
      <w:pPr>
        <w:pStyle w:val="Heading2"/>
      </w:pPr>
      <w:bookmarkStart w:id="23" w:name="_Toc115796833"/>
      <w:r>
        <w:t xml:space="preserve">6.2 </w:t>
      </w:r>
      <w:r w:rsidR="008D40DD">
        <w:t>Technique 2</w:t>
      </w:r>
      <w:r>
        <w:rPr>
          <w:lang w:val="en-AU"/>
        </w:rPr>
        <w:t xml:space="preserve"> – </w:t>
      </w:r>
      <w:r w:rsidR="002C5AEB">
        <w:t xml:space="preserve">Becoming </w:t>
      </w:r>
      <w:r w:rsidR="00CB2FF0">
        <w:t>Imprecise</w:t>
      </w:r>
      <w:bookmarkEnd w:id="23"/>
    </w:p>
    <w:p w14:paraId="6AABFD36" w14:textId="6EAD1EEA" w:rsidR="00986D6D" w:rsidRPr="00D90469" w:rsidRDefault="00BA759A" w:rsidP="00986D6D">
      <w:pPr>
        <w:snapToGrid w:val="0"/>
      </w:pPr>
      <w:r>
        <w:t xml:space="preserve">Similarly, we </w:t>
      </w:r>
      <w:r w:rsidR="00D90469">
        <w:t>often add phrases to our language to</w:t>
      </w:r>
      <w:r w:rsidR="00D90469">
        <w:rPr>
          <w:b/>
        </w:rPr>
        <w:t xml:space="preserve"> </w:t>
      </w:r>
      <w:r w:rsidR="00D90469">
        <w:t xml:space="preserve">introduce uncertainty and a level of imprecision. This softens or ‘takes the edge off’ the impact of communication of the issue. For example, instead of saying ‘There is a problem with your report’, we would more likely say ‘There </w:t>
      </w:r>
      <w:r w:rsidR="00D90469" w:rsidRPr="00D90469">
        <w:rPr>
          <w:u w:val="single"/>
        </w:rPr>
        <w:t>seems</w:t>
      </w:r>
      <w:r w:rsidR="00D90469">
        <w:t xml:space="preserve"> to be a problem with your report’.</w:t>
      </w:r>
    </w:p>
    <w:p w14:paraId="1A825A34" w14:textId="77777777" w:rsidR="008B6A3C" w:rsidRDefault="00BA759A" w:rsidP="00D15A80">
      <w:pPr>
        <w:snapToGrid w:val="0"/>
        <w:spacing w:after="120"/>
      </w:pPr>
      <w:r>
        <w:t>Additional vocabulary for becoming imprecise: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737"/>
        <w:gridCol w:w="2737"/>
        <w:gridCol w:w="2737"/>
      </w:tblGrid>
      <w:tr w:rsidR="008B6A3C" w14:paraId="6307C3CB" w14:textId="77777777" w:rsidTr="00BC0274">
        <w:tc>
          <w:tcPr>
            <w:tcW w:w="2737" w:type="dxa"/>
          </w:tcPr>
          <w:p w14:paraId="4969530E" w14:textId="1BF7FA95" w:rsidR="008B6A3C" w:rsidRDefault="008B6A3C" w:rsidP="00013BD9">
            <w:pPr>
              <w:pStyle w:val="ListParagraph"/>
              <w:numPr>
                <w:ilvl w:val="0"/>
                <w:numId w:val="44"/>
              </w:numPr>
              <w:snapToGrid w:val="0"/>
            </w:pPr>
            <w:r>
              <w:t>perhaps</w:t>
            </w:r>
          </w:p>
        </w:tc>
        <w:tc>
          <w:tcPr>
            <w:tcW w:w="2737" w:type="dxa"/>
          </w:tcPr>
          <w:p w14:paraId="68A42F47" w14:textId="35D5C7F6" w:rsidR="008B6A3C" w:rsidRDefault="008B6A3C" w:rsidP="00013BD9">
            <w:pPr>
              <w:pStyle w:val="ListParagraph"/>
              <w:numPr>
                <w:ilvl w:val="0"/>
                <w:numId w:val="44"/>
              </w:numPr>
              <w:snapToGrid w:val="0"/>
            </w:pPr>
            <w:r>
              <w:t>might</w:t>
            </w:r>
            <w:r w:rsidR="00544C5B">
              <w:t xml:space="preserve"> / may</w:t>
            </w:r>
          </w:p>
        </w:tc>
        <w:tc>
          <w:tcPr>
            <w:tcW w:w="2737" w:type="dxa"/>
          </w:tcPr>
          <w:p w14:paraId="7DB6A5E8" w14:textId="50FC98B8" w:rsidR="008B6A3C" w:rsidRDefault="008B6A3C" w:rsidP="00013BD9">
            <w:pPr>
              <w:pStyle w:val="ListParagraph"/>
              <w:numPr>
                <w:ilvl w:val="0"/>
                <w:numId w:val="44"/>
              </w:numPr>
              <w:snapToGrid w:val="0"/>
            </w:pPr>
            <w:r>
              <w:t>could</w:t>
            </w:r>
          </w:p>
        </w:tc>
      </w:tr>
    </w:tbl>
    <w:p w14:paraId="631DF714" w14:textId="47FCA6CC" w:rsidR="00986D6D" w:rsidRPr="00071157" w:rsidRDefault="00346256" w:rsidP="009561ED">
      <w:pPr>
        <w:pStyle w:val="Activity"/>
      </w:pPr>
      <w:r>
        <w:t xml:space="preserve"> </w:t>
      </w:r>
      <w:r w:rsidR="00BA759A">
        <w:t>ACTIVITY</w:t>
      </w:r>
    </w:p>
    <w:p w14:paraId="0F9C9AC7" w14:textId="257F23F2" w:rsidR="00986D6D" w:rsidRDefault="008D40DD" w:rsidP="004B57C8">
      <w:pPr>
        <w:snapToGrid w:val="0"/>
      </w:pPr>
      <w:r>
        <w:t xml:space="preserve">With a partner, practice giving each other bad news. Use both </w:t>
      </w:r>
      <w:r w:rsidR="004B57C8">
        <w:t xml:space="preserve">of the above </w:t>
      </w:r>
      <w:r>
        <w:t>techniques</w:t>
      </w:r>
      <w:r w:rsidR="004B57C8">
        <w:t xml:space="preserve"> in your conversation.</w:t>
      </w:r>
    </w:p>
    <w:p w14:paraId="01FC876B" w14:textId="77777777" w:rsidR="00D90469" w:rsidRPr="00B43587" w:rsidRDefault="00D90469" w:rsidP="00986D6D">
      <w:pPr>
        <w:snapToGrid w:val="0"/>
      </w:pPr>
    </w:p>
    <w:p w14:paraId="5B78A802" w14:textId="77777777" w:rsidR="00A0572C" w:rsidRPr="00B43587" w:rsidRDefault="00A0572C" w:rsidP="00A0572C">
      <w:pPr>
        <w:snapToGrid w:val="0"/>
        <w:sectPr w:rsidR="00A0572C" w:rsidRPr="00B43587" w:rsidSect="004B57C8">
          <w:pgSz w:w="11907" w:h="16840" w:code="9"/>
          <w:pgMar w:top="1701" w:right="2268" w:bottom="1701" w:left="1418" w:header="709" w:footer="709" w:gutter="0"/>
          <w:cols w:space="708"/>
          <w:docGrid w:linePitch="360"/>
        </w:sectPr>
      </w:pPr>
    </w:p>
    <w:p w14:paraId="7612D981" w14:textId="5E7E4097" w:rsidR="00D325DB" w:rsidRDefault="007E62C8" w:rsidP="00DC4597">
      <w:pPr>
        <w:snapToGrid w:val="0"/>
      </w:pPr>
      <w:r>
        <w:rPr>
          <w:noProof/>
        </w:rPr>
        <mc:AlternateContent>
          <mc:Choice Requires="wps"/>
          <mc:Fallback>
            <w:pict>
              <v:shape w14:anchorId="63699BEC" id="_x0000_s1030" type="#_x0000_t202" style="position:absolute;margin-left:0;margin-top:0;width:163.8pt;height:87.9pt;z-index:251670528;visibility:visible;mso-wrap-style:square;mso-width-percent:400;mso-height-percent:200;mso-wrap-distance-left:9pt;mso-wrap-distance-top:3.6pt;mso-wrap-distance-right:9pt;mso-wrap-distance-bottom:3.6pt;mso-position-horizontal:center;mso-position-horizontal-relative:page;mso-position-vertical:bottom;mso-position-vertical-relative:margin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" stroked="f">
                <v:textbox style="mso-fit-shape-to-text:t">
                  <w:txbxContent>
                    <w:p w14:paraId="00B8AF82" w14:textId="041002BF" w:rsidR="007E62C8" w:rsidRDefault="007E62C8" w:rsidP="007E62C8">
                      <w:pPr>
                        <w:jc w:val="center"/>
                      </w:pPr>
                      <w:r>
                        <w:t>Prepared by David Dobson</w:t>
                      </w:r>
                    </w:p>
                    <w:p w14:paraId="754617CD" w14:textId="5D288839" w:rsidR="007E62C8" w:rsidRDefault="007E62C8" w:rsidP="007E62C8">
                      <w:pPr>
                        <w:jc w:val="center"/>
                      </w:pPr>
                      <w:r>
                        <w:t>Avanti Staff Corporation</w:t>
                      </w:r>
                    </w:p>
                    <w:p w14:paraId="76FEE186" w14:textId="4FAA9CA9" w:rsidR="007E62C8" w:rsidRDefault="007E62C8" w:rsidP="007E62C8">
                      <w:pPr>
                        <w:jc w:val="center"/>
                      </w:pPr>
                      <w:r>
                        <w:t>October, 2022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D325DB">
        <w:br w:type="page"/>
      </w:r>
    </w:p>
    <w:p w14:paraId="4C7539F5" w14:textId="39A49AAE" w:rsidR="00D622C1" w:rsidRPr="00B43587" w:rsidRDefault="006B287D" w:rsidP="00DC4597">
      <w:pPr>
        <w:snapToGrid w:val="0"/>
      </w:pPr>
      <w:r w:rsidRPr="00D325DB">
        <w:rPr>
          <w:rStyle w:val="BookTitle"/>
          <w:rFonts w:ascii="Berlin Sans FB" w:hAnsi="Berlin Sans FB"/>
          <w:b w:val="0"/>
          <w:i w:val="0"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B7D3BF" wp14:editId="38D4121C">
                <wp:simplePos x="0" y="0"/>
                <wp:positionH relativeFrom="page">
                  <wp:posOffset>0</wp:posOffset>
                </wp:positionH>
                <wp:positionV relativeFrom="page">
                  <wp:posOffset>2880360</wp:posOffset>
                </wp:positionV>
                <wp:extent cx="7560000" cy="3240000"/>
                <wp:effectExtent l="0" t="0" r="3175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000" cy="3240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571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F38D0" w14:textId="112EC1CB" w:rsidR="00EC7FEE" w:rsidRPr="0051701F" w:rsidRDefault="007E62C8" w:rsidP="006B287D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</w:rPr>
                              <w:drawing>
                                <wp:inline distT="0" distB="0" distL="0" distR="0" wp14:anchorId="49CD553F" wp14:editId="694F5165">
                                  <wp:extent cx="3091180" cy="3091180"/>
                                  <wp:effectExtent l="0" t="0" r="0" b="0"/>
                                  <wp:docPr id="5" name="Graphic 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AS3.svg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2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1180" cy="30911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7D3BF" id="_x0000_s1031" type="#_x0000_t202" style="position:absolute;margin-left:0;margin-top:226.8pt;width:595.3pt;height:255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" fillcolor="#181d33 [2415]" stroked="f" strokeweight="4.5pt">
                <v:textbox>
                  <w:txbxContent>
                    <w:p w14:paraId="6FDF38D0" w14:textId="112EC1CB" w:rsidR="00EC7FEE" w:rsidRPr="0051701F" w:rsidRDefault="007E62C8" w:rsidP="006B287D">
                      <w:pPr>
                        <w:spacing w:after="0"/>
                        <w:jc w:val="center"/>
                        <w:rPr>
                          <w:color w:val="FFFFFF" w:themeColor="background1"/>
                          <w:sz w:val="24"/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24"/>
                        </w:rPr>
                        <w:drawing>
                          <wp:inline distT="0" distB="0" distL="0" distR="0" wp14:anchorId="49CD553F" wp14:editId="694F5165">
                            <wp:extent cx="3091180" cy="3091180"/>
                            <wp:effectExtent l="0" t="0" r="0" b="0"/>
                            <wp:docPr id="5" name="Graphic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AS3.svg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1180" cy="30911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