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73802" w14:textId="77777777" w:rsidR="00F973AA" w:rsidRDefault="00250326">
      <w:pPr>
        <w:pStyle w:val="Heading1"/>
        <w:pageBreakBefore w:val="0"/>
      </w:pPr>
      <w:bookmarkStart w:id="0" w:name="lets-talk-finance"/>
      <w:r>
        <w:t>Let’s Talk Finance</w:t>
      </w:r>
    </w:p>
    <w:p w14:paraId="762C5726" w14:textId="77777777" w:rsidR="00F973AA" w:rsidRDefault="00250326">
      <w:pPr>
        <w:pStyle w:val="Heading2"/>
      </w:pPr>
      <w:bookmarkStart w:id="1" w:name="how-this-resource-is-organized"/>
      <w:r>
        <w:lastRenderedPageBreak/>
        <w:t>How This Resource Is Organized</w:t>
      </w:r>
    </w:p>
    <w:p w14:paraId="1E185660" w14:textId="77777777" w:rsidR="00F973AA" w:rsidRDefault="00250326">
      <w:pPr>
        <w:pStyle w:val="BodyText"/>
      </w:pPr>
      <w:r>
        <w:t>The 20 topics in this resource are organized around four ways that finance shapes public life beyond the household — the systems, institutions and rules that govern money at scale. Topic numbers follow a Part.Topic format: for example, Topic 2.4 is the fourth topic in Part 2. Each topic’s six subsections are numbered under it (e.g. 2.4.1. Goal, 2.4.2. Reading).</w:t>
      </w:r>
    </w:p>
    <w:p w14:paraId="26B6673C" w14:textId="77777777" w:rsidR="00F973AA" w:rsidRDefault="00250326">
      <w:pPr>
        <w:pStyle w:val="BodyText"/>
      </w:pPr>
      <w:r>
        <w:rPr>
          <w:b/>
          <w:bCs/>
        </w:rPr>
        <w:t>Part 1: Money, Payments and Financial Technology</w:t>
      </w:r>
      <w:r>
        <w:t xml:space="preserve"> (Topics 1.1 to 1.5) </w:t>
      </w:r>
      <w:r>
        <w:t>How new forms of money and payment technology are changing, and how regulators are responding.</w:t>
      </w:r>
    </w:p>
    <w:p w14:paraId="3EA331C7" w14:textId="77777777" w:rsidR="00F973AA" w:rsidRDefault="00250326">
      <w:pPr>
        <w:pStyle w:val="BodyText"/>
      </w:pPr>
      <w:r>
        <w:rPr>
          <w:b/>
          <w:bCs/>
        </w:rPr>
        <w:t>Part 2: Markets, Institutions and Financial Stability</w:t>
      </w:r>
      <w:r>
        <w:t xml:space="preserve"> (Topics 2.1 to 2.5) How markets, credit ratings, insurers and banks are supervised, and what happens when the system comes under stress.</w:t>
      </w:r>
    </w:p>
    <w:p w14:paraId="15B975FD" w14:textId="77777777" w:rsidR="00F973AA" w:rsidRDefault="00250326">
      <w:pPr>
        <w:pStyle w:val="BodyText"/>
      </w:pPr>
      <w:r>
        <w:rPr>
          <w:b/>
          <w:bCs/>
        </w:rPr>
        <w:t>Part 3: Capital, Investment and Public Policy</w:t>
      </w:r>
      <w:r>
        <w:t xml:space="preserve"> (Topics 3.1 to 3.5) How large flows of capital — green finance, infrastructure, trade, pensions, recovery spending — are directed and governed.</w:t>
      </w:r>
    </w:p>
    <w:p w14:paraId="06F02475" w14:textId="77777777" w:rsidR="00F973AA" w:rsidRDefault="00250326">
      <w:pPr>
        <w:pStyle w:val="BodyText"/>
      </w:pPr>
      <w:r>
        <w:rPr>
          <w:b/>
          <w:bCs/>
        </w:rPr>
        <w:t>Part 4: Finance, Fairness and Global Cooperation</w:t>
      </w:r>
      <w:r>
        <w:t xml:space="preserve"> (Topics 4.1 to 4.5) How financial systems address fairness, accountability and cooperation across borders.</w:t>
      </w:r>
    </w:p>
    <w:p w14:paraId="45B36329" w14:textId="77777777" w:rsidR="00F973AA" w:rsidRDefault="00250326">
      <w:pPr>
        <w:pStyle w:val="Heading1"/>
        <w:pageBreakBefore w:val="0"/>
      </w:pPr>
      <w:bookmarkStart w:id="2" w:name="Xc9906dcd5c9f3e29f173fb7e9d52f014a180092"/>
      <w:bookmarkEnd w:id="0"/>
      <w:bookmarkEnd w:id="1"/>
      <w:r>
        <w:t>Part 1: Money, Payments and Financial Technology</w:t>
      </w:r>
    </w:p>
    <w:p w14:paraId="0DF000C0" w14:textId="77777777" w:rsidR="00F973AA" w:rsidRDefault="00250326">
      <w:pPr>
        <w:pStyle w:val="BodyText"/>
      </w:pPr>
      <w:r>
        <w:t>How new forms of money and payment technology are changing, and how regulators are responding.</w:t>
      </w:r>
    </w:p>
    <w:p w14:paraId="4B598BF5" w14:textId="77777777" w:rsidR="00F973AA" w:rsidRDefault="00250326">
      <w:pPr>
        <w:pStyle w:val="Heading2"/>
      </w:pPr>
      <w:bookmarkStart w:id="3" w:name="cryptocurrency-regulation"/>
      <w:r>
        <w:t>1.1. Cryptocurrency Regulation</w:t>
      </w:r>
    </w:p>
    <w:p w14:paraId="455B1769" w14:textId="77777777" w:rsidR="00F973AA" w:rsidRDefault="00250326">
      <w:pPr>
        <w:pStyle w:val="Heading3"/>
      </w:pPr>
      <w:bookmarkStart w:id="4" w:name="goal"/>
      <w:r>
        <w:t>1.1.1. Goal</w:t>
      </w:r>
    </w:p>
    <w:p w14:paraId="529DF614" w14:textId="77777777" w:rsidR="00F973AA" w:rsidRDefault="00250326">
      <w:pPr>
        <w:pStyle w:val="BodyText"/>
      </w:pPr>
      <w:r>
        <w:t>Explain why governments have moved to regulate crypto-assets, and how the main approaches around the world differ.</w:t>
      </w:r>
    </w:p>
    <w:p w14:paraId="10F63C6E" w14:textId="77777777" w:rsidR="00F973AA" w:rsidRDefault="00250326">
      <w:pPr>
        <w:pStyle w:val="Heading3"/>
        <w:sectPr w:rsidR="00F973AA" w:rsidSect="00B75C3E">
          <w:footnotePr>
            <w:numRestart w:val="eachSect"/>
          </w:footnotePr>
          <w:type w:val="continuous"/>
          <w:pgSz w:w="11907" w:h="16840" w:code="9"/>
          <w:pgMar w:top="1134" w:right="1701" w:bottom="1134" w:left="1701" w:header="567" w:footer="454" w:gutter="0"/>
          <w:cols w:space="720"/>
        </w:sectPr>
      </w:pPr>
      <w:bookmarkStart w:id="5" w:name="reading"/>
      <w:bookmarkEnd w:id="4"/>
      <w:r>
        <w:t>1.1.2. Reading</w:t>
      </w:r>
    </w:p>
    <w:p w14:paraId="5178EF4C" w14:textId="77777777" w:rsidR="00F973AA" w:rsidRDefault="00250326">
      <w:pPr>
        <w:pStyle w:val="articlebodytext"/>
      </w:pPr>
      <w:r>
        <w:t>Cryptocurrencies are digital assets recorded on a shared database called a blockchain. They can be sent between people without a bank in the middle. That design has advantages, but it also makes some old problems harder to control. Without a bank, it is harder to check who is sending money, harder to stop fraud, and harder to protect people who do not understand the risk.</w:t>
      </w:r>
    </w:p>
    <w:p w14:paraId="27811E50" w14:textId="77777777" w:rsidR="00F973AA" w:rsidRDefault="00250326">
      <w:pPr>
        <w:pStyle w:val="articlebodytext"/>
      </w:pPr>
      <w:r>
        <w:t>For years, most governments watched from a distance. Two kinds of event changed that. The first was theft. In 2014 the Tokyo exchange Mt. Gox collapsed after losing a large amount of customer bitcoin, and in 2018 another Japanese exchange, Coincheck, lost about US$530 million of a crypto-asset in a hack [1]. The second was collapse. In November 2022, FTX, then one of the world’s largest exchanges, failed in a few days with at least US$8 billion of customer money missing; its founder was later sentenced to 2</w:t>
      </w:r>
      <w:r>
        <w:t>5 years in prison for fraud [2]. In both kinds of case, firms that looked established turned out to be poorly supervised.</w:t>
      </w:r>
    </w:p>
    <w:p w14:paraId="1F74A587" w14:textId="77777777" w:rsidR="00F973AA" w:rsidRDefault="00250326">
      <w:pPr>
        <w:pStyle w:val="articlebodytext"/>
      </w:pPr>
      <w:r>
        <w:t>Governments have responded in different ways. Japan acted early: from 2017, a company running a crypto exchange has had to register with the Financial Services Agency and follow rules on customer protection [1]. The European Union chose a single large framework. Its Markets in Crypto-Assets Regulation, known as MiCA, applies across all member states; its rules for stablecoins started on 30 June 2024 and its rules for exchanges on 30 December 2024 [3]. The United States moved later and more narrowly: its fir</w:t>
      </w:r>
      <w:r>
        <w:t>st federal crypto law, the GENIUS Act, was signed in July 2025 and covers only payment stablecoins [4].</w:t>
      </w:r>
    </w:p>
    <w:p w14:paraId="58FEE3F0" w14:textId="77777777" w:rsidR="00F973AA" w:rsidRDefault="00250326">
      <w:pPr>
        <w:pStyle w:val="articlebodytext"/>
      </w:pPr>
      <w:r>
        <w:t xml:space="preserve">A stablecoin is a crypto-asset meant to hold a fixed value, usually equal to one dollar or one euro. All three approaches treat stablecoins carefully. Under MiCA and the GENIUS Act, an issuer must hold safe assets equal to every coin it puts into circulation and publish regular reports [3][4]. In Japan, only a licensed bank, a registered fund-transfer firm, or a trust company may issue one for the public [1]. The shared worry is that a coin advertised as “always worth one dollar” </w:t>
      </w:r>
      <w:r>
        <w:t>could fail if the assets behind it are not real or not safe.</w:t>
      </w:r>
    </w:p>
    <w:p w14:paraId="457B5B5C" w14:textId="77777777" w:rsidR="00F973AA" w:rsidRDefault="00250326">
      <w:pPr>
        <w:pStyle w:val="articlebodytext"/>
        <w:sectPr w:rsidR="00F973AA" w:rsidSect="00B75C3E">
          <w:footerReference w:type="default" r:id="rId7"/>
          <w:footnotePr>
            <w:numRestart w:val="eachSect"/>
          </w:footnotePr>
          <w:type w:val="continuous"/>
          <w:pgSz w:w="11907" w:h="16840" w:code="9"/>
          <w:pgMar w:top="1134" w:right="1701" w:bottom="1134" w:left="1701" w:header="567" w:footer="454" w:gutter="0"/>
          <w:cols w:num="2" w:space="567"/>
        </w:sectPr>
      </w:pPr>
      <w:r>
        <w:t>The hard part is timing and balance. Rules that are too strict, or that arrive too late, can push activity into countries with weaker supervision. Rules that are too loose leave customers exposed, as Mt. Gox, Coincheck and FTX all showed. Because crypto moves easily across borders, regulators increasingly compare notes, even though their laws still differ.</w:t>
      </w:r>
    </w:p>
    <w:p w14:paraId="286CA4DA" w14:textId="77777777" w:rsidR="00F973AA" w:rsidRDefault="00250326">
      <w:pPr>
        <w:pStyle w:val="Heading3"/>
      </w:pPr>
      <w:bookmarkStart w:id="6" w:name="vocabulary-focus"/>
      <w:bookmarkEnd w:id="5"/>
      <w:r>
        <w:t>1.1.3. Vocabulary Focus</w:t>
      </w:r>
    </w:p>
    <w:p w14:paraId="6AFCFD29" w14:textId="77777777" w:rsidR="00F973AA" w:rsidRDefault="00250326">
      <w:pPr>
        <w:pStyle w:val="FirstParagraph"/>
      </w:pPr>
      <w:r>
        <w:t>cryptocurrency, blockchain, crypto exchange, stablecoin, issuer, supervision</w:t>
      </w:r>
    </w:p>
    <w:p w14:paraId="0688F00E" w14:textId="77777777" w:rsidR="00F973AA" w:rsidRDefault="00250326">
      <w:pPr>
        <w:pStyle w:val="Heading3"/>
      </w:pPr>
      <w:bookmarkStart w:id="7" w:name="reading-questions"/>
      <w:bookmarkEnd w:id="6"/>
      <w:r>
        <w:t>1.1.4. Reading Questions</w:t>
      </w:r>
    </w:p>
    <w:p w14:paraId="4E6DFAC3" w14:textId="77777777" w:rsidR="00F973AA" w:rsidRDefault="00250326" w:rsidP="00250326">
      <w:pPr>
        <w:pStyle w:val="Compact"/>
        <w:numPr>
          <w:ilvl w:val="0"/>
          <w:numId w:val="2"/>
        </w:numPr>
      </w:pPr>
      <w:r>
        <w:t>Why does the design of cryptocurrencies make some old problems harder to control?</w:t>
      </w:r>
    </w:p>
    <w:p w14:paraId="6C39F516" w14:textId="77777777" w:rsidR="00F973AA" w:rsidRDefault="00250326" w:rsidP="00250326">
      <w:pPr>
        <w:pStyle w:val="Compact"/>
        <w:numPr>
          <w:ilvl w:val="0"/>
          <w:numId w:val="2"/>
        </w:numPr>
      </w:pPr>
      <w:r>
        <w:t>What are the “two kinds of event” that the reading says changed how governments act?</w:t>
      </w:r>
    </w:p>
    <w:p w14:paraId="067C3C90" w14:textId="77777777" w:rsidR="00F973AA" w:rsidRDefault="00250326" w:rsidP="00250326">
      <w:pPr>
        <w:pStyle w:val="Compact"/>
        <w:numPr>
          <w:ilvl w:val="0"/>
          <w:numId w:val="2"/>
        </w:numPr>
      </w:pPr>
      <w:r>
        <w:t>How does the EU’s approach to crypto regulation differ from the United States’ approach?</w:t>
      </w:r>
    </w:p>
    <w:p w14:paraId="672C259E" w14:textId="77777777" w:rsidR="00F973AA" w:rsidRDefault="00250326" w:rsidP="00250326">
      <w:pPr>
        <w:pStyle w:val="Compact"/>
        <w:numPr>
          <w:ilvl w:val="0"/>
          <w:numId w:val="2"/>
        </w:numPr>
      </w:pPr>
      <w:r>
        <w:t>What must a stablecoin issuer do under both MiCA and the GENIUS Act?</w:t>
      </w:r>
    </w:p>
    <w:p w14:paraId="23AC1F47" w14:textId="77777777" w:rsidR="00F973AA" w:rsidRDefault="00250326" w:rsidP="00250326">
      <w:pPr>
        <w:pStyle w:val="Compact"/>
        <w:numPr>
          <w:ilvl w:val="0"/>
          <w:numId w:val="2"/>
        </w:numPr>
        <w:spacing w:after="0"/>
      </w:pPr>
      <w:r>
        <w:t>Why does the reading say regulators “increasingly compare notes”?</w:t>
      </w:r>
    </w:p>
    <w:p w14:paraId="1D38AA75" w14:textId="77777777" w:rsidR="00F973AA" w:rsidRDefault="00250326">
      <w:pPr>
        <w:pStyle w:val="Heading3"/>
      </w:pPr>
      <w:bookmarkStart w:id="8" w:name="discussion-questions"/>
      <w:bookmarkEnd w:id="7"/>
      <w:r>
        <w:t>1.1.5. Discussion Questions</w:t>
      </w:r>
    </w:p>
    <w:p w14:paraId="21EFFECE" w14:textId="77777777" w:rsidR="00F973AA" w:rsidRDefault="00250326" w:rsidP="00250326">
      <w:pPr>
        <w:pStyle w:val="Compact"/>
        <w:numPr>
          <w:ilvl w:val="0"/>
          <w:numId w:val="3"/>
        </w:numPr>
      </w:pPr>
      <w:r>
        <w:t>Japan regulated crypto exchanges years before the EU or the US. What are the advantages and disadvantages of being an early mover on rules like these?</w:t>
      </w:r>
    </w:p>
    <w:p w14:paraId="0F0EF670" w14:textId="77777777" w:rsidR="00F973AA" w:rsidRDefault="00250326" w:rsidP="00250326">
      <w:pPr>
        <w:pStyle w:val="Compact"/>
        <w:numPr>
          <w:ilvl w:val="0"/>
          <w:numId w:val="3"/>
        </w:numPr>
      </w:pPr>
      <w:r>
        <w:t>The EU chose one law for all its members; the US chose a narrow law about stablecoins only. Which approach do you think is better, and why?</w:t>
      </w:r>
    </w:p>
    <w:p w14:paraId="4C10D2BF" w14:textId="77777777" w:rsidR="00F973AA" w:rsidRDefault="00250326" w:rsidP="00250326">
      <w:pPr>
        <w:pStyle w:val="Compact"/>
        <w:numPr>
          <w:ilvl w:val="0"/>
          <w:numId w:val="3"/>
        </w:numPr>
      </w:pPr>
      <w:r>
        <w:t>Should a stablecoin be treated like money, like an investment, or like something new? Explain your choice.</w:t>
      </w:r>
    </w:p>
    <w:p w14:paraId="3C71BBBC" w14:textId="77777777" w:rsidR="00F973AA" w:rsidRDefault="00250326" w:rsidP="00250326">
      <w:pPr>
        <w:pStyle w:val="Compact"/>
        <w:numPr>
          <w:ilvl w:val="0"/>
          <w:numId w:val="3"/>
        </w:numPr>
      </w:pPr>
      <w:r>
        <w:t xml:space="preserve">A friend says crypto does not need rules because “people choose the risk themselves.” </w:t>
      </w:r>
      <w:r>
        <w:t>How would you respond?</w:t>
      </w:r>
    </w:p>
    <w:p w14:paraId="723BE6AC" w14:textId="77777777" w:rsidR="00F973AA" w:rsidRDefault="00250326" w:rsidP="00250326">
      <w:pPr>
        <w:pStyle w:val="Compact"/>
        <w:numPr>
          <w:ilvl w:val="0"/>
          <w:numId w:val="3"/>
        </w:numPr>
        <w:spacing w:after="0"/>
      </w:pPr>
      <w:r>
        <w:t>Advise a country that is deciding whether to copy MiCA, write a narrower law, or wait. What should it consider?</w:t>
      </w:r>
    </w:p>
    <w:p w14:paraId="7F0D4A58" w14:textId="77777777" w:rsidR="00F973AA" w:rsidRDefault="00250326">
      <w:pPr>
        <w:pStyle w:val="Heading3"/>
      </w:pPr>
      <w:bookmarkStart w:id="9" w:name="source-notes"/>
      <w:bookmarkEnd w:id="8"/>
      <w:r>
        <w:t>1.1.6. Source Notes</w:t>
      </w:r>
    </w:p>
    <w:p w14:paraId="3BEA0788" w14:textId="5D7C5D55" w:rsidR="00F973AA" w:rsidRDefault="00250326" w:rsidP="00250326">
      <w:pPr>
        <w:pStyle w:val="Compact"/>
        <w:numPr>
          <w:ilvl w:val="0"/>
          <w:numId w:val="4"/>
        </w:numPr>
      </w:pPr>
      <w:r>
        <w:t>Financial Services Agency, Japan: Regulating the crypto assets landscape in Japan (see “Development of Japan’s Regulatory Framework” and “Stablecoin Issuers”), December 2022</w:t>
      </w:r>
      <w:r>
        <w:br/>
      </w:r>
      <w:hyperlink r:id="rId8">
        <w:r>
          <w:rPr>
            <w:rStyle w:val="Hyperlink"/>
          </w:rPr>
          <w:t>https://www.fsa.go.jp/en/news/2022/20221207/01.pdf</w:t>
        </w:r>
      </w:hyperlink>
    </w:p>
    <w:p w14:paraId="1C2FC619" w14:textId="5CF9E580" w:rsidR="00F973AA" w:rsidRDefault="00250326" w:rsidP="00250326">
      <w:pPr>
        <w:pStyle w:val="Compact"/>
        <w:numPr>
          <w:ilvl w:val="0"/>
          <w:numId w:val="4"/>
        </w:numPr>
      </w:pPr>
      <w:r>
        <w:t>PBS NewsHour: Bankman-Fried sentenced to 25 years in prison for massive FTX fraud, March 28, 2024</w:t>
      </w:r>
      <w:r>
        <w:br/>
      </w:r>
      <w:hyperlink r:id="rId9">
        <w:r>
          <w:rPr>
            <w:rStyle w:val="Hyperlink"/>
          </w:rPr>
          <w:t>https://www.pbs.org/newshour/show/bankman-fried-sentenced-to-25-years-in-prison-for-massive-ftx-fraud</w:t>
        </w:r>
      </w:hyperlink>
    </w:p>
    <w:p w14:paraId="6FCF70D1" w14:textId="146E3F86" w:rsidR="00F973AA" w:rsidRDefault="00250326" w:rsidP="00250326">
      <w:pPr>
        <w:pStyle w:val="Compact"/>
        <w:numPr>
          <w:ilvl w:val="0"/>
          <w:numId w:val="4"/>
        </w:numPr>
      </w:pPr>
      <w:r>
        <w:t>European Securities and Markets Authority: Markets in Crypto-Assets Regulation (MiCA)</w:t>
      </w:r>
      <w:r>
        <w:br/>
      </w:r>
      <w:hyperlink r:id="rId10">
        <w:r>
          <w:rPr>
            <w:rStyle w:val="Hyperlink"/>
          </w:rPr>
          <w:t>https://www.esma.europa.eu/esmas-activities/digital-finance-and-innovation/markets-crypto-assets-regulation-mica</w:t>
        </w:r>
      </w:hyperlink>
    </w:p>
    <w:p w14:paraId="0427E390" w14:textId="46924E9D" w:rsidR="00F973AA" w:rsidRDefault="00250326" w:rsidP="00250326">
      <w:pPr>
        <w:pStyle w:val="Compact"/>
        <w:numPr>
          <w:ilvl w:val="0"/>
          <w:numId w:val="4"/>
        </w:numPr>
        <w:spacing w:after="0"/>
      </w:pPr>
      <w:r>
        <w:t>The White House: Fact Sheet — President Donald J. Trump Signs GENIUS Act into Law, July 18, 2025</w:t>
      </w:r>
      <w:r>
        <w:br/>
      </w:r>
      <w:hyperlink r:id="rId11">
        <w:r>
          <w:rPr>
            <w:rStyle w:val="Hyperlink"/>
          </w:rPr>
          <w:t>https://www.whitehouse.gov/fact-sheets/2025/07/fact-sheet-president-donald-j-trump-signs-genius-act-into-law/</w:t>
        </w:r>
      </w:hyperlink>
    </w:p>
    <w:p w14:paraId="0951B281" w14:textId="77777777" w:rsidR="00F973AA" w:rsidRDefault="00250326">
      <w:pPr>
        <w:pStyle w:val="Heading2"/>
      </w:pPr>
      <w:bookmarkStart w:id="10" w:name="central-bank-digital-currencies"/>
      <w:bookmarkEnd w:id="3"/>
      <w:bookmarkEnd w:id="9"/>
      <w:r>
        <w:t>1.2. Central Bank Digital Currencies</w:t>
      </w:r>
    </w:p>
    <w:p w14:paraId="1E39B244" w14:textId="77777777" w:rsidR="00F973AA" w:rsidRDefault="00250326">
      <w:pPr>
        <w:pStyle w:val="Heading3"/>
      </w:pPr>
      <w:bookmarkStart w:id="11" w:name="goal-1"/>
      <w:r>
        <w:t>1.2.1. Goal</w:t>
      </w:r>
    </w:p>
    <w:p w14:paraId="2678A569" w14:textId="77777777" w:rsidR="00F973AA" w:rsidRDefault="00250326">
      <w:pPr>
        <w:pStyle w:val="BodyText"/>
      </w:pPr>
      <w:r>
        <w:t>Explain what a central bank digital currency is, why most central banks are studying one, and why almost none have launched.</w:t>
      </w:r>
    </w:p>
    <w:p w14:paraId="7D6E644A" w14:textId="77777777" w:rsidR="00F973AA" w:rsidRDefault="00250326">
      <w:pPr>
        <w:pStyle w:val="Heading3"/>
        <w:sectPr w:rsidR="00F973AA" w:rsidSect="00B75C3E">
          <w:footnotePr>
            <w:numRestart w:val="eachSect"/>
          </w:footnotePr>
          <w:type w:val="continuous"/>
          <w:pgSz w:w="11907" w:h="16840" w:code="9"/>
          <w:pgMar w:top="1134" w:right="1701" w:bottom="1134" w:left="1701" w:header="567" w:footer="454" w:gutter="0"/>
          <w:cols w:space="720"/>
        </w:sectPr>
      </w:pPr>
      <w:bookmarkStart w:id="12" w:name="reading-1"/>
      <w:bookmarkEnd w:id="11"/>
      <w:r>
        <w:t>1.2.2. Reading</w:t>
      </w:r>
    </w:p>
    <w:p w14:paraId="0F0A5F1A" w14:textId="77777777" w:rsidR="00F973AA" w:rsidRDefault="00250326">
      <w:pPr>
        <w:pStyle w:val="articlebodytext"/>
      </w:pPr>
      <w:r>
        <w:t>More than nine in ten of the world’s central banks are working on a digital version of their national money. In a 2024 survey by the Bank for International Settlements, 85 of the 93 central banks that replied said they were exploring one [1]. Yet by 2026 only three small economies had actually launched one for everyday public use, and use in all three has been very low.</w:t>
      </w:r>
    </w:p>
    <w:p w14:paraId="1BEF116F" w14:textId="77777777" w:rsidR="00F973AA" w:rsidRDefault="00250326">
      <w:pPr>
        <w:pStyle w:val="articlebodytext"/>
      </w:pPr>
      <w:r>
        <w:t xml:space="preserve">A central bank digital currency, or CBDC, is official money issued in digital form by the central bank itself. The cash in your pocket is already a claim on the central bank. The money in your bank account, by contrast, is a claim on a commercial bank. A “retail” CBDC would be central-bank money that ordinary people could hold directly, without a bank in between, and use for daily payments. A separate “wholesale” </w:t>
      </w:r>
      <w:r>
        <w:t>type, used only for settlement between financial institutions, is less controversial and further along.</w:t>
      </w:r>
    </w:p>
    <w:p w14:paraId="3D7C9083" w14:textId="77777777" w:rsidR="00F973AA" w:rsidRDefault="00250326">
      <w:pPr>
        <w:pStyle w:val="articlebodytext"/>
      </w:pPr>
      <w:r>
        <w:t>The launches so far are small and disappointing. The Bahamas issued the world’s first, the Sand Dollar, in October 2020. Jamaica followed in 2022, and Nigeria launched the eNaira in 2021, the first in Africa. Take-up has been weak in every case. The International Monetary Fund found that the large majority of eNaira digital wallets had never been used at all [2].</w:t>
      </w:r>
    </w:p>
    <w:p w14:paraId="6EC0CC7A" w14:textId="77777777" w:rsidR="00F973AA" w:rsidRDefault="00250326">
      <w:pPr>
        <w:pStyle w:val="articlebodytext"/>
      </w:pPr>
      <w:r>
        <w:t xml:space="preserve">The larger economies are still testing. China has run by far the biggest trial. Its digital yuan had handled a cumulative 7 trillion yuan, about US$1 trillion, in transactions by mid-2024, across 17 regions [3]. But much of that use was pushed by the government, through things like staff payments, rather than chosen by shoppers, who already rely on Alipay and WeChat Pay. The European Central Bank ran a “preparation phase” </w:t>
      </w:r>
      <w:r>
        <w:t>from 2023 and moved to the next stage in October 2025. Even so, a digital euro cannot be issued unless EU lawmakers pass a new law, and a first issuance would not come before 2029 [4]. The Bank of Japan has run a pilot since 2023 and says no decision to issue has been made. Sweden’s Riksbank studied an e-krona for years and then concluded there was not yet enough need for one.</w:t>
      </w:r>
    </w:p>
    <w:p w14:paraId="75714AD2" w14:textId="77777777" w:rsidR="00F973AA" w:rsidRDefault="00250326">
      <w:pPr>
        <w:pStyle w:val="articlebodytext"/>
        <w:sectPr w:rsidR="00F973AA" w:rsidSect="00B75C3E">
          <w:footnotePr>
            <w:numRestart w:val="eachSect"/>
          </w:footnotePr>
          <w:type w:val="continuous"/>
          <w:pgSz w:w="11907" w:h="16840" w:code="9"/>
          <w:pgMar w:top="1134" w:right="1701" w:bottom="1134" w:left="1701" w:header="567" w:footer="454" w:gutter="0"/>
          <w:cols w:num="2" w:space="567"/>
        </w:sectPr>
      </w:pPr>
      <w:r>
        <w:t>The reasons given for the work are mostly defensive. Central banks want to keep a public form of money available as cash use falls, to make payments faster and cheaper, and to reduce dependence on a few large private payment firms and on privately issued stablecoins. The reasons for caution are just as practical: people might pull money out of banks in a crisis, a digital record raises privacy questions, and the public has so far shown little appetite for it.</w:t>
      </w:r>
    </w:p>
    <w:p w14:paraId="165046B7" w14:textId="77777777" w:rsidR="00F973AA" w:rsidRDefault="00250326">
      <w:pPr>
        <w:pStyle w:val="Heading3"/>
      </w:pPr>
      <w:bookmarkStart w:id="13" w:name="vocabulary-focus-1"/>
      <w:bookmarkEnd w:id="12"/>
      <w:r>
        <w:t>1.2.3. Vocabulary Focus</w:t>
      </w:r>
    </w:p>
    <w:p w14:paraId="20B587AA" w14:textId="77777777" w:rsidR="00F973AA" w:rsidRDefault="00250326">
      <w:pPr>
        <w:pStyle w:val="FirstParagraph"/>
      </w:pPr>
      <w:r>
        <w:t>central bank digital currency (CBDC), retail CBDC, wholesale CBDC, claim (on the central bank), pilot, disintermediation</w:t>
      </w:r>
    </w:p>
    <w:p w14:paraId="6F224C89" w14:textId="77777777" w:rsidR="00F973AA" w:rsidRDefault="00250326">
      <w:pPr>
        <w:pStyle w:val="Heading3"/>
      </w:pPr>
      <w:bookmarkStart w:id="14" w:name="reading-questions-1"/>
      <w:bookmarkEnd w:id="13"/>
      <w:r>
        <w:t>1.2.4. Reading Questions</w:t>
      </w:r>
    </w:p>
    <w:p w14:paraId="11DF246D" w14:textId="77777777" w:rsidR="00F973AA" w:rsidRDefault="00250326" w:rsidP="00250326">
      <w:pPr>
        <w:pStyle w:val="Compact"/>
        <w:numPr>
          <w:ilvl w:val="0"/>
          <w:numId w:val="5"/>
        </w:numPr>
      </w:pPr>
      <w:r>
        <w:t>What is the difference between the cash in your pocket and the money in your bank account, according to the reading?</w:t>
      </w:r>
    </w:p>
    <w:p w14:paraId="3885186E" w14:textId="77777777" w:rsidR="00F973AA" w:rsidRDefault="00250326" w:rsidP="00250326">
      <w:pPr>
        <w:pStyle w:val="Compact"/>
        <w:numPr>
          <w:ilvl w:val="0"/>
          <w:numId w:val="5"/>
        </w:numPr>
      </w:pPr>
      <w:r>
        <w:t>What is a “retail” CBDC, and how does it differ from a “wholesale” one?</w:t>
      </w:r>
    </w:p>
    <w:p w14:paraId="6506FB97" w14:textId="77777777" w:rsidR="00F973AA" w:rsidRDefault="00250326" w:rsidP="00250326">
      <w:pPr>
        <w:pStyle w:val="Compact"/>
        <w:numPr>
          <w:ilvl w:val="0"/>
          <w:numId w:val="5"/>
        </w:numPr>
      </w:pPr>
      <w:r>
        <w:t>What does the reading say happened with Nigeria’s eNaira after it launched?</w:t>
      </w:r>
    </w:p>
    <w:p w14:paraId="57EEC292" w14:textId="77777777" w:rsidR="00F973AA" w:rsidRDefault="00250326" w:rsidP="00250326">
      <w:pPr>
        <w:pStyle w:val="Compact"/>
        <w:numPr>
          <w:ilvl w:val="0"/>
          <w:numId w:val="5"/>
        </w:numPr>
      </w:pPr>
      <w:r>
        <w:t>Why is China’s 7 trillion yuan figure described with some caution?</w:t>
      </w:r>
    </w:p>
    <w:p w14:paraId="7DAB3865" w14:textId="77777777" w:rsidR="00F973AA" w:rsidRDefault="00250326" w:rsidP="00250326">
      <w:pPr>
        <w:pStyle w:val="Compact"/>
        <w:numPr>
          <w:ilvl w:val="0"/>
          <w:numId w:val="5"/>
        </w:numPr>
        <w:spacing w:after="0"/>
      </w:pPr>
      <w:r>
        <w:t>What conditions must be met before the European Central Bank can issue a digital euro?</w:t>
      </w:r>
    </w:p>
    <w:p w14:paraId="2C9F8755" w14:textId="77777777" w:rsidR="00F973AA" w:rsidRDefault="00250326">
      <w:pPr>
        <w:pStyle w:val="Heading3"/>
      </w:pPr>
      <w:bookmarkStart w:id="15" w:name="discussion-questions-1"/>
      <w:bookmarkEnd w:id="14"/>
      <w:r>
        <w:t>1.2.5. Discussion Questions</w:t>
      </w:r>
    </w:p>
    <w:p w14:paraId="7F179F77" w14:textId="77777777" w:rsidR="00F973AA" w:rsidRDefault="00250326" w:rsidP="00250326">
      <w:pPr>
        <w:pStyle w:val="Compact"/>
        <w:numPr>
          <w:ilvl w:val="0"/>
          <w:numId w:val="6"/>
        </w:numPr>
      </w:pPr>
      <w:r>
        <w:t>The reading says central banks give “defensive” reasons for this work. Are those reasons strong enough to justify the cost and effort? Give your view.</w:t>
      </w:r>
    </w:p>
    <w:p w14:paraId="484DA565" w14:textId="77777777" w:rsidR="00F973AA" w:rsidRDefault="00250326" w:rsidP="00250326">
      <w:pPr>
        <w:pStyle w:val="Compact"/>
        <w:numPr>
          <w:ilvl w:val="0"/>
          <w:numId w:val="6"/>
        </w:numPr>
      </w:pPr>
      <w:r>
        <w:t>Compare the risks of issuing a CBDC with the risks of not issuing one. Which set of risks is more serious?</w:t>
      </w:r>
    </w:p>
    <w:p w14:paraId="65CEF59F" w14:textId="77777777" w:rsidR="00F973AA" w:rsidRDefault="00250326" w:rsidP="00250326">
      <w:pPr>
        <w:pStyle w:val="Compact"/>
        <w:numPr>
          <w:ilvl w:val="0"/>
          <w:numId w:val="6"/>
        </w:numPr>
      </w:pPr>
      <w:r>
        <w:t>If a digital yen were introduced in Japan, what would make you use it instead of cash or a payment app? What would put you off?</w:t>
      </w:r>
    </w:p>
    <w:p w14:paraId="4FB1BE1C" w14:textId="77777777" w:rsidR="00F973AA" w:rsidRDefault="00250326" w:rsidP="00250326">
      <w:pPr>
        <w:pStyle w:val="Compact"/>
        <w:numPr>
          <w:ilvl w:val="0"/>
          <w:numId w:val="6"/>
        </w:numPr>
      </w:pPr>
      <w:r>
        <w:t>Several countries launched a CBDC and then saw very low use. What lessons should other central banks take from that?</w:t>
      </w:r>
    </w:p>
    <w:p w14:paraId="70D720D8" w14:textId="77777777" w:rsidR="00F973AA" w:rsidRDefault="00250326" w:rsidP="00250326">
      <w:pPr>
        <w:pStyle w:val="Compact"/>
        <w:numPr>
          <w:ilvl w:val="0"/>
          <w:numId w:val="6"/>
        </w:numPr>
        <w:spacing w:after="0"/>
      </w:pPr>
      <w:r>
        <w:t>Advise a central bank that is deciding between launching a CBDC now, running a longer pilot, or stopping the project. What should it weigh?</w:t>
      </w:r>
    </w:p>
    <w:p w14:paraId="0813F529" w14:textId="77777777" w:rsidR="00F973AA" w:rsidRDefault="00250326">
      <w:pPr>
        <w:pStyle w:val="Heading3"/>
      </w:pPr>
      <w:bookmarkStart w:id="16" w:name="source-notes-1"/>
      <w:bookmarkEnd w:id="15"/>
      <w:r>
        <w:t>1.2.6. Source Notes</w:t>
      </w:r>
    </w:p>
    <w:p w14:paraId="00B0CE96" w14:textId="6BE50037" w:rsidR="00F973AA" w:rsidRDefault="00250326" w:rsidP="00250326">
      <w:pPr>
        <w:pStyle w:val="Compact"/>
        <w:numPr>
          <w:ilvl w:val="0"/>
          <w:numId w:val="7"/>
        </w:numPr>
      </w:pPr>
      <w:r>
        <w:t>Bank for International Settlements: Advancing in tandem — results of the 2024 BIS survey on central bank digital currencies and crypto (BIS Papers No 159), August 2025</w:t>
      </w:r>
      <w:r>
        <w:br/>
      </w:r>
      <w:hyperlink r:id="rId12">
        <w:r>
          <w:rPr>
            <w:rStyle w:val="Hyperlink"/>
          </w:rPr>
          <w:t>https://www.bis.org/publ/bppdf/bispap159.htm</w:t>
        </w:r>
      </w:hyperlink>
    </w:p>
    <w:p w14:paraId="19F1F5CF" w14:textId="5EA19BDB" w:rsidR="00F973AA" w:rsidRDefault="00250326" w:rsidP="00250326">
      <w:pPr>
        <w:pStyle w:val="Compact"/>
        <w:numPr>
          <w:ilvl w:val="0"/>
          <w:numId w:val="7"/>
        </w:numPr>
      </w:pPr>
      <w:r>
        <w:t>International Monetary Fund: Central Bank Digital Currency Adoption — Inclusive but Constrained (IMF Fintech Note 2024/005), 2024</w:t>
      </w:r>
      <w:r>
        <w:br/>
      </w:r>
      <w:hyperlink r:id="rId13">
        <w:r>
          <w:rPr>
            <w:rStyle w:val="Hyperlink"/>
          </w:rPr>
          <w:t>https://www.imf.org/-/media/files/publications/ftn063/2024/english/ftnea2024005.pdf</w:t>
        </w:r>
      </w:hyperlink>
    </w:p>
    <w:p w14:paraId="726FCB35" w14:textId="03E2872B" w:rsidR="00F973AA" w:rsidRDefault="00250326" w:rsidP="00250326">
      <w:pPr>
        <w:pStyle w:val="Compact"/>
        <w:numPr>
          <w:ilvl w:val="0"/>
          <w:numId w:val="7"/>
        </w:numPr>
      </w:pPr>
      <w:r>
        <w:t>Government of China: China’s digital yuan transactions hit 7 trln yuan (People’s Bank of China), 5 September 2024</w:t>
      </w:r>
      <w:r>
        <w:br/>
      </w:r>
      <w:hyperlink r:id="rId14">
        <w:r>
          <w:rPr>
            <w:rStyle w:val="Hyperlink"/>
          </w:rPr>
          <w:t>https://english.www.gov.cn/archive/statistics/202409/05/content_WS66d9ab78c6d0868f4e8eaa27.html</w:t>
        </w:r>
      </w:hyperlink>
    </w:p>
    <w:p w14:paraId="45D3A0C2" w14:textId="4E2C282E" w:rsidR="00F973AA" w:rsidRDefault="00250326" w:rsidP="00250326">
      <w:pPr>
        <w:pStyle w:val="Compact"/>
        <w:numPr>
          <w:ilvl w:val="0"/>
          <w:numId w:val="7"/>
        </w:numPr>
        <w:spacing w:after="0"/>
      </w:pPr>
      <w:r>
        <w:t>European Central Bank: Eurosystem moving to next phase of digital euro project, 30 October 2025</w:t>
      </w:r>
      <w:r>
        <w:br/>
      </w:r>
      <w:hyperlink r:id="rId15">
        <w:r>
          <w:rPr>
            <w:rStyle w:val="Hyperlink"/>
          </w:rPr>
          <w:t>https://www.ecb.europa.eu/press/pr/date/2025/html/ecb.pr251030~8c5b5beef0.en.html</w:t>
        </w:r>
      </w:hyperlink>
    </w:p>
    <w:p w14:paraId="62CB154E" w14:textId="77777777" w:rsidR="00F973AA" w:rsidRDefault="00250326">
      <w:pPr>
        <w:pStyle w:val="Heading2"/>
      </w:pPr>
      <w:bookmarkStart w:id="17" w:name="financial-technology-fintech-regulation"/>
      <w:bookmarkEnd w:id="10"/>
      <w:bookmarkEnd w:id="16"/>
      <w:r>
        <w:t>1.3. Financial Technology (Fintech) Regulation</w:t>
      </w:r>
    </w:p>
    <w:p w14:paraId="23FD4195" w14:textId="77777777" w:rsidR="00F973AA" w:rsidRDefault="00250326">
      <w:pPr>
        <w:pStyle w:val="Heading3"/>
      </w:pPr>
      <w:bookmarkStart w:id="18" w:name="goal-2"/>
      <w:r>
        <w:t>1.3.1. Goal</w:t>
      </w:r>
    </w:p>
    <w:p w14:paraId="45C9A85A" w14:textId="77777777" w:rsidR="00F973AA" w:rsidRDefault="00250326">
      <w:pPr>
        <w:pStyle w:val="BodyText"/>
      </w:pPr>
      <w:r>
        <w:t>Compare the main ways governments regulate fintech, and show why a firm licensed in one country usually cannot operate in another.</w:t>
      </w:r>
    </w:p>
    <w:p w14:paraId="644C5983" w14:textId="77777777" w:rsidR="00F973AA" w:rsidRDefault="00250326">
      <w:pPr>
        <w:pStyle w:val="Heading3"/>
        <w:sectPr w:rsidR="00F973AA" w:rsidSect="00B75C3E">
          <w:footnotePr>
            <w:numRestart w:val="eachSect"/>
          </w:footnotePr>
          <w:type w:val="continuous"/>
          <w:pgSz w:w="11907" w:h="16840" w:code="9"/>
          <w:pgMar w:top="1134" w:right="1701" w:bottom="1134" w:left="1701" w:header="567" w:footer="454" w:gutter="0"/>
          <w:cols w:space="720"/>
        </w:sectPr>
      </w:pPr>
      <w:bookmarkStart w:id="19" w:name="reading-2"/>
      <w:bookmarkEnd w:id="18"/>
      <w:r>
        <w:t>1.3.2. Reading</w:t>
      </w:r>
    </w:p>
    <w:p w14:paraId="6012E81B" w14:textId="77777777" w:rsidR="00F973AA" w:rsidRDefault="00250326">
      <w:pPr>
        <w:pStyle w:val="articlebodytext"/>
      </w:pPr>
      <w:r>
        <w:t xml:space="preserve">“Fintech” means financial services delivered mainly through software: app-based payments, online lending, digital-only banks. As these firms grew, governments had to decide how to supervise them. In 2016 the United Kingdom’s Financial Conduct Authority tried a new answer, the world’s first </w:t>
      </w:r>
      <w:r>
        <w:t>“regulatory sandbox” [1]. A sandbox lets a new firm test a product with real customers for a limited time, under tailored rules and close supervision. The idea spread fast. By 2020 the World Bank counted 73 sandboxes in 57 countries [2]. But a sandbox is only one tool, and countries have taken very different overall approaches.</w:t>
      </w:r>
    </w:p>
    <w:p w14:paraId="505F34C4" w14:textId="77777777" w:rsidR="00F973AA" w:rsidRDefault="00250326">
      <w:pPr>
        <w:pStyle w:val="articlebodytext"/>
      </w:pPr>
      <w:r>
        <w:t xml:space="preserve">The European Union chose broad, EU-wide law. Its Payment Services Directive, known as PSD2, took effect in 2018. It created the legal basis for “open banking” </w:t>
      </w:r>
      <w:r>
        <w:t>by requiring banks to let licensed third parties reach customer payment accounts, usually through a standard software connection called an API [3]. A firm authorised in one EU country can then offer services across all the others. The EU agreed a further update, PSD3, in late 2025.</w:t>
      </w:r>
    </w:p>
    <w:p w14:paraId="6F781EB0" w14:textId="77777777" w:rsidR="00F973AA" w:rsidRDefault="00250326">
      <w:pPr>
        <w:pStyle w:val="articlebodytext"/>
      </w:pPr>
      <w:r>
        <w:t>The United States has no single fintech law or regulator. A money-transfer firm must be licensed separately in each state where it operates. A firm serving the whole country may therefore need dozens of licences, which raises the cost of launching and tends to favour large, well-funded companies. Attempts to write one national open-banking rule have so far stalled in the courts.</w:t>
      </w:r>
    </w:p>
    <w:p w14:paraId="6E3E3DD2" w14:textId="77777777" w:rsidR="00F973AA" w:rsidRDefault="00250326">
      <w:pPr>
        <w:pStyle w:val="articlebodytext"/>
      </w:pPr>
      <w:r>
        <w:t>India built public infrastructure instead of a broad rulebook. Its Unified Payments Interface, launched in 2016 and overseen by the Reserve Bank of India, processed more than 240 billion transactions in the 2025–26 financial year [4]. That makes it the world’s largest real-time payment system, and it is free to use for individuals. Private apps compete on top of it, but the underlying rails are public, so no single company controls access.</w:t>
      </w:r>
    </w:p>
    <w:p w14:paraId="64D6931A" w14:textId="77777777" w:rsidR="00F973AA" w:rsidRDefault="00250326">
      <w:pPr>
        <w:pStyle w:val="articlebodytext"/>
      </w:pPr>
      <w:r>
        <w:t>Japan’s Financial Services Agency uses a lighter, cooperation-based model. A 2017 amendment to the Banking Act, in force from 2018, required banks to publish open-API policies and to register the payment and data firms they connect with. A 2020 change then split non-bank money-transfer providers into three licence tiers by transfer size. Only the tier for the largest transfers needs full FSA authorisation; the two smaller tiers need registration only.</w:t>
      </w:r>
    </w:p>
    <w:p w14:paraId="16D6495B" w14:textId="77777777" w:rsidR="00F973AA" w:rsidRDefault="00250326">
      <w:pPr>
        <w:pStyle w:val="articlebodytext"/>
        <w:sectPr w:rsidR="00F973AA" w:rsidSect="00B75C3E">
          <w:footnotePr>
            <w:numRestart w:val="eachSect"/>
          </w:footnotePr>
          <w:type w:val="continuous"/>
          <w:pgSz w:w="11907" w:h="16840" w:code="9"/>
          <w:pgMar w:top="1134" w:right="1701" w:bottom="1134" w:left="1701" w:header="567" w:footer="454" w:gutter="0"/>
          <w:cols w:num="2" w:space="567"/>
        </w:sectPr>
      </w:pPr>
      <w:r>
        <w:t>Because each of these frameworks is written into national law, they do not travel. A payment firm licensed in London, Frankfurt, Mumbai or Tokyo must usually get a fresh authorisation before serving customers elsewhere. That is why fintech firms expand country by country, not all at once, and why a service that is normal in one market can be unavailable in the next.</w:t>
      </w:r>
    </w:p>
    <w:p w14:paraId="35C8D3AB" w14:textId="77777777" w:rsidR="00F973AA" w:rsidRDefault="00250326">
      <w:pPr>
        <w:pStyle w:val="Heading3"/>
      </w:pPr>
      <w:bookmarkStart w:id="20" w:name="vocabulary-focus-2"/>
      <w:bookmarkEnd w:id="19"/>
      <w:r>
        <w:t>1.3.3. Vocabulary Focus</w:t>
      </w:r>
    </w:p>
    <w:p w14:paraId="746D1605" w14:textId="77777777" w:rsidR="00F973AA" w:rsidRDefault="00250326">
      <w:pPr>
        <w:pStyle w:val="FirstParagraph"/>
      </w:pPr>
      <w:r>
        <w:t>fintech, regulatory sandbox, open banking, application programming interface (API), licensing, real-time payment system</w:t>
      </w:r>
    </w:p>
    <w:p w14:paraId="17F2A1EC" w14:textId="77777777" w:rsidR="00F973AA" w:rsidRDefault="00250326">
      <w:pPr>
        <w:pStyle w:val="Heading3"/>
      </w:pPr>
      <w:bookmarkStart w:id="21" w:name="reading-questions-2"/>
      <w:bookmarkEnd w:id="20"/>
      <w:r>
        <w:t>1.3.4. Reading Questions</w:t>
      </w:r>
    </w:p>
    <w:p w14:paraId="523AA7FC" w14:textId="77777777" w:rsidR="00F973AA" w:rsidRDefault="00250326" w:rsidP="00250326">
      <w:pPr>
        <w:pStyle w:val="Compact"/>
        <w:numPr>
          <w:ilvl w:val="0"/>
          <w:numId w:val="8"/>
        </w:numPr>
      </w:pPr>
      <w:r>
        <w:t>What does a regulatory sandbox allow a new firm to do?</w:t>
      </w:r>
    </w:p>
    <w:p w14:paraId="2F4B52CD" w14:textId="77777777" w:rsidR="00F973AA" w:rsidRDefault="00250326" w:rsidP="00250326">
      <w:pPr>
        <w:pStyle w:val="Compact"/>
        <w:numPr>
          <w:ilvl w:val="0"/>
          <w:numId w:val="8"/>
        </w:numPr>
      </w:pPr>
      <w:r>
        <w:t>How does an EU authorisation help a fintech firm, according to the reading?</w:t>
      </w:r>
    </w:p>
    <w:p w14:paraId="77B45DA8" w14:textId="77777777" w:rsidR="00F973AA" w:rsidRDefault="00250326" w:rsidP="00250326">
      <w:pPr>
        <w:pStyle w:val="Compact"/>
        <w:numPr>
          <w:ilvl w:val="0"/>
          <w:numId w:val="8"/>
        </w:numPr>
      </w:pPr>
      <w:r>
        <w:t>Why might a fintech firm need “dozens of separate licences” to operate across the United States?</w:t>
      </w:r>
    </w:p>
    <w:p w14:paraId="5D79F868" w14:textId="77777777" w:rsidR="00F973AA" w:rsidRDefault="00250326" w:rsidP="00250326">
      <w:pPr>
        <w:pStyle w:val="Compact"/>
        <w:numPr>
          <w:ilvl w:val="0"/>
          <w:numId w:val="8"/>
        </w:numPr>
      </w:pPr>
      <w:r>
        <w:t>What did India build instead of a broad fintech law, and how large has it become?</w:t>
      </w:r>
    </w:p>
    <w:p w14:paraId="2B3B89B8" w14:textId="77777777" w:rsidR="00F973AA" w:rsidRDefault="00250326" w:rsidP="00250326">
      <w:pPr>
        <w:pStyle w:val="Compact"/>
        <w:numPr>
          <w:ilvl w:val="0"/>
          <w:numId w:val="8"/>
        </w:numPr>
        <w:spacing w:after="0"/>
      </w:pPr>
      <w:r>
        <w:t>What does the reading say a payment firm must usually do before serving customers in another country?</w:t>
      </w:r>
    </w:p>
    <w:p w14:paraId="261F2CD0" w14:textId="77777777" w:rsidR="00F973AA" w:rsidRDefault="00250326">
      <w:pPr>
        <w:pStyle w:val="Heading3"/>
      </w:pPr>
      <w:bookmarkStart w:id="22" w:name="discussion-questions-2"/>
      <w:bookmarkEnd w:id="21"/>
      <w:r>
        <w:t>1.3.5. Discussion Questions</w:t>
      </w:r>
    </w:p>
    <w:p w14:paraId="150700A8" w14:textId="77777777" w:rsidR="00F973AA" w:rsidRDefault="00250326" w:rsidP="00250326">
      <w:pPr>
        <w:pStyle w:val="Compact"/>
        <w:numPr>
          <w:ilvl w:val="0"/>
          <w:numId w:val="9"/>
        </w:numPr>
      </w:pPr>
      <w:r>
        <w:t>The EU wrote one broad law; the United States relies on many state licences. What are the advantages and disadvantages of each approach?</w:t>
      </w:r>
    </w:p>
    <w:p w14:paraId="48B0DF62" w14:textId="77777777" w:rsidR="00F973AA" w:rsidRDefault="00250326" w:rsidP="00250326">
      <w:pPr>
        <w:pStyle w:val="Compact"/>
        <w:numPr>
          <w:ilvl w:val="0"/>
          <w:numId w:val="9"/>
        </w:numPr>
      </w:pPr>
      <w:r>
        <w:t>India focused on building a public payment system rather than regulating private ones. When is that a better choice for a government?</w:t>
      </w:r>
    </w:p>
    <w:p w14:paraId="44768ED7" w14:textId="77777777" w:rsidR="00F973AA" w:rsidRDefault="00250326" w:rsidP="00250326">
      <w:pPr>
        <w:pStyle w:val="Compact"/>
        <w:numPr>
          <w:ilvl w:val="0"/>
          <w:numId w:val="9"/>
        </w:numPr>
      </w:pPr>
      <w:r>
        <w:t>A regulatory sandbox gives a few firms relaxed rules for a while. Is that fair to firms not chosen for the sandbox? Explain.</w:t>
      </w:r>
    </w:p>
    <w:p w14:paraId="13529896" w14:textId="77777777" w:rsidR="00F973AA" w:rsidRDefault="00250326" w:rsidP="00250326">
      <w:pPr>
        <w:pStyle w:val="Compact"/>
        <w:numPr>
          <w:ilvl w:val="0"/>
          <w:numId w:val="9"/>
        </w:numPr>
      </w:pPr>
      <w:r>
        <w:t>Japan’s model relies on banks and fintech firms agreeing terms with each other. What could go wrong with that, and what could go right?</w:t>
      </w:r>
    </w:p>
    <w:p w14:paraId="62B47B19" w14:textId="77777777" w:rsidR="00F973AA" w:rsidRDefault="00250326" w:rsidP="00250326">
      <w:pPr>
        <w:pStyle w:val="Compact"/>
        <w:numPr>
          <w:ilvl w:val="0"/>
          <w:numId w:val="9"/>
        </w:numPr>
        <w:spacing w:after="0"/>
      </w:pPr>
      <w:r>
        <w:t>Advise a government that wants to encourage fintech but is worried about consumer losses. Which two rules would you tell it to put in place first?</w:t>
      </w:r>
    </w:p>
    <w:p w14:paraId="40E3484C" w14:textId="77777777" w:rsidR="00F973AA" w:rsidRDefault="00250326">
      <w:pPr>
        <w:pStyle w:val="Heading3"/>
      </w:pPr>
      <w:bookmarkStart w:id="23" w:name="source-notes-2"/>
      <w:bookmarkEnd w:id="22"/>
      <w:r>
        <w:t>1.3.6. Source Notes</w:t>
      </w:r>
    </w:p>
    <w:p w14:paraId="6A5959C2" w14:textId="35083A9D" w:rsidR="00F973AA" w:rsidRDefault="00250326" w:rsidP="00250326">
      <w:pPr>
        <w:pStyle w:val="Compact"/>
        <w:numPr>
          <w:ilvl w:val="0"/>
          <w:numId w:val="10"/>
        </w:numPr>
      </w:pPr>
      <w:r>
        <w:t>Financial Conduct Authority (UK): Financial Conduct Authority’s regulatory sandbox opens to applications, 9 May 2016</w:t>
      </w:r>
      <w:r>
        <w:br/>
      </w:r>
      <w:hyperlink r:id="rId16">
        <w:r>
          <w:rPr>
            <w:rStyle w:val="Hyperlink"/>
          </w:rPr>
          <w:t>https://www.fca.org.uk/news/press-releases/financial-conduct-authority%E2%80%99s-regulatory-sandbox-opens-applications</w:t>
        </w:r>
      </w:hyperlink>
    </w:p>
    <w:p w14:paraId="00D552A1" w14:textId="5B06805F" w:rsidR="00F973AA" w:rsidRDefault="00250326" w:rsidP="00250326">
      <w:pPr>
        <w:pStyle w:val="Compact"/>
        <w:numPr>
          <w:ilvl w:val="0"/>
          <w:numId w:val="10"/>
        </w:numPr>
      </w:pPr>
      <w:r>
        <w:t>World Bank Group: Global Experiences from Regulatory Sandboxes, 2020</w:t>
      </w:r>
      <w:r>
        <w:br/>
      </w:r>
      <w:hyperlink r:id="rId17">
        <w:r>
          <w:rPr>
            <w:rStyle w:val="Hyperlink"/>
          </w:rPr>
          <w:t>https://documents1.worldbank.org/curated/en/912001605241080935/txt/Global-Experiences-from-Regulatory-Sandboxes.txt</w:t>
        </w:r>
      </w:hyperlink>
    </w:p>
    <w:p w14:paraId="12CF943A" w14:textId="40762DD9" w:rsidR="00F973AA" w:rsidRDefault="00250326" w:rsidP="00250326">
      <w:pPr>
        <w:pStyle w:val="Compact"/>
        <w:numPr>
          <w:ilvl w:val="0"/>
          <w:numId w:val="10"/>
        </w:numPr>
      </w:pPr>
      <w:r>
        <w:t>European Commission: Payment services</w:t>
      </w:r>
      <w:r>
        <w:br/>
      </w:r>
      <w:hyperlink r:id="rId18">
        <w:r>
          <w:rPr>
            <w:rStyle w:val="Hyperlink"/>
          </w:rPr>
          <w:t>https://finance.ec.europa.eu/consumer-finance-and-payments/payment-services/payment-services_en</w:t>
        </w:r>
      </w:hyperlink>
    </w:p>
    <w:p w14:paraId="40762F37" w14:textId="23816B36" w:rsidR="00F973AA" w:rsidRDefault="00250326" w:rsidP="00250326">
      <w:pPr>
        <w:pStyle w:val="Compact"/>
        <w:numPr>
          <w:ilvl w:val="0"/>
          <w:numId w:val="10"/>
        </w:numPr>
        <w:spacing w:after="0"/>
      </w:pPr>
      <w:r>
        <w:t>Business Standard (India): UPI completes 10 years, clocks nearly 13,000-fold rise in transaction volume, 24 August 2026</w:t>
      </w:r>
      <w:r>
        <w:br/>
      </w:r>
      <w:hyperlink r:id="rId19">
        <w:r>
          <w:rPr>
            <w:rStyle w:val="Hyperlink"/>
          </w:rPr>
          <w:t>https://www.business-standard.com/finance/news/upi-completes-10-years-clocks-nearly-13k-fold-rise-in-transaction-volume-126082400604_1.html</w:t>
        </w:r>
      </w:hyperlink>
    </w:p>
    <w:p w14:paraId="10FE3487" w14:textId="77777777" w:rsidR="00F973AA" w:rsidRDefault="00250326">
      <w:pPr>
        <w:pStyle w:val="Heading2"/>
      </w:pPr>
      <w:bookmarkStart w:id="24" w:name="data-privacy-and-protection"/>
      <w:bookmarkEnd w:id="17"/>
      <w:bookmarkEnd w:id="23"/>
      <w:r>
        <w:t>1.4. Data Privacy and Protection</w:t>
      </w:r>
    </w:p>
    <w:p w14:paraId="0331CB41" w14:textId="77777777" w:rsidR="00F973AA" w:rsidRDefault="00250326">
      <w:pPr>
        <w:pStyle w:val="Heading3"/>
      </w:pPr>
      <w:bookmarkStart w:id="25" w:name="goal-3"/>
      <w:r>
        <w:t>1.4.1. Goal</w:t>
      </w:r>
    </w:p>
    <w:p w14:paraId="284F3689" w14:textId="77777777" w:rsidR="00F973AA" w:rsidRDefault="00250326">
      <w:pPr>
        <w:pStyle w:val="BodyText"/>
      </w:pPr>
      <w:r>
        <w:t>Explain how personal financial data is protected by law, and why moving that data between countries is the hardest part.</w:t>
      </w:r>
    </w:p>
    <w:p w14:paraId="01EBE8E9" w14:textId="77777777" w:rsidR="00F973AA" w:rsidRDefault="00250326">
      <w:pPr>
        <w:pStyle w:val="Heading3"/>
        <w:sectPr w:rsidR="00F973AA" w:rsidSect="00B75C3E">
          <w:footnotePr>
            <w:numRestart w:val="eachSect"/>
          </w:footnotePr>
          <w:type w:val="continuous"/>
          <w:pgSz w:w="11907" w:h="16840" w:code="9"/>
          <w:pgMar w:top="1134" w:right="1701" w:bottom="1134" w:left="1701" w:header="567" w:footer="454" w:gutter="0"/>
          <w:cols w:space="720"/>
        </w:sectPr>
      </w:pPr>
      <w:bookmarkStart w:id="26" w:name="reading-3"/>
      <w:bookmarkEnd w:id="25"/>
      <w:r>
        <w:t>1.4.2. Reading</w:t>
      </w:r>
    </w:p>
    <w:p w14:paraId="5252F388" w14:textId="77777777" w:rsidR="00F973AA" w:rsidRDefault="00250326">
      <w:pPr>
        <w:pStyle w:val="articlebodytext"/>
      </w:pPr>
      <w:r>
        <w:t>In 2023 an Irish regulator fined the technology company Meta EUR 1.2 billion. It was the largest privacy fine ever imposed in the European Union [1]. Meta’s mistake was not losing the data or selling it. It was moving Facebook users’ personal information from Europe to the United States without enough legal protection against access by US authorities. The case shows what modern data-privacy law is mainly about. It is not just keeping data safe. It is controlling where the data goes and who can reach it.</w:t>
      </w:r>
    </w:p>
    <w:p w14:paraId="53558DC9" w14:textId="77777777" w:rsidR="00F973AA" w:rsidRDefault="00250326">
      <w:pPr>
        <w:pStyle w:val="articlebodytext"/>
      </w:pPr>
      <w:r>
        <w:t>Financial firms hold large amounts of sensitive personal data: account numbers, transaction histories, credit records, copies of identity documents. They want to use it, for credit scoring, fraud checks and new services. Privacy law sets the limits on how they can. It usually requires a clear reason for collecting each piece of data, the person’s consent, and a duty to keep only what is needed.</w:t>
      </w:r>
    </w:p>
    <w:p w14:paraId="142D3FA6" w14:textId="77777777" w:rsidR="00F973AA" w:rsidRDefault="00250326">
      <w:pPr>
        <w:pStyle w:val="articlebodytext"/>
      </w:pPr>
      <w:r>
        <w:t>The European Union’s rules, known as the GDPR, have applied since 2018 and let regulators impose very large fines. By early 2025, EU regulators had issued close to EUR 6 billion in GDPR fines in total, and companies were reporting hundreds of data breaches every day [2]. Other regions rely more on penalties after a specific breach. After a 2017 attack on the US credit bureau Equifax exposed the records of about 147 million people, the company agreed to pay up to US$700 million to settle claims from US regul</w:t>
      </w:r>
      <w:r>
        <w:t>ators and states [3]. The United States still has no single national privacy law. California and several other states have written their own.</w:t>
      </w:r>
    </w:p>
    <w:p w14:paraId="26EF7ECD" w14:textId="77777777" w:rsidR="00F973AA" w:rsidRDefault="00250326">
      <w:pPr>
        <w:pStyle w:val="articlebodytext"/>
      </w:pPr>
      <w:r>
        <w:t xml:space="preserve">Japan was an early mover. Its Act on the Protection of Personal Information dates from 2003. Updates in 2017 and 2022 strengthened individual rights and made serious data breaches reportable to the Personal Information Protection Commission. In 2019 the EU and Japan recognised each other’s systems as offering “adequate” </w:t>
      </w:r>
      <w:r>
        <w:t>protection [4]. Personal data can now flow both ways without extra paperwork. It was the first such mutual arrangement the EU concluded. Newer laws elsewhere, such as India’s Digital Personal Data Protection Act of 2023, follow similar lines [5].</w:t>
      </w:r>
    </w:p>
    <w:p w14:paraId="4CE03A7D" w14:textId="77777777" w:rsidR="00F973AA" w:rsidRDefault="00250326">
      <w:pPr>
        <w:pStyle w:val="articlebodytext"/>
        <w:sectPr w:rsidR="00F973AA" w:rsidSect="00B75C3E">
          <w:footnotePr>
            <w:numRestart w:val="eachSect"/>
          </w:footnotePr>
          <w:type w:val="continuous"/>
          <w:pgSz w:w="11907" w:h="16840" w:code="9"/>
          <w:pgMar w:top="1134" w:right="1701" w:bottom="1134" w:left="1701" w:header="567" w:footer="454" w:gutter="0"/>
          <w:cols w:num="2" w:space="567"/>
        </w:sectPr>
      </w:pPr>
      <w:r>
        <w:t xml:space="preserve">The unresolved problem is cross-border transfer. Data moves around the world in seconds, but privacy rules stop at national borders. A company can be careful and fully lawful at home and still break the law by sending the same data to a country whose protections, or whose government surveillance powers, are judged too weak. That is exactly what the Meta fine was about. For a bank or payment firm that runs its systems across several countries, deciding where customer data may legally be stored and processed </w:t>
      </w:r>
      <w:r>
        <w:t>has become a routine part of the job.</w:t>
      </w:r>
    </w:p>
    <w:p w14:paraId="5130BA35" w14:textId="77777777" w:rsidR="00F973AA" w:rsidRDefault="00250326">
      <w:pPr>
        <w:pStyle w:val="Heading3"/>
      </w:pPr>
      <w:bookmarkStart w:id="27" w:name="vocabulary-focus-3"/>
      <w:bookmarkEnd w:id="26"/>
      <w:r>
        <w:t>1.4.3. Vocabulary Focus</w:t>
      </w:r>
    </w:p>
    <w:p w14:paraId="55645334" w14:textId="77777777" w:rsidR="00F973AA" w:rsidRDefault="00250326">
      <w:pPr>
        <w:pStyle w:val="FirstParagraph"/>
      </w:pPr>
      <w:r>
        <w:t>personal data, data breach, data protection authority, consent, cross-border data transfer, adequacy decision</w:t>
      </w:r>
    </w:p>
    <w:p w14:paraId="04D8C477" w14:textId="77777777" w:rsidR="00F973AA" w:rsidRDefault="00250326">
      <w:pPr>
        <w:pStyle w:val="Heading3"/>
      </w:pPr>
      <w:bookmarkStart w:id="28" w:name="reading-questions-3"/>
      <w:bookmarkEnd w:id="27"/>
      <w:r>
        <w:t>1.4.4. Reading Questions</w:t>
      </w:r>
    </w:p>
    <w:p w14:paraId="0AF5C327" w14:textId="77777777" w:rsidR="00F973AA" w:rsidRDefault="00250326" w:rsidP="00250326">
      <w:pPr>
        <w:pStyle w:val="Compact"/>
        <w:numPr>
          <w:ilvl w:val="0"/>
          <w:numId w:val="11"/>
        </w:numPr>
      </w:pPr>
      <w:r>
        <w:t>What exactly did Meta do wrong, according to the reading?</w:t>
      </w:r>
    </w:p>
    <w:p w14:paraId="114C724F" w14:textId="77777777" w:rsidR="00F973AA" w:rsidRDefault="00250326" w:rsidP="00250326">
      <w:pPr>
        <w:pStyle w:val="Compact"/>
        <w:numPr>
          <w:ilvl w:val="0"/>
          <w:numId w:val="11"/>
        </w:numPr>
      </w:pPr>
      <w:r>
        <w:t>Why do financial firms want access to large amounts of personal data?</w:t>
      </w:r>
    </w:p>
    <w:p w14:paraId="3CC9EA96" w14:textId="77777777" w:rsidR="00F973AA" w:rsidRDefault="00250326" w:rsidP="00250326">
      <w:pPr>
        <w:pStyle w:val="Compact"/>
        <w:numPr>
          <w:ilvl w:val="0"/>
          <w:numId w:val="11"/>
        </w:numPr>
      </w:pPr>
      <w:r>
        <w:t>How does the United States protect financial data differently from the European Union?</w:t>
      </w:r>
    </w:p>
    <w:p w14:paraId="29394493" w14:textId="77777777" w:rsidR="00F973AA" w:rsidRDefault="00250326" w:rsidP="00250326">
      <w:pPr>
        <w:pStyle w:val="Compact"/>
        <w:numPr>
          <w:ilvl w:val="0"/>
          <w:numId w:val="11"/>
        </w:numPr>
      </w:pPr>
      <w:r>
        <w:t>What did the EU and Japan agree in 2019, and why does it matter?</w:t>
      </w:r>
    </w:p>
    <w:p w14:paraId="15088B34" w14:textId="77777777" w:rsidR="00F973AA" w:rsidRDefault="00250326" w:rsidP="00250326">
      <w:pPr>
        <w:pStyle w:val="Compact"/>
        <w:numPr>
          <w:ilvl w:val="0"/>
          <w:numId w:val="11"/>
        </w:numPr>
        <w:spacing w:after="0"/>
      </w:pPr>
      <w:r>
        <w:t xml:space="preserve">What does the reading mean when it says </w:t>
      </w:r>
      <w:r>
        <w:t>“privacy rules stop at national borders”?</w:t>
      </w:r>
    </w:p>
    <w:p w14:paraId="03D10E87" w14:textId="77777777" w:rsidR="00F973AA" w:rsidRDefault="00250326">
      <w:pPr>
        <w:pStyle w:val="Heading3"/>
      </w:pPr>
      <w:bookmarkStart w:id="29" w:name="discussion-questions-3"/>
      <w:bookmarkEnd w:id="28"/>
      <w:r>
        <w:t>1.4.5. Discussion Questions</w:t>
      </w:r>
    </w:p>
    <w:p w14:paraId="06271335" w14:textId="77777777" w:rsidR="00F973AA" w:rsidRDefault="00250326" w:rsidP="00250326">
      <w:pPr>
        <w:pStyle w:val="Compact"/>
        <w:numPr>
          <w:ilvl w:val="0"/>
          <w:numId w:val="12"/>
        </w:numPr>
      </w:pPr>
      <w:r>
        <w:t>The reading describes a tension between using data and protecting it. Where would you draw the line for a bank that wants to use customer data to detect fraud?</w:t>
      </w:r>
    </w:p>
    <w:p w14:paraId="24189AA4" w14:textId="77777777" w:rsidR="00F973AA" w:rsidRDefault="00250326" w:rsidP="00250326">
      <w:pPr>
        <w:pStyle w:val="Compact"/>
        <w:numPr>
          <w:ilvl w:val="0"/>
          <w:numId w:val="12"/>
        </w:numPr>
      </w:pPr>
      <w:r>
        <w:t>Is a very large fine, like the one imposed on Meta, an effective way to change how big companies handle data? Explain.</w:t>
      </w:r>
    </w:p>
    <w:p w14:paraId="5EF15CDE" w14:textId="77777777" w:rsidR="00F973AA" w:rsidRDefault="00250326" w:rsidP="00250326">
      <w:pPr>
        <w:pStyle w:val="Compact"/>
        <w:numPr>
          <w:ilvl w:val="0"/>
          <w:numId w:val="12"/>
        </w:numPr>
      </w:pPr>
      <w:r>
        <w:t>Compare protecting data through strict rules (the EU approach) with protecting it through breach penalties (the US approach). Which is likely to work better, and for whom?</w:t>
      </w:r>
    </w:p>
    <w:p w14:paraId="6C84A1F0" w14:textId="77777777" w:rsidR="00F973AA" w:rsidRDefault="00250326" w:rsidP="00250326">
      <w:pPr>
        <w:pStyle w:val="Compact"/>
        <w:numPr>
          <w:ilvl w:val="0"/>
          <w:numId w:val="12"/>
        </w:numPr>
      </w:pPr>
      <w:r>
        <w:t>Should a person be able to refuse to let their bank share their data, even if that means fewer services or a worse credit offer? Give your view.</w:t>
      </w:r>
    </w:p>
    <w:p w14:paraId="3745669B" w14:textId="77777777" w:rsidR="00F973AA" w:rsidRDefault="00250326" w:rsidP="00250326">
      <w:pPr>
        <w:pStyle w:val="Compact"/>
        <w:numPr>
          <w:ilvl w:val="0"/>
          <w:numId w:val="12"/>
        </w:numPr>
        <w:spacing w:after="0"/>
      </w:pPr>
      <w:r>
        <w:t>Advise two countries that want to allow data to flow freely between them. What would each need to check about the other first?</w:t>
      </w:r>
    </w:p>
    <w:p w14:paraId="7C7E09DE" w14:textId="77777777" w:rsidR="00F973AA" w:rsidRDefault="00250326">
      <w:pPr>
        <w:pStyle w:val="Heading3"/>
      </w:pPr>
      <w:bookmarkStart w:id="30" w:name="source-notes-3"/>
      <w:bookmarkEnd w:id="29"/>
      <w:r>
        <w:t>1.4.6. Source Notes</w:t>
      </w:r>
    </w:p>
    <w:p w14:paraId="0A4D8762" w14:textId="4EEDEC3F" w:rsidR="00F973AA" w:rsidRDefault="00250326" w:rsidP="00250326">
      <w:pPr>
        <w:pStyle w:val="Compact"/>
        <w:numPr>
          <w:ilvl w:val="0"/>
          <w:numId w:val="13"/>
        </w:numPr>
      </w:pPr>
      <w:r>
        <w:t>Data Protection Commission (Ireland): Data Protection Commission announces conclusion of inquiry into Meta Ireland, 22 May 2023</w:t>
      </w:r>
      <w:r>
        <w:br/>
      </w:r>
      <w:hyperlink r:id="rId20">
        <w:r>
          <w:rPr>
            <w:rStyle w:val="Hyperlink"/>
          </w:rPr>
          <w:t>https://www.dataprotection.ie/en/news-media/press-releases/Data-Protection-Commission-announces-conclusion-of-inquiry-into-Meta-Ireland</w:t>
        </w:r>
      </w:hyperlink>
    </w:p>
    <w:p w14:paraId="5B4F6649" w14:textId="7398B2A3" w:rsidR="00F973AA" w:rsidRDefault="00250326" w:rsidP="00250326">
      <w:pPr>
        <w:pStyle w:val="Compact"/>
        <w:numPr>
          <w:ilvl w:val="0"/>
          <w:numId w:val="13"/>
        </w:numPr>
      </w:pPr>
      <w:r>
        <w:t>DLA Piper: GDPR Fines and Data Breach Survey, January 2025</w:t>
      </w:r>
      <w:r>
        <w:br/>
      </w:r>
      <w:hyperlink r:id="rId21">
        <w:r>
          <w:rPr>
            <w:rStyle w:val="Hyperlink"/>
          </w:rPr>
          <w:t>https://www.dlapiper.com/en/insights/publications/2025/01/dla-piper-gdpr-fines-and-data-breach-survey-january-2025</w:t>
        </w:r>
      </w:hyperlink>
    </w:p>
    <w:p w14:paraId="1013D464" w14:textId="52C6AEE4" w:rsidR="00F973AA" w:rsidRDefault="00250326" w:rsidP="00250326">
      <w:pPr>
        <w:pStyle w:val="Compact"/>
        <w:numPr>
          <w:ilvl w:val="0"/>
          <w:numId w:val="13"/>
        </w:numPr>
      </w:pPr>
      <w:r>
        <w:t>Consumer Financial Protection Bureau (US): CFPB, FTC and States Announce Settlement with Equifax Over 2017 Data Breach, 22 July 2019</w:t>
      </w:r>
      <w:r>
        <w:br/>
      </w:r>
      <w:hyperlink r:id="rId22">
        <w:r>
          <w:rPr>
            <w:rStyle w:val="Hyperlink"/>
          </w:rPr>
          <w:t>https://www.consumerfinance.gov/archive/newsroom/cfpb-ftc-states-announce-settlement-with-equifax-over-2017-data-breach/</w:t>
        </w:r>
      </w:hyperlink>
    </w:p>
    <w:p w14:paraId="63C7B9F2" w14:textId="77A2FD1F" w:rsidR="00F973AA" w:rsidRDefault="00250326" w:rsidP="00250326">
      <w:pPr>
        <w:pStyle w:val="Compact"/>
        <w:numPr>
          <w:ilvl w:val="0"/>
          <w:numId w:val="13"/>
        </w:numPr>
      </w:pPr>
      <w:r>
        <w:t>European Commission: Commission Implementing Decision (EU) 2019/419 of 23 January 2019 on the adequate protection of personal data by Japan (EUR-Lex)</w:t>
      </w:r>
      <w:r>
        <w:br/>
      </w:r>
      <w:hyperlink r:id="rId23">
        <w:r>
          <w:rPr>
            <w:rStyle w:val="Hyperlink"/>
          </w:rPr>
          <w:t>https://eur-lex.europa.eu/legal-content/EN/TXT/?uri=CELEX%3A32019D0419</w:t>
        </w:r>
      </w:hyperlink>
    </w:p>
    <w:p w14:paraId="00356CE8" w14:textId="1506A592" w:rsidR="00F973AA" w:rsidRDefault="00250326" w:rsidP="00250326">
      <w:pPr>
        <w:pStyle w:val="Compact"/>
        <w:numPr>
          <w:ilvl w:val="0"/>
          <w:numId w:val="13"/>
        </w:numPr>
        <w:spacing w:after="0"/>
      </w:pPr>
      <w:r>
        <w:t>Future of Privacy Forum: The Digital Personal Data Protection Act of India, Explained</w:t>
      </w:r>
      <w:r>
        <w:br/>
      </w:r>
      <w:hyperlink r:id="rId24">
        <w:r>
          <w:rPr>
            <w:rStyle w:val="Hyperlink"/>
          </w:rPr>
          <w:t>https://fpf.org/blog/the-digital-personal-data-protection-act-of-india-explained/</w:t>
        </w:r>
      </w:hyperlink>
    </w:p>
    <w:p w14:paraId="1C9FBAA7" w14:textId="77777777" w:rsidR="00F973AA" w:rsidRDefault="00250326">
      <w:pPr>
        <w:pStyle w:val="Heading2"/>
      </w:pPr>
      <w:bookmarkStart w:id="31" w:name="financial-inclusion-initiatives"/>
      <w:bookmarkEnd w:id="24"/>
      <w:bookmarkEnd w:id="30"/>
      <w:r>
        <w:t>1.5. Financial Inclusion Initiatives</w:t>
      </w:r>
    </w:p>
    <w:p w14:paraId="36C85F41" w14:textId="77777777" w:rsidR="00F973AA" w:rsidRDefault="00250326">
      <w:pPr>
        <w:pStyle w:val="Heading3"/>
      </w:pPr>
      <w:bookmarkStart w:id="32" w:name="goal-4"/>
      <w:r>
        <w:t>1.5.1. Goal</w:t>
      </w:r>
    </w:p>
    <w:p w14:paraId="3FFB0686" w14:textId="77777777" w:rsidR="00F973AA" w:rsidRDefault="00250326">
      <w:pPr>
        <w:pStyle w:val="BodyText"/>
      </w:pPr>
      <w:r>
        <w:t>Explain what financial inclusion means, how developing countries have widened access to accounts, and why it means something different in a rich country.</w:t>
      </w:r>
    </w:p>
    <w:p w14:paraId="1C360837" w14:textId="77777777" w:rsidR="00F973AA" w:rsidRDefault="00250326">
      <w:pPr>
        <w:pStyle w:val="Heading3"/>
        <w:sectPr w:rsidR="00F973AA" w:rsidSect="00B75C3E">
          <w:footnotePr>
            <w:numRestart w:val="eachSect"/>
          </w:footnotePr>
          <w:type w:val="continuous"/>
          <w:pgSz w:w="11907" w:h="16840" w:code="9"/>
          <w:pgMar w:top="1134" w:right="1701" w:bottom="1134" w:left="1701" w:header="567" w:footer="454" w:gutter="0"/>
          <w:cols w:space="720"/>
        </w:sectPr>
      </w:pPr>
      <w:bookmarkStart w:id="33" w:name="reading-4"/>
      <w:bookmarkEnd w:id="32"/>
      <w:r>
        <w:t>1.5.2. Reading</w:t>
      </w:r>
    </w:p>
    <w:p w14:paraId="5FE5EF09" w14:textId="77777777" w:rsidR="00F973AA" w:rsidRDefault="00250326">
      <w:pPr>
        <w:pStyle w:val="articlebodytext"/>
      </w:pPr>
      <w:r>
        <w:t>About 1.3 billion adults worldwide still have no bank account of any kind. That is far fewer than a decade ago. The share of adults with an account rose from roughly half in 2011 to nearly 80% by 2024 [1]. But progress has been uneven, and most of the people still left out live in just eight countries.</w:t>
      </w:r>
    </w:p>
    <w:p w14:paraId="131009EF" w14:textId="77777777" w:rsidR="00F973AA" w:rsidRDefault="00250326">
      <w:pPr>
        <w:pStyle w:val="articlebodytext"/>
      </w:pPr>
      <w:r>
        <w:t xml:space="preserve">“Financial inclusion” </w:t>
      </w:r>
      <w:r>
        <w:t>means giving people who are shut out of the formal system practical access to an account, payments, savings and credit. In lower-income countries the main tools have been mobile technology and public infrastructure.</w:t>
      </w:r>
    </w:p>
    <w:p w14:paraId="6959CB3F" w14:textId="77777777" w:rsidR="00F973AA" w:rsidRDefault="00250326">
      <w:pPr>
        <w:pStyle w:val="articlebodytext"/>
      </w:pPr>
      <w:r>
        <w:t>Mobile money has been the biggest change in Sub-Saharan Africa. M-Pesa was launched by the telecoms company Safaricom in Kenya in 2007. It lets people hold and send money using a basic phone, with cash paid in and out through local shop agents rather than bank branches. Sub-Saharan Africa is now the only region where more adults have a mobile money account than a bank account [1]. In Kenya itself, the share of adults with access to formal financial services has reached about 85% [2].</w:t>
      </w:r>
    </w:p>
    <w:p w14:paraId="34D71D48" w14:textId="77777777" w:rsidR="00F973AA" w:rsidRDefault="00250326">
      <w:pPr>
        <w:pStyle w:val="articlebodytext"/>
      </w:pPr>
      <w:r>
        <w:t>Governments have also built the infrastructure directly. India’s Jan Dhan programme, started in 2014, had opened more than 500 million basic bank accounts by the mid-2020s. Most are held by women and rural residents. In Brazil, the central bank acted as regulator and infrastructure builder at once, launching an instant-payment system called Pix in 2020. Within about a year, two-thirds of Brazilian adults were using it, including millions who had never made an electronic transfer before [3].</w:t>
      </w:r>
    </w:p>
    <w:p w14:paraId="3B8B347D" w14:textId="77777777" w:rsidR="00F973AA" w:rsidRDefault="00250326">
      <w:pPr>
        <w:pStyle w:val="articlebodytext"/>
      </w:pPr>
      <w:r>
        <w:t>Having an account, though, is not the same as using one. In India, about 16% of account holders have an inactive account — roughly four times the rate in other middle-income countries [1]. A programme can put a card in someone’s hand and still not change how they manage money.</w:t>
      </w:r>
    </w:p>
    <w:p w14:paraId="66697760" w14:textId="77777777" w:rsidR="00F973AA" w:rsidRDefault="00250326">
      <w:pPr>
        <w:pStyle w:val="articlebodytext"/>
        <w:sectPr w:rsidR="00F973AA" w:rsidSect="00B75C3E">
          <w:footnotePr>
            <w:numRestart w:val="eachSect"/>
          </w:footnotePr>
          <w:type w:val="continuous"/>
          <w:pgSz w:w="11907" w:h="16840" w:code="9"/>
          <w:pgMar w:top="1134" w:right="1701" w:bottom="1134" w:left="1701" w:header="567" w:footer="454" w:gutter="0"/>
          <w:cols w:num="2" w:space="567"/>
        </w:sectPr>
      </w:pPr>
      <w:r>
        <w:t>In a rich country the problem is different again. Japan is effectively fully banked, so inclusion is less about opening a first account. It is more about how people pay and who is left behind as things change. Japan has stayed unusually cash-reliant: the government reported that the cashless share of consumer spending reached about 43% in 2024, meeting its 40% target a year early [4]. The concerns are for elderly and rural customers as bank branches and cash machines close, and for foreign residents who fac</w:t>
      </w:r>
      <w:r>
        <w:t>e language and paperwork barriers to opening an account. The historical inclusion tool was the post office. Japan Post Bank, with roots in a savings system from 1875 and around 24,000 branches, long made sure that even remote areas had somewhere to save. Whether the goal is a first account in Kenya or keeping cash access in rural Japan, the harder part is not reaching people once but making the service one they will actually use.</w:t>
      </w:r>
    </w:p>
    <w:p w14:paraId="77158127" w14:textId="77777777" w:rsidR="00F973AA" w:rsidRDefault="00250326">
      <w:pPr>
        <w:pStyle w:val="Heading3"/>
      </w:pPr>
      <w:bookmarkStart w:id="34" w:name="vocabulary-focus-4"/>
      <w:bookmarkEnd w:id="33"/>
      <w:r>
        <w:t>1.5.3. Vocabulary Focus</w:t>
      </w:r>
    </w:p>
    <w:p w14:paraId="0F08A8DC" w14:textId="77777777" w:rsidR="00F973AA" w:rsidRDefault="00250326">
      <w:pPr>
        <w:pStyle w:val="FirstParagraph"/>
      </w:pPr>
      <w:r>
        <w:t>financial inclusion, the unbanked, mobile money, agent banking, instant payment system, cashless payment</w:t>
      </w:r>
    </w:p>
    <w:p w14:paraId="5A42C4C8" w14:textId="77777777" w:rsidR="00F973AA" w:rsidRDefault="00250326">
      <w:pPr>
        <w:pStyle w:val="Heading3"/>
      </w:pPr>
      <w:bookmarkStart w:id="35" w:name="reading-questions-4"/>
      <w:bookmarkEnd w:id="34"/>
      <w:r>
        <w:t>1.5.4. Reading Questions</w:t>
      </w:r>
    </w:p>
    <w:p w14:paraId="4E8403B9" w14:textId="77777777" w:rsidR="00F973AA" w:rsidRDefault="00250326" w:rsidP="00250326">
      <w:pPr>
        <w:pStyle w:val="Compact"/>
        <w:numPr>
          <w:ilvl w:val="0"/>
          <w:numId w:val="14"/>
        </w:numPr>
      </w:pPr>
      <w:r>
        <w:t>How much did the share of adults worldwide with an account change between 2011 and 2024?</w:t>
      </w:r>
    </w:p>
    <w:p w14:paraId="398FAC98" w14:textId="77777777" w:rsidR="00F973AA" w:rsidRDefault="00250326" w:rsidP="00250326">
      <w:pPr>
        <w:pStyle w:val="Compact"/>
        <w:numPr>
          <w:ilvl w:val="0"/>
          <w:numId w:val="14"/>
        </w:numPr>
      </w:pPr>
      <w:r>
        <w:t>How does M-Pesa let people hold and move money without a bank branch?</w:t>
      </w:r>
    </w:p>
    <w:p w14:paraId="57DD1BA2" w14:textId="77777777" w:rsidR="00F973AA" w:rsidRDefault="00250326" w:rsidP="00250326">
      <w:pPr>
        <w:pStyle w:val="Compact"/>
        <w:numPr>
          <w:ilvl w:val="0"/>
          <w:numId w:val="14"/>
        </w:numPr>
      </w:pPr>
      <w:r>
        <w:t>What did India’s Jan Dhan programme do, and who mainly holds the accounts?</w:t>
      </w:r>
    </w:p>
    <w:p w14:paraId="5879FC94" w14:textId="77777777" w:rsidR="00F973AA" w:rsidRDefault="00250326" w:rsidP="00250326">
      <w:pPr>
        <w:pStyle w:val="Compact"/>
        <w:numPr>
          <w:ilvl w:val="0"/>
          <w:numId w:val="14"/>
        </w:numPr>
      </w:pPr>
      <w:r>
        <w:t>Why does the reading say financial inclusion “means something different” in Japan?</w:t>
      </w:r>
    </w:p>
    <w:p w14:paraId="5ADB94BA" w14:textId="77777777" w:rsidR="00F973AA" w:rsidRDefault="00250326" w:rsidP="00250326">
      <w:pPr>
        <w:pStyle w:val="Compact"/>
        <w:numPr>
          <w:ilvl w:val="0"/>
          <w:numId w:val="14"/>
        </w:numPr>
        <w:spacing w:after="0"/>
      </w:pPr>
      <w:r>
        <w:t>What role did Japan Post Bank historically play in financial inclusion?</w:t>
      </w:r>
    </w:p>
    <w:p w14:paraId="34E5910B" w14:textId="77777777" w:rsidR="00F973AA" w:rsidRDefault="00250326">
      <w:pPr>
        <w:pStyle w:val="Heading3"/>
      </w:pPr>
      <w:bookmarkStart w:id="36" w:name="discussion-questions-4"/>
      <w:bookmarkEnd w:id="35"/>
      <w:r>
        <w:t>1.5.5. Discussion Questions</w:t>
      </w:r>
    </w:p>
    <w:p w14:paraId="65FA14EE" w14:textId="77777777" w:rsidR="00F973AA" w:rsidRDefault="00250326" w:rsidP="00250326">
      <w:pPr>
        <w:pStyle w:val="Compact"/>
        <w:numPr>
          <w:ilvl w:val="0"/>
          <w:numId w:val="15"/>
        </w:numPr>
      </w:pPr>
      <w:r>
        <w:t>In several countries, governments rather than private banks built the tools that widened access. When is that the right choice, and when is it not?</w:t>
      </w:r>
    </w:p>
    <w:p w14:paraId="4601E8AB" w14:textId="77777777" w:rsidR="00F973AA" w:rsidRDefault="00250326" w:rsidP="00250326">
      <w:pPr>
        <w:pStyle w:val="Compact"/>
        <w:numPr>
          <w:ilvl w:val="0"/>
          <w:numId w:val="15"/>
        </w:numPr>
      </w:pPr>
      <w:r>
        <w:t>Having an account is not the same as using one. What might stop someone from using an account they have been given?</w:t>
      </w:r>
    </w:p>
    <w:p w14:paraId="5247CBC6" w14:textId="77777777" w:rsidR="00F973AA" w:rsidRDefault="00250326" w:rsidP="00250326">
      <w:pPr>
        <w:pStyle w:val="Compact"/>
        <w:numPr>
          <w:ilvl w:val="0"/>
          <w:numId w:val="15"/>
        </w:numPr>
      </w:pPr>
      <w:r>
        <w:t>Compare Kenya’s mobile-money route with Brazil’s central-bank payment system. What are the strengths of each?</w:t>
      </w:r>
    </w:p>
    <w:p w14:paraId="27615B19" w14:textId="77777777" w:rsidR="00F973AA" w:rsidRDefault="00250326" w:rsidP="00250326">
      <w:pPr>
        <w:pStyle w:val="Compact"/>
        <w:numPr>
          <w:ilvl w:val="0"/>
          <w:numId w:val="15"/>
        </w:numPr>
      </w:pPr>
      <w:r>
        <w:t>In a rich country, who is most at risk of being “left behind” as cash and branches disappear, and what could be done for them?</w:t>
      </w:r>
    </w:p>
    <w:p w14:paraId="5CF0A4B3" w14:textId="77777777" w:rsidR="00F973AA" w:rsidRDefault="00250326" w:rsidP="00250326">
      <w:pPr>
        <w:pStyle w:val="Compact"/>
        <w:numPr>
          <w:ilvl w:val="0"/>
          <w:numId w:val="15"/>
        </w:numPr>
        <w:spacing w:after="0"/>
      </w:pPr>
      <w:r>
        <w:t>Advise a government that wants to bring its unbanked population into the financial system. What two steps would you tell it to take first?</w:t>
      </w:r>
    </w:p>
    <w:p w14:paraId="16EB3FF8" w14:textId="77777777" w:rsidR="00F973AA" w:rsidRDefault="00250326">
      <w:pPr>
        <w:pStyle w:val="Heading3"/>
      </w:pPr>
      <w:bookmarkStart w:id="37" w:name="source-notes-4"/>
      <w:bookmarkEnd w:id="36"/>
      <w:r>
        <w:t>1.5.6. Source Notes</w:t>
      </w:r>
    </w:p>
    <w:p w14:paraId="5A01D7DF" w14:textId="1EC1FE57" w:rsidR="00F973AA" w:rsidRDefault="00250326" w:rsidP="00250326">
      <w:pPr>
        <w:pStyle w:val="Compact"/>
        <w:numPr>
          <w:ilvl w:val="0"/>
          <w:numId w:val="16"/>
        </w:numPr>
      </w:pPr>
      <w:r>
        <w:t>World Bank: Mobile-Phone Technology Powers Saving Surge in Developing Economies (Global Findex Database 2025), 16 July 2025</w:t>
      </w:r>
      <w:r>
        <w:br/>
      </w:r>
      <w:hyperlink r:id="rId25">
        <w:r>
          <w:rPr>
            <w:rStyle w:val="Hyperlink"/>
          </w:rPr>
          <w:t>https://www.worldbank.org/en/news/press-release/2025/07/16/mobile-phone-technology-powers-saving-surge-in-developing-economies</w:t>
        </w:r>
      </w:hyperlink>
    </w:p>
    <w:p w14:paraId="13C36A7E" w14:textId="2ACEBA71" w:rsidR="00F973AA" w:rsidRDefault="00250326" w:rsidP="00250326">
      <w:pPr>
        <w:pStyle w:val="Compact"/>
        <w:numPr>
          <w:ilvl w:val="0"/>
          <w:numId w:val="16"/>
        </w:numPr>
      </w:pPr>
      <w:r>
        <w:t>Central Bank of Kenya: 2024 FinAccess Household Survey, 3 December 2024</w:t>
      </w:r>
      <w:r>
        <w:br/>
      </w:r>
      <w:hyperlink r:id="rId26">
        <w:r>
          <w:rPr>
            <w:rStyle w:val="Hyperlink"/>
          </w:rPr>
          <w:t>https://www.centralbank.go.ke/2024/12/13/10960/</w:t>
        </w:r>
      </w:hyperlink>
    </w:p>
    <w:p w14:paraId="4AD92D81" w14:textId="61D15451" w:rsidR="00F973AA" w:rsidRDefault="00250326" w:rsidP="00250326">
      <w:pPr>
        <w:pStyle w:val="Compact"/>
        <w:numPr>
          <w:ilvl w:val="0"/>
          <w:numId w:val="16"/>
        </w:numPr>
      </w:pPr>
      <w:r>
        <w:t>Bank for International Settlements: Pix — Brazil’s successful experience with instant payments (BIS Bulletin No 52), 23 March 2022</w:t>
      </w:r>
      <w:r>
        <w:br/>
      </w:r>
      <w:hyperlink r:id="rId27">
        <w:r>
          <w:rPr>
            <w:rStyle w:val="Hyperlink"/>
          </w:rPr>
          <w:t>https://www.bis.org/publ/bisbull52.htm</w:t>
        </w:r>
      </w:hyperlink>
    </w:p>
    <w:p w14:paraId="08B37D84" w14:textId="31D208EE" w:rsidR="00F973AA" w:rsidRDefault="00250326" w:rsidP="00250326">
      <w:pPr>
        <w:pStyle w:val="Compact"/>
        <w:numPr>
          <w:ilvl w:val="0"/>
          <w:numId w:val="16"/>
        </w:numPr>
        <w:spacing w:after="0"/>
      </w:pPr>
      <w:r>
        <w:t>Ministry of Economy, Trade and Industry (Japan): 2024 Ratio of Cashless Payment Among the Total Amount Paid by Consumers Calculated, 31 March 2025</w:t>
      </w:r>
      <w:r>
        <w:br/>
      </w:r>
      <w:hyperlink r:id="rId28">
        <w:r>
          <w:rPr>
            <w:rStyle w:val="Hyperlink"/>
          </w:rPr>
          <w:t>https://www.meti.go.jp/english/press/2025/0331_001.html</w:t>
        </w:r>
      </w:hyperlink>
    </w:p>
    <w:p w14:paraId="68E2E7A6" w14:textId="77777777" w:rsidR="00F973AA" w:rsidRDefault="00250326">
      <w:pPr>
        <w:pStyle w:val="Heading1"/>
        <w:pageBreakBefore w:val="0"/>
      </w:pPr>
      <w:bookmarkStart w:id="38" w:name="Xacf28357409deebbcb90d318c85408a32c0ee57"/>
      <w:bookmarkEnd w:id="2"/>
      <w:bookmarkEnd w:id="31"/>
      <w:bookmarkEnd w:id="37"/>
      <w:r>
        <w:t>Part 2: Markets, Institutions and Financial Stability</w:t>
      </w:r>
    </w:p>
    <w:p w14:paraId="63DDBC12" w14:textId="77777777" w:rsidR="00F973AA" w:rsidRDefault="00250326">
      <w:pPr>
        <w:pStyle w:val="BodyText"/>
      </w:pPr>
      <w:r>
        <w:t>How markets, credit ratings, insurers and banks are supervised, and what happens when the system comes under stress.</w:t>
      </w:r>
    </w:p>
    <w:p w14:paraId="4C84E68A" w14:textId="77777777" w:rsidR="00F973AA" w:rsidRDefault="00250326">
      <w:pPr>
        <w:pStyle w:val="Heading2"/>
      </w:pPr>
      <w:bookmarkStart w:id="39" w:name="Xe5b2d0d6a408b364305aa3e61179c5557207fca"/>
      <w:r>
        <w:t>2.1. Regulatory Responses to Market Volatility</w:t>
      </w:r>
    </w:p>
    <w:p w14:paraId="218D1A78" w14:textId="77777777" w:rsidR="00F973AA" w:rsidRDefault="00250326">
      <w:pPr>
        <w:pStyle w:val="Heading3"/>
      </w:pPr>
      <w:bookmarkStart w:id="40" w:name="goal-5"/>
      <w:r>
        <w:t>2.1.1. Goal</w:t>
      </w:r>
    </w:p>
    <w:p w14:paraId="3D3D3B5F" w14:textId="77777777" w:rsidR="00F973AA" w:rsidRDefault="00250326">
      <w:pPr>
        <w:pStyle w:val="BodyText"/>
      </w:pPr>
      <w:r>
        <w:t>Explain how exchanges and regulators try to slow a falling market, using circuit breakers and trading halts, and why these tools are debated.</w:t>
      </w:r>
    </w:p>
    <w:p w14:paraId="711B73D1" w14:textId="77777777" w:rsidR="00F973AA" w:rsidRDefault="00250326">
      <w:pPr>
        <w:pStyle w:val="Heading3"/>
        <w:sectPr w:rsidR="00F973AA" w:rsidSect="00B75C3E">
          <w:footnotePr>
            <w:numRestart w:val="eachSect"/>
          </w:footnotePr>
          <w:type w:val="continuous"/>
          <w:pgSz w:w="11907" w:h="16840" w:code="9"/>
          <w:pgMar w:top="1134" w:right="1701" w:bottom="1134" w:left="1701" w:header="567" w:footer="454" w:gutter="0"/>
          <w:cols w:space="720"/>
        </w:sectPr>
      </w:pPr>
      <w:bookmarkStart w:id="41" w:name="reading-5"/>
      <w:bookmarkEnd w:id="40"/>
      <w:r>
        <w:t>2.1.2. Reading</w:t>
      </w:r>
    </w:p>
    <w:p w14:paraId="4536FDA1" w14:textId="77777777" w:rsidR="00F973AA" w:rsidRDefault="00250326">
      <w:pPr>
        <w:pStyle w:val="articlebodytext"/>
      </w:pPr>
      <w:r>
        <w:t>On 5 August 2024 the Nikkei 225, Japan’s main stock index, fell 4,451 points in a single day, a drop of 12.4% and the largest one-day points fall in its history [1]. Futures trading on the Osaka Exchange was halted for a short period when prices moved past a set limit. Markets in South Korea paused the same day. A day later, share prices in Tokyo recovered much of the loss. Sharp swings like this are what regulators call market volatility, and over the past forty years they have built tools to manage it.</w:t>
      </w:r>
    </w:p>
    <w:p w14:paraId="69ACE81F" w14:textId="77777777" w:rsidR="00F973AA" w:rsidRDefault="00250326">
      <w:pPr>
        <w:pStyle w:val="articlebodytext"/>
      </w:pPr>
      <w:r>
        <w:t>The best known tool is the circuit breaker, a rule that stops trading for a fixed time when prices fall by a set amount. The idea came from the United States after 19 October 1987, a day known as “Black Monday”</w:t>
      </w:r>
      <w:r>
        <w:t>, when the Dow Jones index lost 22.6% in one session. A government report, the Brady Commission report, recommended coordinated pauses so that buyers and sellers could catch up with the news [2]. The exchanges adopted matching rules the following year. Today the main United States market has three levels, set at falls of 7%, 13% and 20% in the S&amp;P 500 index. The first two trigger a 15-minute halt; the third closes the market for the rest of the day. Before 2020 the mechanism had been used only once, in 1997</w:t>
      </w:r>
      <w:r>
        <w:t>. Then the 7% level was reached four times in a single fortnight in March 2020, during the first weeks of the pandemic [3].</w:t>
      </w:r>
    </w:p>
    <w:p w14:paraId="2951D6EA" w14:textId="77777777" w:rsidR="00F973AA" w:rsidRDefault="00250326">
      <w:pPr>
        <w:pStyle w:val="articlebodytext"/>
      </w:pPr>
      <w:r>
        <w:t xml:space="preserve">Other markets use their own versions. After the “flash crash” </w:t>
      </w:r>
      <w:r>
        <w:t>of 6 May 2010, when United States prices fell and rebounded within minutes, regulators added limits that pause trading in a single stock if its price moves too far too fast. The European Union allowed national regulators to ban the short selling of some shares for several weeks in March 2020. Exchanges in Tokyo, Seoul, Shanghai and elsewhere in Asia set daily price limits on individual stocks, so a share can only rise or fall by a capped percentage before trading in it stops.</w:t>
      </w:r>
    </w:p>
    <w:p w14:paraId="43AE86D4" w14:textId="77777777" w:rsidR="00F973AA" w:rsidRDefault="00250326">
      <w:pPr>
        <w:pStyle w:val="articlebodytext"/>
        <w:sectPr w:rsidR="00F973AA" w:rsidSect="00B75C3E">
          <w:footnotePr>
            <w:numRestart w:val="eachSect"/>
          </w:footnotePr>
          <w:type w:val="continuous"/>
          <w:pgSz w:w="11907" w:h="16840" w:code="9"/>
          <w:pgMar w:top="1134" w:right="1701" w:bottom="1134" w:left="1701" w:header="567" w:footer="454" w:gutter="0"/>
          <w:cols w:num="2" w:space="567"/>
        </w:sectPr>
      </w:pPr>
      <w:r>
        <w:t>Not every attempt has worked. China introduced a market-wide circuit breaker in January 2016 and removed it after four days. Traders rushed to sell before the halt could take effect, which made the fall worse; on the fourth day the market closed just half an hour after opening. This points to the central argument against the tools, sometimes called the magnet effect: a pause meant to calm a market can instead pull prices toward the trigger as people race to trade first. Supporters reply that a short break g</w:t>
      </w:r>
      <w:r>
        <w:t>ives firms time to check their systems and gives regulators time to spot errors, and that a planned stop is safer than a disorderly one. After more than thirty years the research is still mixed. Most large exchanges have kept their circuit breakers, while continuing to adjust the levels and the timing in the light of each new episode.</w:t>
      </w:r>
    </w:p>
    <w:p w14:paraId="19775938" w14:textId="77777777" w:rsidR="00F973AA" w:rsidRDefault="00250326">
      <w:pPr>
        <w:pStyle w:val="Heading3"/>
      </w:pPr>
      <w:bookmarkStart w:id="42" w:name="vocabulary-focus-5"/>
      <w:bookmarkEnd w:id="41"/>
      <w:r>
        <w:t>2.1.3. Vocabulary Focus</w:t>
      </w:r>
    </w:p>
    <w:p w14:paraId="12A689E5" w14:textId="77777777" w:rsidR="00F973AA" w:rsidRDefault="00250326">
      <w:pPr>
        <w:pStyle w:val="FirstParagraph"/>
      </w:pPr>
      <w:r>
        <w:t>market volatility, circuit breaker, trading halt, stock index, short selling, daily price limit</w:t>
      </w:r>
    </w:p>
    <w:p w14:paraId="1A04D3C9" w14:textId="77777777" w:rsidR="00F973AA" w:rsidRDefault="00250326">
      <w:pPr>
        <w:pStyle w:val="Heading3"/>
      </w:pPr>
      <w:bookmarkStart w:id="43" w:name="reading-questions-5"/>
      <w:bookmarkEnd w:id="42"/>
      <w:r>
        <w:t>2.1.4. Reading Questions</w:t>
      </w:r>
    </w:p>
    <w:p w14:paraId="463D8555" w14:textId="77777777" w:rsidR="00F973AA" w:rsidRDefault="00250326" w:rsidP="00250326">
      <w:pPr>
        <w:pStyle w:val="Compact"/>
        <w:numPr>
          <w:ilvl w:val="0"/>
          <w:numId w:val="17"/>
        </w:numPr>
      </w:pPr>
      <w:r>
        <w:t>What happened to the Nikkei 225 on 5 August 2024, and how did the market move the next day?</w:t>
      </w:r>
    </w:p>
    <w:p w14:paraId="4130FA60" w14:textId="77777777" w:rsidR="00F973AA" w:rsidRDefault="00250326" w:rsidP="00250326">
      <w:pPr>
        <w:pStyle w:val="Compact"/>
        <w:numPr>
          <w:ilvl w:val="0"/>
          <w:numId w:val="17"/>
        </w:numPr>
      </w:pPr>
      <w:r>
        <w:t>What is a circuit breaker, and what event led the United States to create one?</w:t>
      </w:r>
    </w:p>
    <w:p w14:paraId="0F020F51" w14:textId="77777777" w:rsidR="00F973AA" w:rsidRDefault="00250326" w:rsidP="00250326">
      <w:pPr>
        <w:pStyle w:val="Compact"/>
        <w:numPr>
          <w:ilvl w:val="0"/>
          <w:numId w:val="17"/>
        </w:numPr>
      </w:pPr>
      <w:r>
        <w:t>What are the three levels used in the main United States market, and what does each one do?</w:t>
      </w:r>
    </w:p>
    <w:p w14:paraId="5D12531E" w14:textId="77777777" w:rsidR="00F973AA" w:rsidRDefault="00250326" w:rsidP="00250326">
      <w:pPr>
        <w:pStyle w:val="Compact"/>
        <w:numPr>
          <w:ilvl w:val="0"/>
          <w:numId w:val="17"/>
        </w:numPr>
      </w:pPr>
      <w:r>
        <w:t>What change did regulators make after the “flash crash” of May 2010?</w:t>
      </w:r>
    </w:p>
    <w:p w14:paraId="230B84AF" w14:textId="77777777" w:rsidR="00F973AA" w:rsidRDefault="00250326" w:rsidP="00250326">
      <w:pPr>
        <w:pStyle w:val="Compact"/>
        <w:numPr>
          <w:ilvl w:val="0"/>
          <w:numId w:val="17"/>
        </w:numPr>
        <w:spacing w:after="0"/>
      </w:pPr>
      <w:r>
        <w:t>Why did China remove its market-wide circuit breaker after four days?</w:t>
      </w:r>
    </w:p>
    <w:p w14:paraId="0BEDFECD" w14:textId="77777777" w:rsidR="00F973AA" w:rsidRDefault="00250326">
      <w:pPr>
        <w:pStyle w:val="Heading3"/>
      </w:pPr>
      <w:bookmarkStart w:id="44" w:name="discussion-questions-5"/>
      <w:bookmarkEnd w:id="43"/>
      <w:r>
        <w:t>2.1.5. Discussion Questions</w:t>
      </w:r>
    </w:p>
    <w:p w14:paraId="4454AE0D" w14:textId="77777777" w:rsidR="00F973AA" w:rsidRDefault="00250326" w:rsidP="00250326">
      <w:pPr>
        <w:pStyle w:val="Compact"/>
        <w:numPr>
          <w:ilvl w:val="0"/>
          <w:numId w:val="18"/>
        </w:numPr>
      </w:pPr>
      <w:r>
        <w:t>A circuit breaker forces a pause on people who may want to trade. When is it fair to stop a market, and when is it not?</w:t>
      </w:r>
    </w:p>
    <w:p w14:paraId="7FA60FAC" w14:textId="77777777" w:rsidR="00F973AA" w:rsidRDefault="00250326" w:rsidP="00250326">
      <w:pPr>
        <w:pStyle w:val="Compact"/>
        <w:numPr>
          <w:ilvl w:val="0"/>
          <w:numId w:val="18"/>
        </w:numPr>
      </w:pPr>
      <w:r>
        <w:t>The reading gives one case where a circuit breaker seemed to make a fall worse. Does that mean the tool is a bad idea? Explain your view.</w:t>
      </w:r>
    </w:p>
    <w:p w14:paraId="20B4295B" w14:textId="77777777" w:rsidR="00F973AA" w:rsidRDefault="00250326" w:rsidP="00250326">
      <w:pPr>
        <w:pStyle w:val="Compact"/>
        <w:numPr>
          <w:ilvl w:val="0"/>
          <w:numId w:val="18"/>
        </w:numPr>
      </w:pPr>
      <w:r>
        <w:t>Daily price limits on single stocks are common in Asia but rare in the United States. What might explain that difference?</w:t>
      </w:r>
    </w:p>
    <w:p w14:paraId="3AA342E1" w14:textId="77777777" w:rsidR="00F973AA" w:rsidRDefault="00250326" w:rsidP="00250326">
      <w:pPr>
        <w:pStyle w:val="Compact"/>
        <w:numPr>
          <w:ilvl w:val="0"/>
          <w:numId w:val="18"/>
        </w:numPr>
      </w:pPr>
      <w:r>
        <w:t>Some investors say pauses just delay bad news. Others say a break prevents panic. Which argument do you find stronger, and why?</w:t>
      </w:r>
    </w:p>
    <w:p w14:paraId="24497BC5" w14:textId="77777777" w:rsidR="00F973AA" w:rsidRDefault="00250326" w:rsidP="00250326">
      <w:pPr>
        <w:pStyle w:val="Compact"/>
        <w:numPr>
          <w:ilvl w:val="0"/>
          <w:numId w:val="18"/>
        </w:numPr>
        <w:spacing w:after="0"/>
      </w:pPr>
      <w:r>
        <w:t>You advise an exchange that has never had a circuit breaker. Recommend whether it should adopt one, and set out the two main risks it should weigh.</w:t>
      </w:r>
    </w:p>
    <w:p w14:paraId="321DF9BA" w14:textId="77777777" w:rsidR="00F973AA" w:rsidRDefault="00250326">
      <w:pPr>
        <w:pStyle w:val="Heading3"/>
      </w:pPr>
      <w:bookmarkStart w:id="45" w:name="source-notes-5"/>
      <w:bookmarkEnd w:id="44"/>
      <w:r>
        <w:t>2.1.6. Source Notes</w:t>
      </w:r>
    </w:p>
    <w:p w14:paraId="43022126" w14:textId="53C4C74B" w:rsidR="00F973AA" w:rsidRDefault="00250326" w:rsidP="00250326">
      <w:pPr>
        <w:pStyle w:val="Compact"/>
        <w:numPr>
          <w:ilvl w:val="0"/>
          <w:numId w:val="19"/>
        </w:numPr>
      </w:pPr>
      <w:r>
        <w:t>Japan Exchange Group: Price Limits / Circuit Breaker Rule (Derivatives)</w:t>
      </w:r>
      <w:r>
        <w:br/>
      </w:r>
      <w:hyperlink r:id="rId29">
        <w:r>
          <w:rPr>
            <w:rStyle w:val="Hyperlink"/>
          </w:rPr>
          <w:t>https://www.jpx.co.jp/english/derivatives/rules/price-limit-cb/</w:t>
        </w:r>
      </w:hyperlink>
    </w:p>
    <w:p w14:paraId="43BE7AB5" w14:textId="0B919893" w:rsidR="00F973AA" w:rsidRDefault="00250326" w:rsidP="00250326">
      <w:pPr>
        <w:pStyle w:val="Compact"/>
        <w:numPr>
          <w:ilvl w:val="0"/>
          <w:numId w:val="19"/>
        </w:numPr>
      </w:pPr>
      <w:r>
        <w:t>Report of the Presidential Task Force on Market Mechanisms (the Brady Report), January 1988</w:t>
      </w:r>
      <w:r>
        <w:br/>
      </w:r>
      <w:hyperlink r:id="rId30">
        <w:r>
          <w:rPr>
            <w:rStyle w:val="Hyperlink"/>
          </w:rPr>
          <w:t>https://www.sechistorical.org/collection/papers/1980/1988_0101_BradyReport.pdf</w:t>
        </w:r>
      </w:hyperlink>
    </w:p>
    <w:p w14:paraId="7D764BAA" w14:textId="1772249D" w:rsidR="00F973AA" w:rsidRDefault="00250326" w:rsidP="00250326">
      <w:pPr>
        <w:pStyle w:val="Compact"/>
        <w:numPr>
          <w:ilvl w:val="0"/>
          <w:numId w:val="19"/>
        </w:numPr>
        <w:spacing w:after="0"/>
      </w:pPr>
      <w:r>
        <w:t>U.S. Securities and Exchange Commission (Investor.gov): Stock Market Circuit Breakers</w:t>
      </w:r>
      <w:r>
        <w:br/>
      </w:r>
      <w:hyperlink r:id="rId31">
        <w:r>
          <w:rPr>
            <w:rStyle w:val="Hyperlink"/>
          </w:rPr>
          <w:t>https://www.investor.gov/introduction-investing/investing-basics/glossary/stock-market-circuit-breakers</w:t>
        </w:r>
      </w:hyperlink>
    </w:p>
    <w:p w14:paraId="3E41B7C3" w14:textId="77777777" w:rsidR="00F973AA" w:rsidRDefault="00250326">
      <w:pPr>
        <w:pStyle w:val="Heading2"/>
      </w:pPr>
      <w:bookmarkStart w:id="46" w:name="credit-rating-agencies-oversight"/>
      <w:bookmarkEnd w:id="39"/>
      <w:bookmarkEnd w:id="45"/>
      <w:r>
        <w:t>2.2. Credit Rating Agencies Oversight</w:t>
      </w:r>
    </w:p>
    <w:p w14:paraId="7A33892E" w14:textId="77777777" w:rsidR="00F973AA" w:rsidRDefault="00250326">
      <w:pPr>
        <w:pStyle w:val="Heading3"/>
      </w:pPr>
      <w:bookmarkStart w:id="47" w:name="goal-6"/>
      <w:r>
        <w:t>2.2.1. Goal</w:t>
      </w:r>
    </w:p>
    <w:p w14:paraId="2622A5A5" w14:textId="77777777" w:rsidR="00F973AA" w:rsidRDefault="00250326">
      <w:pPr>
        <w:pStyle w:val="BodyText"/>
      </w:pPr>
      <w:r>
        <w:t>Explain what a credit rating is, why the way rating agencies are paid creates a conflict of interest, and how regulators have responded since 2008.</w:t>
      </w:r>
    </w:p>
    <w:p w14:paraId="1A396F34" w14:textId="77777777" w:rsidR="00F973AA" w:rsidRDefault="00250326">
      <w:pPr>
        <w:pStyle w:val="Heading3"/>
        <w:sectPr w:rsidR="00F973AA" w:rsidSect="00B75C3E">
          <w:footnotePr>
            <w:numRestart w:val="eachSect"/>
          </w:footnotePr>
          <w:type w:val="continuous"/>
          <w:pgSz w:w="11907" w:h="16840" w:code="9"/>
          <w:pgMar w:top="1134" w:right="1701" w:bottom="1134" w:left="1701" w:header="567" w:footer="454" w:gutter="0"/>
          <w:cols w:space="720"/>
        </w:sectPr>
      </w:pPr>
      <w:bookmarkStart w:id="48" w:name="reading-6"/>
      <w:bookmarkEnd w:id="47"/>
      <w:r>
        <w:t>2.2.2. Reading</w:t>
      </w:r>
    </w:p>
    <w:p w14:paraId="286BE393" w14:textId="77777777" w:rsidR="00F973AA" w:rsidRDefault="00250326">
      <w:pPr>
        <w:pStyle w:val="articlebodytext"/>
      </w:pPr>
      <w:r>
        <w:t>It is easy to think of a credit rating as a fact, like a temperature reading. It is not. A credit rating is an opinion about how likely a borrower is to repay. It is produced by a private company and expressed on a letter scale, from the top grade of AAA down to grades that signal a high risk of default, meaning a failure to pay on time. Governments, companies and bundles of loans all carry ratings. The opinions matter because many large investors, by law or by their own rules, may only hold bonds above a c</w:t>
      </w:r>
      <w:r>
        <w:t>ertain grade. A downgrade can therefore force selling and raise a borrower’s cost of new debt.</w:t>
      </w:r>
    </w:p>
    <w:p w14:paraId="4E065565" w14:textId="77777777" w:rsidR="00F973AA" w:rsidRDefault="00250326">
      <w:pPr>
        <w:pStyle w:val="articlebodytext"/>
      </w:pPr>
      <w:r>
        <w:t>Three firms produce the great majority of these opinions. Standard &amp; Poor’s, Moody’s and Fitch together accounted for about 94% of all outstanding ratings in the United States at the end of 2023 [1]. All three are paid by the borrower whose bond they rate. This is the conflict of interest at the centre of the industry: the agency’s customer is the party that wants a high grade, and that party can take its business to a competitor. Before 2008, agencies gave top grades to large volumes of United States mortg</w:t>
      </w:r>
      <w:r>
        <w:t>age-backed bonds that later collapsed in value, which helped turn a housing downturn into a global crisis.</w:t>
      </w:r>
    </w:p>
    <w:p w14:paraId="6406D91C" w14:textId="77777777" w:rsidR="00F973AA" w:rsidRDefault="00250326">
      <w:pPr>
        <w:pStyle w:val="articlebodytext"/>
      </w:pPr>
      <w:r>
        <w:t xml:space="preserve">Regulators responded on both sides of the Atlantic. In the United States, the Securities and Exchange Commission was given clearer authority to oversee registered rating agencies, and in 2015 Standard &amp; Poor’s paid about US$1.375 billion to settle government claims over its pre-crisis mortgage ratings [2]. In the European Union, a 2009 regulation required agencies to register. Since 2011 the European Securities and Markets Authority has been their single supervisor, with the power to fine them, and several </w:t>
      </w:r>
      <w:r>
        <w:t>firms have paid penalties for control failures [3]. The rules also require agencies to publish their methods and their past accuracy, so that users can judge them.</w:t>
      </w:r>
    </w:p>
    <w:p w14:paraId="75C3E3B5" w14:textId="77777777" w:rsidR="00F973AA" w:rsidRDefault="00250326">
      <w:pPr>
        <w:pStyle w:val="articlebodytext"/>
        <w:sectPr w:rsidR="00F973AA" w:rsidSect="00B75C3E">
          <w:footnotePr>
            <w:numRestart w:val="eachSect"/>
          </w:footnotePr>
          <w:type w:val="continuous"/>
          <w:pgSz w:w="11907" w:h="16840" w:code="9"/>
          <w:pgMar w:top="1134" w:right="1701" w:bottom="1134" w:left="1701" w:header="567" w:footer="454" w:gutter="0"/>
          <w:cols w:num="2" w:space="567"/>
        </w:sectPr>
      </w:pPr>
      <w:r>
        <w:t>Sovereign ratings, meaning ratings of national governments, show why the opinions still carry weight. When Standard &amp; Poor’s lowered the United States from AAA in 2011, and when Fitch and Moody’s followed in later years, the decisions drew sharp official criticism but still moved markets. France was downgraded by more than one agency in 2025. Japan takes a slightly different path. Alongside the global firms, it has two home-grown agencies, Japan Credit Rating Agency and Rating and Investment Information. Al</w:t>
      </w:r>
      <w:r>
        <w:t>l agencies that operate in Japan must register with the Financial Services Agency under a regime in force since 2010. Oversight has not removed the basic tension in the business model. It has instead tried to make the opinions more transparent, more comparable and easier to challenge, so that investors treat a rating as one view among several rather than a guarantee.</w:t>
      </w:r>
    </w:p>
    <w:p w14:paraId="77037D1A" w14:textId="77777777" w:rsidR="00F973AA" w:rsidRDefault="00250326">
      <w:pPr>
        <w:pStyle w:val="Heading3"/>
      </w:pPr>
      <w:bookmarkStart w:id="49" w:name="vocabulary-focus-6"/>
      <w:bookmarkEnd w:id="48"/>
      <w:r>
        <w:t>2.2.3. Vocabulary Focus</w:t>
      </w:r>
    </w:p>
    <w:p w14:paraId="5BE35371" w14:textId="77777777" w:rsidR="00F973AA" w:rsidRDefault="00250326">
      <w:pPr>
        <w:pStyle w:val="FirstParagraph"/>
      </w:pPr>
      <w:r>
        <w:t>credit rating, credit rating agency, default, conflict of interest, sovereign rating, investment grade</w:t>
      </w:r>
    </w:p>
    <w:p w14:paraId="3B04FFC6" w14:textId="77777777" w:rsidR="00F973AA" w:rsidRDefault="00250326">
      <w:pPr>
        <w:pStyle w:val="Heading3"/>
      </w:pPr>
      <w:bookmarkStart w:id="50" w:name="reading-questions-6"/>
      <w:bookmarkEnd w:id="49"/>
      <w:r>
        <w:t>2.2.4. Reading Questions</w:t>
      </w:r>
    </w:p>
    <w:p w14:paraId="49D53415" w14:textId="77777777" w:rsidR="00F973AA" w:rsidRDefault="00250326" w:rsidP="00250326">
      <w:pPr>
        <w:pStyle w:val="Compact"/>
        <w:numPr>
          <w:ilvl w:val="0"/>
          <w:numId w:val="20"/>
        </w:numPr>
      </w:pPr>
      <w:r>
        <w:t>Why does the reading say a credit rating is an opinion rather than a fact?</w:t>
      </w:r>
    </w:p>
    <w:p w14:paraId="133BEBB7" w14:textId="77777777" w:rsidR="00F973AA" w:rsidRDefault="00250326" w:rsidP="00250326">
      <w:pPr>
        <w:pStyle w:val="Compact"/>
        <w:numPr>
          <w:ilvl w:val="0"/>
          <w:numId w:val="20"/>
        </w:numPr>
      </w:pPr>
      <w:r>
        <w:t>What share of United States ratings do the three largest agencies produce, and how are those agencies paid?</w:t>
      </w:r>
    </w:p>
    <w:p w14:paraId="7CCE7609" w14:textId="77777777" w:rsidR="00F973AA" w:rsidRDefault="00250326" w:rsidP="00250326">
      <w:pPr>
        <w:pStyle w:val="Compact"/>
        <w:numPr>
          <w:ilvl w:val="0"/>
          <w:numId w:val="20"/>
        </w:numPr>
      </w:pPr>
      <w:r>
        <w:t>What did rating agencies do before 2008 that made the financial crisis worse?</w:t>
      </w:r>
    </w:p>
    <w:p w14:paraId="17933E11" w14:textId="77777777" w:rsidR="00F973AA" w:rsidRDefault="00250326" w:rsidP="00250326">
      <w:pPr>
        <w:pStyle w:val="Compact"/>
        <w:numPr>
          <w:ilvl w:val="0"/>
          <w:numId w:val="20"/>
        </w:numPr>
      </w:pPr>
      <w:r>
        <w:t>What did Standard &amp; Poor’s agree to in 2015, and why?</w:t>
      </w:r>
    </w:p>
    <w:p w14:paraId="06C0E354" w14:textId="77777777" w:rsidR="00F973AA" w:rsidRDefault="00250326" w:rsidP="00250326">
      <w:pPr>
        <w:pStyle w:val="Compact"/>
        <w:numPr>
          <w:ilvl w:val="0"/>
          <w:numId w:val="20"/>
        </w:numPr>
        <w:spacing w:after="0"/>
      </w:pPr>
      <w:r>
        <w:t>How does oversight of rating agencies in the European Union work, and who is the supervisor?</w:t>
      </w:r>
    </w:p>
    <w:p w14:paraId="30DDB621" w14:textId="77777777" w:rsidR="00F973AA" w:rsidRDefault="00250326">
      <w:pPr>
        <w:pStyle w:val="Heading3"/>
      </w:pPr>
      <w:bookmarkStart w:id="51" w:name="discussion-questions-6"/>
      <w:bookmarkEnd w:id="50"/>
      <w:r>
        <w:t>2.2.5. Discussion Questions</w:t>
      </w:r>
    </w:p>
    <w:p w14:paraId="44A0D4B3" w14:textId="77777777" w:rsidR="00F973AA" w:rsidRDefault="00250326" w:rsidP="00250326">
      <w:pPr>
        <w:pStyle w:val="Compact"/>
        <w:numPr>
          <w:ilvl w:val="0"/>
          <w:numId w:val="21"/>
        </w:numPr>
      </w:pPr>
      <w:r>
        <w:t>The borrower pays the agency that rates it. What other ways of paying for ratings can you think of, and what would go wrong with each?</w:t>
      </w:r>
    </w:p>
    <w:p w14:paraId="690CA028" w14:textId="77777777" w:rsidR="00F973AA" w:rsidRDefault="00250326" w:rsidP="00250326">
      <w:pPr>
        <w:pStyle w:val="Compact"/>
        <w:numPr>
          <w:ilvl w:val="0"/>
          <w:numId w:val="21"/>
        </w:numPr>
      </w:pPr>
      <w:r>
        <w:t>Some investors are required to hold only highly rated bonds. Is that rule sensible, or does it give the agencies too much power? Explain.</w:t>
      </w:r>
    </w:p>
    <w:p w14:paraId="24690329" w14:textId="77777777" w:rsidR="00F973AA" w:rsidRDefault="00250326" w:rsidP="00250326">
      <w:pPr>
        <w:pStyle w:val="Compact"/>
        <w:numPr>
          <w:ilvl w:val="0"/>
          <w:numId w:val="21"/>
        </w:numPr>
      </w:pPr>
      <w:r>
        <w:t>Governments have criticised agencies for lowering their ratings. Should a private firm be able to judge a national government’s debt? Give reasons.</w:t>
      </w:r>
    </w:p>
    <w:p w14:paraId="6BAB138F" w14:textId="77777777" w:rsidR="00F973AA" w:rsidRDefault="00250326" w:rsidP="00250326">
      <w:pPr>
        <w:pStyle w:val="Compact"/>
        <w:numPr>
          <w:ilvl w:val="0"/>
          <w:numId w:val="21"/>
        </w:numPr>
      </w:pPr>
      <w:r>
        <w:t>Japan supports its own rating agencies alongside the global firms. What are the advantages and drawbacks of having national agencies?</w:t>
      </w:r>
    </w:p>
    <w:p w14:paraId="1D1A42B9" w14:textId="77777777" w:rsidR="00F973AA" w:rsidRDefault="00250326" w:rsidP="00250326">
      <w:pPr>
        <w:pStyle w:val="Compact"/>
        <w:numPr>
          <w:ilvl w:val="0"/>
          <w:numId w:val="21"/>
        </w:numPr>
        <w:spacing w:after="0"/>
      </w:pPr>
      <w:r>
        <w:t>You advise a regulator that wants investors to rely less on ratings. Suggest two practical steps it could take.</w:t>
      </w:r>
    </w:p>
    <w:p w14:paraId="137E6ABB" w14:textId="77777777" w:rsidR="00F973AA" w:rsidRDefault="00250326">
      <w:pPr>
        <w:pStyle w:val="Heading3"/>
      </w:pPr>
      <w:bookmarkStart w:id="52" w:name="source-notes-6"/>
      <w:bookmarkEnd w:id="51"/>
      <w:r>
        <w:t>2.2.6. Source Notes</w:t>
      </w:r>
    </w:p>
    <w:p w14:paraId="73D15242" w14:textId="62AFF6E5" w:rsidR="00F973AA" w:rsidRDefault="00250326" w:rsidP="00250326">
      <w:pPr>
        <w:pStyle w:val="Compact"/>
        <w:numPr>
          <w:ilvl w:val="0"/>
          <w:numId w:val="22"/>
        </w:numPr>
      </w:pPr>
      <w:r>
        <w:t>U.S. Securities and Exchange Commission, Office of Credit Ratings: Staff Report on Nationally Recognized Statistical Rating Organizations, January 2025</w:t>
      </w:r>
      <w:r>
        <w:br/>
      </w:r>
      <w:hyperlink r:id="rId32">
        <w:r>
          <w:rPr>
            <w:rStyle w:val="Hyperlink"/>
          </w:rPr>
          <w:t>https://www.sec.gov/ocr/ocr-reports-and-studies</w:t>
        </w:r>
      </w:hyperlink>
    </w:p>
    <w:p w14:paraId="404DB55F" w14:textId="6E9198F3" w:rsidR="00F973AA" w:rsidRDefault="00250326" w:rsidP="00250326">
      <w:pPr>
        <w:pStyle w:val="Compact"/>
        <w:numPr>
          <w:ilvl w:val="0"/>
          <w:numId w:val="22"/>
        </w:numPr>
      </w:pPr>
      <w:r>
        <w:t>U.S. Department of Justice: Justice Department and State Partners Secure $1.375 Billion Settlement with S&amp;P for Defrauding Investors in the Lead Up to the Financial Crisis, 3 February 2015</w:t>
      </w:r>
      <w:r>
        <w:br/>
      </w:r>
      <w:hyperlink r:id="rId33">
        <w:r>
          <w:rPr>
            <w:rStyle w:val="Hyperlink"/>
          </w:rPr>
          <w:t>https://www.justice.gov/archives/opa/pr/justice-department-and-state-partners-secure-1375-billion-settlement-sp-defrauding-investors</w:t>
        </w:r>
      </w:hyperlink>
    </w:p>
    <w:p w14:paraId="0033E00C" w14:textId="0506F513" w:rsidR="00F973AA" w:rsidRDefault="00250326" w:rsidP="00250326">
      <w:pPr>
        <w:pStyle w:val="Compact"/>
        <w:numPr>
          <w:ilvl w:val="0"/>
          <w:numId w:val="22"/>
        </w:numPr>
        <w:spacing w:after="0"/>
      </w:pPr>
      <w:r>
        <w:t>European Securities and Markets Authority: Credit Rating Agencies</w:t>
      </w:r>
      <w:r>
        <w:br/>
      </w:r>
      <w:hyperlink r:id="rId34">
        <w:r>
          <w:rPr>
            <w:rStyle w:val="Hyperlink"/>
          </w:rPr>
          <w:t>https://www.esma.europa.eu/esmas-activities/investors-and-issuers/credit-rating-agencies</w:t>
        </w:r>
      </w:hyperlink>
    </w:p>
    <w:p w14:paraId="6126DA5D" w14:textId="77777777" w:rsidR="00F973AA" w:rsidRDefault="00250326">
      <w:pPr>
        <w:pStyle w:val="Heading2"/>
      </w:pPr>
      <w:bookmarkStart w:id="53" w:name="insurance-market-regulation"/>
      <w:bookmarkEnd w:id="46"/>
      <w:bookmarkEnd w:id="52"/>
      <w:r>
        <w:t>2.3. Insurance Market Regulation</w:t>
      </w:r>
    </w:p>
    <w:p w14:paraId="2A940FDC" w14:textId="77777777" w:rsidR="00F973AA" w:rsidRDefault="00250326">
      <w:pPr>
        <w:pStyle w:val="Heading3"/>
      </w:pPr>
      <w:bookmarkStart w:id="54" w:name="goal-7"/>
      <w:r>
        <w:t>2.3.1. Goal</w:t>
      </w:r>
    </w:p>
    <w:p w14:paraId="0D312645" w14:textId="77777777" w:rsidR="00F973AA" w:rsidRDefault="00250326">
      <w:pPr>
        <w:pStyle w:val="BodyText"/>
      </w:pPr>
      <w:r>
        <w:t>Explain why insurers are regulated differently from banks, what a solvency rule is meant to do, and how the main systems compare.</w:t>
      </w:r>
    </w:p>
    <w:p w14:paraId="3195D326" w14:textId="77777777" w:rsidR="00F973AA" w:rsidRDefault="00250326">
      <w:pPr>
        <w:pStyle w:val="Heading3"/>
        <w:sectPr w:rsidR="00F973AA" w:rsidSect="00B75C3E">
          <w:footnotePr>
            <w:numRestart w:val="eachSect"/>
          </w:footnotePr>
          <w:type w:val="continuous"/>
          <w:pgSz w:w="11907" w:h="16840" w:code="9"/>
          <w:pgMar w:top="1134" w:right="1701" w:bottom="1134" w:left="1701" w:header="567" w:footer="454" w:gutter="0"/>
          <w:cols w:space="720"/>
        </w:sectPr>
      </w:pPr>
      <w:bookmarkStart w:id="55" w:name="reading-7"/>
      <w:bookmarkEnd w:id="54"/>
      <w:r>
        <w:t>2.3.2. Reading</w:t>
      </w:r>
    </w:p>
    <w:p w14:paraId="5BD2277A" w14:textId="77777777" w:rsidR="00F973AA" w:rsidRDefault="00250326">
      <w:pPr>
        <w:pStyle w:val="articlebodytext"/>
      </w:pPr>
      <w:r>
        <w:t>In April 1997 Nissan Mutual Life, a mid-sized Japanese insurer, was ordered to stop selling policies because it could not meet its future promises to policyholders. It was the first failure of a Japanese life insurer since the Second World War. Several more followed between 2000 and 2001, among them Chiyoda Life and Kyoei Life [1]. An insurer takes in premiums today and pays claims that may fall due decades later. Regulation of the industry is built around one question: will the company still be able to pay</w:t>
      </w:r>
      <w:r>
        <w:t xml:space="preserve"> when the claim finally comes?</w:t>
      </w:r>
    </w:p>
    <w:p w14:paraId="284168E2" w14:textId="77777777" w:rsidR="00F973AA" w:rsidRDefault="00250326">
      <w:pPr>
        <w:pStyle w:val="articlebodytext"/>
      </w:pPr>
      <w:r>
        <w:t>The tool for answering that question is a solvency rule. It requires an insurer to hold capital, meaning assets worth more than its expected future claims, so that it can absorb a bad year without failing. The European Union’s system, known as Solvency II and in force since 2016, sets the required capital at the level needed to survive a loss expected only once in 200 years [2]. Japan’s Financial Services Agency has used a solvency margin ratio since the late 1990s. A reading below 200% triggers official in</w:t>
      </w:r>
      <w:r>
        <w:t>tervention, and the agency is moving to a newer, more risk-sensitive standard for the 2026 financial year [1].</w:t>
      </w:r>
    </w:p>
    <w:p w14:paraId="70617FB7" w14:textId="77777777" w:rsidR="00F973AA" w:rsidRDefault="00250326">
      <w:pPr>
        <w:pStyle w:val="articlebodytext"/>
      </w:pPr>
      <w:r>
        <w:t>The United States regulates insurance mainly at the state level rather than nationally. State regulators apply a shared formula, called risk-based capital, developed by the National Association of Insurance Commissioners. The formula sets action points where a regulator must step in as an insurer’s capital falls [3]. If an insurer does fail, state guaranty associations, funded by the industry, cover policyholder claims up to set limits, such as US$300,000 for a death benefit in many states. The United Kingd</w:t>
      </w:r>
      <w:r>
        <w:t>om kept a version of the European rules after leaving the bloc and has since adjusted them under the name Solvency UK.</w:t>
      </w:r>
    </w:p>
    <w:p w14:paraId="676D729C" w14:textId="77777777" w:rsidR="00F973AA" w:rsidRDefault="00250326">
      <w:pPr>
        <w:pStyle w:val="articlebodytext"/>
      </w:pPr>
      <w:r>
        <w:t>International bodies have tried to add a layer above the national systems. In 2008 the American insurer AIG came close to collapse and needed roughly US$180 billion of government support. The losses came from contracts written by one small division, and the episode showed that a large insurance group can threaten the wider financial system. In response, the International Association of Insurance Supervisors, a body whose members cover almost all of the world’s insurance premiums, agreed a global Insurance C</w:t>
      </w:r>
      <w:r>
        <w:t>apital Standard in 2024 for the biggest cross-border groups. It is meant to give supervisors in different countries a common measure for the same group.</w:t>
      </w:r>
    </w:p>
    <w:p w14:paraId="6CD2B07F" w14:textId="77777777" w:rsidR="00F973AA" w:rsidRDefault="00250326">
      <w:pPr>
        <w:pStyle w:val="articlebodytext"/>
        <w:sectPr w:rsidR="00F973AA" w:rsidSect="00B75C3E">
          <w:footnotePr>
            <w:numRestart w:val="eachSect"/>
          </w:footnotePr>
          <w:type w:val="continuous"/>
          <w:pgSz w:w="11907" w:h="16840" w:code="9"/>
          <w:pgMar w:top="1134" w:right="1701" w:bottom="1134" w:left="1701" w:header="567" w:footer="454" w:gutter="0"/>
          <w:cols w:num="2" w:space="567"/>
        </w:sectPr>
      </w:pPr>
      <w:r>
        <w:t>The common thread across all these systems is patience. Unlike a bank run, an insurer’s trouble usually builds slowly, over years of underpricing risk or earning too little on its investments, and solvency rules are designed to catch that drift early. The Japanese failures around 2000 came after a long period of guaranteeing returns that the insurers’ own investments could no longer earn.</w:t>
      </w:r>
    </w:p>
    <w:p w14:paraId="69C9F291" w14:textId="77777777" w:rsidR="00F973AA" w:rsidRDefault="00250326">
      <w:pPr>
        <w:pStyle w:val="Heading3"/>
      </w:pPr>
      <w:bookmarkStart w:id="56" w:name="vocabulary-focus-7"/>
      <w:bookmarkEnd w:id="55"/>
      <w:r>
        <w:t>2.3.3. Vocabulary Focus</w:t>
      </w:r>
    </w:p>
    <w:p w14:paraId="036B9D64" w14:textId="77777777" w:rsidR="00F973AA" w:rsidRDefault="00250326">
      <w:pPr>
        <w:pStyle w:val="FirstParagraph"/>
      </w:pPr>
      <w:r>
        <w:t>insurer, premium, claim, solvency rule, capital, policyholder</w:t>
      </w:r>
    </w:p>
    <w:p w14:paraId="5281AA58" w14:textId="77777777" w:rsidR="00F973AA" w:rsidRDefault="00250326">
      <w:pPr>
        <w:pStyle w:val="Heading3"/>
      </w:pPr>
      <w:bookmarkStart w:id="57" w:name="reading-questions-7"/>
      <w:bookmarkEnd w:id="56"/>
      <w:r>
        <w:t>2.3.4. Reading Questions</w:t>
      </w:r>
    </w:p>
    <w:p w14:paraId="5370C178" w14:textId="77777777" w:rsidR="00F973AA" w:rsidRDefault="00250326" w:rsidP="00250326">
      <w:pPr>
        <w:pStyle w:val="Compact"/>
        <w:numPr>
          <w:ilvl w:val="0"/>
          <w:numId w:val="23"/>
        </w:numPr>
      </w:pPr>
      <w:r>
        <w:t>What happened to Nissan Mutual Life in 1997, and why was it significant?</w:t>
      </w:r>
    </w:p>
    <w:p w14:paraId="27BAE7B8" w14:textId="77777777" w:rsidR="00F973AA" w:rsidRDefault="00250326" w:rsidP="00250326">
      <w:pPr>
        <w:pStyle w:val="Compact"/>
        <w:numPr>
          <w:ilvl w:val="0"/>
          <w:numId w:val="23"/>
        </w:numPr>
      </w:pPr>
      <w:r>
        <w:t>What is a solvency rule meant to ensure?</w:t>
      </w:r>
    </w:p>
    <w:p w14:paraId="4858507D" w14:textId="77777777" w:rsidR="00F973AA" w:rsidRDefault="00250326" w:rsidP="00250326">
      <w:pPr>
        <w:pStyle w:val="Compact"/>
        <w:numPr>
          <w:ilvl w:val="0"/>
          <w:numId w:val="23"/>
        </w:numPr>
      </w:pPr>
      <w:r>
        <w:t>How does the European Union’s Solvency II decide how much capital an insurer must hold?</w:t>
      </w:r>
    </w:p>
    <w:p w14:paraId="7F14B2A8" w14:textId="77777777" w:rsidR="00F973AA" w:rsidRDefault="00250326" w:rsidP="00250326">
      <w:pPr>
        <w:pStyle w:val="Compact"/>
        <w:numPr>
          <w:ilvl w:val="0"/>
          <w:numId w:val="23"/>
        </w:numPr>
      </w:pPr>
      <w:r>
        <w:t>How is insurance regulated in the United States, and what happens to policyholders if an insurer fails?</w:t>
      </w:r>
    </w:p>
    <w:p w14:paraId="5816E2C5" w14:textId="77777777" w:rsidR="00F973AA" w:rsidRDefault="00250326" w:rsidP="00250326">
      <w:pPr>
        <w:pStyle w:val="Compact"/>
        <w:numPr>
          <w:ilvl w:val="0"/>
          <w:numId w:val="23"/>
        </w:numPr>
        <w:spacing w:after="0"/>
      </w:pPr>
      <w:r>
        <w:t>What did the near-collapse of AIG in 2008 show, and how did international regulators respond?</w:t>
      </w:r>
    </w:p>
    <w:p w14:paraId="010696A2" w14:textId="77777777" w:rsidR="00F973AA" w:rsidRDefault="00250326">
      <w:pPr>
        <w:pStyle w:val="Heading3"/>
      </w:pPr>
      <w:bookmarkStart w:id="58" w:name="discussion-questions-7"/>
      <w:bookmarkEnd w:id="57"/>
      <w:r>
        <w:t>2.3.5. Discussion Questions</w:t>
      </w:r>
    </w:p>
    <w:p w14:paraId="74CD6A03" w14:textId="77777777" w:rsidR="00F973AA" w:rsidRDefault="00250326" w:rsidP="00250326">
      <w:pPr>
        <w:pStyle w:val="Compact"/>
        <w:numPr>
          <w:ilvl w:val="0"/>
          <w:numId w:val="24"/>
        </w:numPr>
      </w:pPr>
      <w:r>
        <w:t>The reading says an insurer’s trouble usually builds slowly, unlike a bank run. Why might slow trouble be harder for a regulator to act on, not easier?</w:t>
      </w:r>
    </w:p>
    <w:p w14:paraId="0768F8E5" w14:textId="77777777" w:rsidR="00F973AA" w:rsidRDefault="00250326" w:rsidP="00250326">
      <w:pPr>
        <w:pStyle w:val="Compact"/>
        <w:numPr>
          <w:ilvl w:val="0"/>
          <w:numId w:val="24"/>
        </w:numPr>
      </w:pPr>
      <w:r>
        <w:t>The United States regulates insurance state by state; the European Union uses one shared system. What are the strengths and weaknesses of each approach?</w:t>
      </w:r>
    </w:p>
    <w:p w14:paraId="61211553" w14:textId="77777777" w:rsidR="00F973AA" w:rsidRDefault="00250326" w:rsidP="00250326">
      <w:pPr>
        <w:pStyle w:val="Compact"/>
        <w:numPr>
          <w:ilvl w:val="0"/>
          <w:numId w:val="24"/>
        </w:numPr>
      </w:pPr>
      <w:r>
        <w:t>Guaranty associations repay failed insurers’ customers up to a limit. Who should pay for that protection, and should there be a limit at all?</w:t>
      </w:r>
    </w:p>
    <w:p w14:paraId="4D3BEA77" w14:textId="77777777" w:rsidR="00F973AA" w:rsidRDefault="00250326" w:rsidP="00250326">
      <w:pPr>
        <w:pStyle w:val="Compact"/>
        <w:numPr>
          <w:ilvl w:val="0"/>
          <w:numId w:val="24"/>
        </w:numPr>
      </w:pPr>
      <w:r>
        <w:t>Should the largest insurance groups face an extra global standard on top of national rules? Give reasons for and against.</w:t>
      </w:r>
    </w:p>
    <w:p w14:paraId="0E9EC4DB" w14:textId="77777777" w:rsidR="00F973AA" w:rsidRDefault="00250326" w:rsidP="00250326">
      <w:pPr>
        <w:pStyle w:val="Compact"/>
        <w:numPr>
          <w:ilvl w:val="0"/>
          <w:numId w:val="24"/>
        </w:numPr>
        <w:spacing w:after="0"/>
      </w:pPr>
      <w:r>
        <w:t>You advise a regulator worried that insurers are earning too little on safe investments. Suggest two things it could watch for as warning signs.</w:t>
      </w:r>
    </w:p>
    <w:p w14:paraId="7BF2AF11" w14:textId="77777777" w:rsidR="00F973AA" w:rsidRDefault="00250326">
      <w:pPr>
        <w:pStyle w:val="Heading3"/>
      </w:pPr>
      <w:bookmarkStart w:id="59" w:name="source-notes-7"/>
      <w:bookmarkEnd w:id="58"/>
      <w:r>
        <w:t>2.3.6. Source Notes</w:t>
      </w:r>
    </w:p>
    <w:p w14:paraId="28331125" w14:textId="20986020" w:rsidR="00F973AA" w:rsidRDefault="00250326" w:rsidP="00250326">
      <w:pPr>
        <w:pStyle w:val="Compact"/>
        <w:numPr>
          <w:ilvl w:val="0"/>
          <w:numId w:val="25"/>
        </w:numPr>
      </w:pPr>
      <w:r>
        <w:t>Financial Services Agency (Japan): Capital Requirements for Insurance Companies in Japan — solvency margin ratio and the economic value-based solvency regime</w:t>
      </w:r>
      <w:r>
        <w:br/>
      </w:r>
      <w:hyperlink r:id="rId35">
        <w:r>
          <w:rPr>
            <w:rStyle w:val="Hyperlink"/>
          </w:rPr>
          <w:t>https://www.fsa.go.jp/en/refer/ins/capital.html</w:t>
        </w:r>
      </w:hyperlink>
    </w:p>
    <w:p w14:paraId="4A25768F" w14:textId="42F99564" w:rsidR="00F973AA" w:rsidRDefault="00250326" w:rsidP="00250326">
      <w:pPr>
        <w:pStyle w:val="Compact"/>
        <w:numPr>
          <w:ilvl w:val="0"/>
          <w:numId w:val="25"/>
        </w:numPr>
      </w:pPr>
      <w:r>
        <w:t>European Insurance and Occupational Pensions Authority: Solvency II</w:t>
      </w:r>
      <w:r>
        <w:br/>
      </w:r>
      <w:hyperlink r:id="rId36">
        <w:r>
          <w:rPr>
            <w:rStyle w:val="Hyperlink"/>
          </w:rPr>
          <w:t>https://www.eiopa.europa.eu/browse/regulation-and-policy/solvency-ii_en</w:t>
        </w:r>
      </w:hyperlink>
    </w:p>
    <w:p w14:paraId="1A4215AE" w14:textId="16EE60B2" w:rsidR="00F973AA" w:rsidRDefault="00250326" w:rsidP="00250326">
      <w:pPr>
        <w:pStyle w:val="Compact"/>
        <w:numPr>
          <w:ilvl w:val="0"/>
          <w:numId w:val="25"/>
        </w:numPr>
        <w:spacing w:after="0"/>
      </w:pPr>
      <w:r>
        <w:t>National Association of Insurance Commissioners: Risk-Based Capital</w:t>
      </w:r>
      <w:r>
        <w:br/>
      </w:r>
      <w:hyperlink r:id="rId37">
        <w:r>
          <w:rPr>
            <w:rStyle w:val="Hyperlink"/>
          </w:rPr>
          <w:t>https://content.naic.org/cipr-topics/risk-based-capital</w:t>
        </w:r>
      </w:hyperlink>
    </w:p>
    <w:p w14:paraId="744683DB" w14:textId="77777777" w:rsidR="00F973AA" w:rsidRDefault="00250326">
      <w:pPr>
        <w:pStyle w:val="Heading2"/>
      </w:pPr>
      <w:bookmarkStart w:id="60" w:name="stress-testing-and-risk-management"/>
      <w:bookmarkEnd w:id="53"/>
      <w:bookmarkEnd w:id="59"/>
      <w:r>
        <w:t>2.4. Stress Testing and Risk Management</w:t>
      </w:r>
    </w:p>
    <w:p w14:paraId="503D6BFB" w14:textId="77777777" w:rsidR="00F973AA" w:rsidRDefault="00250326">
      <w:pPr>
        <w:pStyle w:val="Heading3"/>
      </w:pPr>
      <w:bookmarkStart w:id="61" w:name="goal-8"/>
      <w:r>
        <w:t>2.4.1. Goal</w:t>
      </w:r>
    </w:p>
    <w:p w14:paraId="5F646D19" w14:textId="77777777" w:rsidR="00F973AA" w:rsidRDefault="00250326">
      <w:pPr>
        <w:pStyle w:val="BodyText"/>
      </w:pPr>
      <w:r>
        <w:t>Explain what a bank stress test is, show one case where it worked and one risk it missed, and describe how the practice is used today.</w:t>
      </w:r>
    </w:p>
    <w:p w14:paraId="2ABA4E05" w14:textId="77777777" w:rsidR="00F973AA" w:rsidRDefault="00250326">
      <w:pPr>
        <w:pStyle w:val="Heading3"/>
        <w:sectPr w:rsidR="00F973AA" w:rsidSect="00B75C3E">
          <w:footnotePr>
            <w:numRestart w:val="eachSect"/>
          </w:footnotePr>
          <w:type w:val="continuous"/>
          <w:pgSz w:w="11907" w:h="16840" w:code="9"/>
          <w:pgMar w:top="1134" w:right="1701" w:bottom="1134" w:left="1701" w:header="567" w:footer="454" w:gutter="0"/>
          <w:cols w:space="720"/>
        </w:sectPr>
      </w:pPr>
      <w:bookmarkStart w:id="62" w:name="reading-8"/>
      <w:bookmarkEnd w:id="61"/>
      <w:r>
        <w:t>2.4.2. Reading</w:t>
      </w:r>
    </w:p>
    <w:p w14:paraId="484FEBE9" w14:textId="77777777" w:rsidR="00F973AA" w:rsidRDefault="00250326">
      <w:pPr>
        <w:pStyle w:val="articlebodytext"/>
      </w:pPr>
      <w:r>
        <w:t xml:space="preserve">Can a bank survive a bad year on paper before it has to survive one in real life? That is the question a stress test tries to answer. A regulator sets out a severe but plausible scenario, such as a deep recession with rising unemployment and falling house prices. Each large bank must then estimate its losses under that scenario and show how much of its capital buffer would remain. The capital buffer is the cushion of shareholders’ money that absorbs losses before depositors are at risk. If the buffer falls </w:t>
      </w:r>
      <w:r>
        <w:t>too low, the bank must raise more capital or hold back dividends.</w:t>
      </w:r>
    </w:p>
    <w:p w14:paraId="3D1A182B" w14:textId="77777777" w:rsidR="00F973AA" w:rsidRDefault="00250326">
      <w:pPr>
        <w:pStyle w:val="articlebodytext"/>
      </w:pPr>
      <w:r>
        <w:t>The practice was proven in the United States in 2009. In the depths of the financial crisis, regulators tested 19 large banks, published the results, and found that ten needed about US$75 billion of new capital between them [1]. Because the method and the numbers were made public, investors could see which banks were sound, and confidence returned faster than expected. The test became an annual fixture, and the European Union, the United Kingdom and Japan built their own versions. In the 2025 European Union</w:t>
      </w:r>
      <w:r>
        <w:t xml:space="preserve"> exercise, 64 banks were tested against a scenario that wiped out roughly 370 basis points, or 3.7 percentage points, of their capital ratios on average [2].</w:t>
      </w:r>
    </w:p>
    <w:p w14:paraId="2D1E1140" w14:textId="77777777" w:rsidR="00F973AA" w:rsidRDefault="00250326">
      <w:pPr>
        <w:pStyle w:val="articlebodytext"/>
      </w:pPr>
      <w:r>
        <w:t>The limits of the tool became clear in March 2023, when Signature Bank failed in the United States. The bank held about US$110 billion in assets, well below the US$250 billion threshold above which the annual stress test was mandatory [3]. Its problem was not a shock the recent scenarios had focused on; it was contagion, a sudden loss of confidence after a similarly sized rival collapsed two days earlier. On 10 March, Signature lost about a fifth of its total deposits in a matter of hours, faster than any h</w:t>
      </w:r>
      <w:r>
        <w:t>istorical run the tests had modelled. A test only measures the dangers it is designed to measure.</w:t>
      </w:r>
    </w:p>
    <w:p w14:paraId="75887FBD" w14:textId="77777777" w:rsidR="00F973AA" w:rsidRDefault="00250326">
      <w:pPr>
        <w:pStyle w:val="articlebodytext"/>
        <w:sectPr w:rsidR="00F973AA" w:rsidSect="00B75C3E">
          <w:footnotePr>
            <w:numRestart w:val="eachSect"/>
          </w:footnotePr>
          <w:type w:val="continuous"/>
          <w:pgSz w:w="11907" w:h="16840" w:code="9"/>
          <w:pgMar w:top="1134" w:right="1701" w:bottom="1134" w:left="1701" w:header="567" w:footer="454" w:gutter="0"/>
          <w:cols w:num="2" w:space="567"/>
        </w:sectPr>
      </w:pPr>
      <w:r>
        <w:t xml:space="preserve">Regulators have drawn two lessons. The first is to vary the scenarios, so that a test one year might centre on a property crash and the next on a sudden jump in interest rates or a technology shock. The 2023 European climate test was described by its own authors as a learning exercise rather than a pass-or-fail check. The second lesson is to treat the test as one instrument among several, alongside day-to-day supervision and the bank’s own internal risk models. In Japan, the Bank of Japan and the Financial </w:t>
      </w:r>
      <w:r>
        <w:t>Services Agency run joint tests covering hundreds of institutions and publish the results in a twice-yearly report on the financial system [4]. The exercise is now a routine part of oversight in every major economy, valued less as a precise forecast than as a structured way to ask what could go wrong.</w:t>
      </w:r>
    </w:p>
    <w:p w14:paraId="10997E68" w14:textId="77777777" w:rsidR="00F973AA" w:rsidRDefault="00250326">
      <w:pPr>
        <w:pStyle w:val="Heading3"/>
      </w:pPr>
      <w:bookmarkStart w:id="63" w:name="vocabulary-focus-8"/>
      <w:bookmarkEnd w:id="62"/>
      <w:r>
        <w:t>2.4.3. Vocabulary Focus</w:t>
      </w:r>
    </w:p>
    <w:p w14:paraId="6B932249" w14:textId="77777777" w:rsidR="00F973AA" w:rsidRDefault="00250326">
      <w:pPr>
        <w:pStyle w:val="FirstParagraph"/>
      </w:pPr>
      <w:r>
        <w:t>stress test, scenario, capital buffer, recession, basis point, risk model</w:t>
      </w:r>
    </w:p>
    <w:p w14:paraId="069747CE" w14:textId="77777777" w:rsidR="00F973AA" w:rsidRDefault="00250326">
      <w:pPr>
        <w:pStyle w:val="Heading3"/>
      </w:pPr>
      <w:bookmarkStart w:id="64" w:name="reading-questions-8"/>
      <w:bookmarkEnd w:id="63"/>
      <w:r>
        <w:t>2.4.4. Reading Questions</w:t>
      </w:r>
    </w:p>
    <w:p w14:paraId="74AA51EB" w14:textId="77777777" w:rsidR="00F973AA" w:rsidRDefault="00250326" w:rsidP="00250326">
      <w:pPr>
        <w:pStyle w:val="Compact"/>
        <w:numPr>
          <w:ilvl w:val="0"/>
          <w:numId w:val="26"/>
        </w:numPr>
      </w:pPr>
      <w:r>
        <w:t>What does a stress test require a bank to estimate, and what must the bank do if its buffer falls too low?</w:t>
      </w:r>
    </w:p>
    <w:p w14:paraId="4515AB64" w14:textId="77777777" w:rsidR="00F973AA" w:rsidRDefault="00250326" w:rsidP="00250326">
      <w:pPr>
        <w:pStyle w:val="Compact"/>
        <w:numPr>
          <w:ilvl w:val="0"/>
          <w:numId w:val="26"/>
        </w:numPr>
      </w:pPr>
      <w:r>
        <w:t>Why did the 2009 United States stress test help restore confidence?</w:t>
      </w:r>
    </w:p>
    <w:p w14:paraId="6B5D0174" w14:textId="77777777" w:rsidR="00F973AA" w:rsidRDefault="00250326" w:rsidP="00250326">
      <w:pPr>
        <w:pStyle w:val="Compact"/>
        <w:numPr>
          <w:ilvl w:val="0"/>
          <w:numId w:val="26"/>
        </w:numPr>
      </w:pPr>
      <w:r>
        <w:t>Why was Signature Bank not part of the annual United States stress test?</w:t>
      </w:r>
    </w:p>
    <w:p w14:paraId="6A0DAF15" w14:textId="77777777" w:rsidR="00F973AA" w:rsidRDefault="00250326" w:rsidP="00250326">
      <w:pPr>
        <w:pStyle w:val="Compact"/>
        <w:numPr>
          <w:ilvl w:val="0"/>
          <w:numId w:val="26"/>
        </w:numPr>
      </w:pPr>
      <w:r>
        <w:t>What kind of shock caused Signature Bank’s losses, and how fast did depositors withdraw money?</w:t>
      </w:r>
    </w:p>
    <w:p w14:paraId="2A02A0DB" w14:textId="77777777" w:rsidR="00F973AA" w:rsidRDefault="00250326" w:rsidP="00250326">
      <w:pPr>
        <w:pStyle w:val="Compact"/>
        <w:numPr>
          <w:ilvl w:val="0"/>
          <w:numId w:val="26"/>
        </w:numPr>
        <w:spacing w:after="0"/>
      </w:pPr>
      <w:r>
        <w:t>What two lessons have regulators drawn from that failure?</w:t>
      </w:r>
    </w:p>
    <w:p w14:paraId="41E1BE6F" w14:textId="77777777" w:rsidR="00F973AA" w:rsidRDefault="00250326">
      <w:pPr>
        <w:pStyle w:val="Heading3"/>
      </w:pPr>
      <w:bookmarkStart w:id="65" w:name="discussion-questions-8"/>
      <w:bookmarkEnd w:id="64"/>
      <w:r>
        <w:t>2.4.5. Discussion Questions</w:t>
      </w:r>
    </w:p>
    <w:p w14:paraId="0C53901A" w14:textId="77777777" w:rsidR="00F973AA" w:rsidRDefault="00250326" w:rsidP="00250326">
      <w:pPr>
        <w:pStyle w:val="Compact"/>
        <w:numPr>
          <w:ilvl w:val="0"/>
          <w:numId w:val="27"/>
        </w:numPr>
      </w:pPr>
      <w:r>
        <w:t>The 2009 test worked partly because the results were published. What are the risks of making each bank’s results public, and do they outweigh the benefits?</w:t>
      </w:r>
    </w:p>
    <w:p w14:paraId="7CCBFEDF" w14:textId="77777777" w:rsidR="00F973AA" w:rsidRDefault="00250326" w:rsidP="00250326">
      <w:pPr>
        <w:pStyle w:val="Compact"/>
        <w:numPr>
          <w:ilvl w:val="0"/>
          <w:numId w:val="27"/>
        </w:numPr>
      </w:pPr>
      <w:r>
        <w:t>A stress test only measures the dangers it is designed to measure. How can a regulator guard against missing the next new risk?</w:t>
      </w:r>
    </w:p>
    <w:p w14:paraId="38FDB184" w14:textId="77777777" w:rsidR="00F973AA" w:rsidRDefault="00250326" w:rsidP="00250326">
      <w:pPr>
        <w:pStyle w:val="Compact"/>
        <w:numPr>
          <w:ilvl w:val="0"/>
          <w:numId w:val="27"/>
        </w:numPr>
      </w:pPr>
      <w:r>
        <w:t>Should smaller banks face the same tests as the largest ones? Give reasons for and against.</w:t>
      </w:r>
    </w:p>
    <w:p w14:paraId="778FDC35" w14:textId="77777777" w:rsidR="00F973AA" w:rsidRDefault="00250326" w:rsidP="00250326">
      <w:pPr>
        <w:pStyle w:val="Compact"/>
        <w:numPr>
          <w:ilvl w:val="0"/>
          <w:numId w:val="27"/>
        </w:numPr>
      </w:pPr>
      <w:r>
        <w:t xml:space="preserve">The reading says a stress test is valued </w:t>
      </w:r>
      <w:r>
        <w:t>“less as a precise forecast than as a structured way to ask what could go wrong.” Is that a useful thing for regulators to spend money on? Explain.</w:t>
      </w:r>
    </w:p>
    <w:p w14:paraId="64FFD37D" w14:textId="77777777" w:rsidR="00F973AA" w:rsidRDefault="00250326" w:rsidP="00250326">
      <w:pPr>
        <w:pStyle w:val="Compact"/>
        <w:numPr>
          <w:ilvl w:val="0"/>
          <w:numId w:val="27"/>
        </w:numPr>
        <w:spacing w:after="0"/>
      </w:pPr>
      <w:r>
        <w:t>You advise a regulator designing next year’s scenario. Suggest two shocks it should test for, and say why you chose them.</w:t>
      </w:r>
    </w:p>
    <w:p w14:paraId="45615487" w14:textId="77777777" w:rsidR="00F973AA" w:rsidRDefault="00250326">
      <w:pPr>
        <w:pStyle w:val="Heading3"/>
      </w:pPr>
      <w:bookmarkStart w:id="66" w:name="source-notes-8"/>
      <w:bookmarkEnd w:id="65"/>
      <w:r>
        <w:t>2.4.6. Source Notes</w:t>
      </w:r>
    </w:p>
    <w:p w14:paraId="41F48B05" w14:textId="71E55180" w:rsidR="00F973AA" w:rsidRDefault="00250326" w:rsidP="00250326">
      <w:pPr>
        <w:pStyle w:val="Compact"/>
        <w:numPr>
          <w:ilvl w:val="0"/>
          <w:numId w:val="28"/>
        </w:numPr>
      </w:pPr>
      <w:r>
        <w:t>Board of Governors of the Federal Reserve System: The Supervisory Capital Assessment Program — Overview of Results, 7 May 2009</w:t>
      </w:r>
      <w:r>
        <w:br/>
      </w:r>
      <w:hyperlink r:id="rId38">
        <w:r>
          <w:rPr>
            <w:rStyle w:val="Hyperlink"/>
          </w:rPr>
          <w:t>https://www.federalreserve.gov/newsevents/pressreleases/bcreg20090507a.htm</w:t>
        </w:r>
      </w:hyperlink>
    </w:p>
    <w:p w14:paraId="5D861FB2" w14:textId="65D0D6C6" w:rsidR="00F973AA" w:rsidRDefault="00250326" w:rsidP="00250326">
      <w:pPr>
        <w:pStyle w:val="Compact"/>
        <w:numPr>
          <w:ilvl w:val="0"/>
          <w:numId w:val="28"/>
        </w:numPr>
      </w:pPr>
      <w:r>
        <w:t>European Banking Authority: The EBA publishes the results of its 2025 EU-wide stress test, 1 August 2025</w:t>
      </w:r>
      <w:r>
        <w:br/>
      </w:r>
      <w:hyperlink r:id="rId39">
        <w:r>
          <w:rPr>
            <w:rStyle w:val="Hyperlink"/>
          </w:rPr>
          <w:t>https://www.eba.europa.eu/publications-and-media/press-releases/eba-publishes-results-its-2025-eu-wide-stress-test</w:t>
        </w:r>
      </w:hyperlink>
    </w:p>
    <w:p w14:paraId="7D7AEA8B" w14:textId="147B7548" w:rsidR="00F973AA" w:rsidRDefault="00250326" w:rsidP="00250326">
      <w:pPr>
        <w:pStyle w:val="Compact"/>
        <w:numPr>
          <w:ilvl w:val="0"/>
          <w:numId w:val="28"/>
        </w:numPr>
      </w:pPr>
      <w:r>
        <w:t>Federal Deposit Insurance Corporation: Recent Bank Failures and the Federal Regulatory Response (remarks by Chairman Martin J. Gruenberg), 27 March 2023</w:t>
      </w:r>
      <w:r>
        <w:br/>
      </w:r>
      <w:hyperlink r:id="rId40">
        <w:r>
          <w:rPr>
            <w:rStyle w:val="Hyperlink"/>
          </w:rPr>
          <w:t>https://www.fdic.gov/news/speeches/2023/spmar2723.html</w:t>
        </w:r>
      </w:hyperlink>
    </w:p>
    <w:p w14:paraId="6F84D280" w14:textId="7603ED94" w:rsidR="00F973AA" w:rsidRDefault="00250326" w:rsidP="00250326">
      <w:pPr>
        <w:pStyle w:val="Compact"/>
        <w:numPr>
          <w:ilvl w:val="0"/>
          <w:numId w:val="28"/>
        </w:numPr>
        <w:spacing w:after="0"/>
      </w:pPr>
      <w:r>
        <w:t>Bank of Japan: Financial System Report</w:t>
      </w:r>
      <w:r>
        <w:br/>
      </w:r>
      <w:hyperlink r:id="rId41">
        <w:r>
          <w:rPr>
            <w:rStyle w:val="Hyperlink"/>
          </w:rPr>
          <w:t>https://www.boj.or.jp/en/research/brp/fsr/index.htm</w:t>
        </w:r>
      </w:hyperlink>
    </w:p>
    <w:p w14:paraId="558C6A04" w14:textId="77777777" w:rsidR="00F973AA" w:rsidRDefault="00250326">
      <w:pPr>
        <w:pStyle w:val="Heading2"/>
      </w:pPr>
      <w:bookmarkStart w:id="67" w:name="sovereign-debt-management"/>
      <w:bookmarkEnd w:id="60"/>
      <w:bookmarkEnd w:id="66"/>
      <w:r>
        <w:t>2.5. Sovereign Debt Management</w:t>
      </w:r>
    </w:p>
    <w:p w14:paraId="06CBFC7D" w14:textId="77777777" w:rsidR="00F973AA" w:rsidRDefault="00250326">
      <w:pPr>
        <w:pStyle w:val="Heading3"/>
      </w:pPr>
      <w:bookmarkStart w:id="68" w:name="goal-9"/>
      <w:r>
        <w:t>2.5.1. Goal</w:t>
      </w:r>
    </w:p>
    <w:p w14:paraId="5AA20380" w14:textId="77777777" w:rsidR="00F973AA" w:rsidRDefault="00250326">
      <w:pPr>
        <w:pStyle w:val="BodyText"/>
      </w:pPr>
      <w:r>
        <w:t>Explain how a national government borrows, why it matters who holds the debt and in which currency, and what happens when a government cannot pay.</w:t>
      </w:r>
    </w:p>
    <w:p w14:paraId="146D3944" w14:textId="77777777" w:rsidR="00F973AA" w:rsidRDefault="00250326">
      <w:pPr>
        <w:pStyle w:val="Heading3"/>
        <w:sectPr w:rsidR="00F973AA" w:rsidSect="00B75C3E">
          <w:footnotePr>
            <w:numRestart w:val="eachSect"/>
          </w:footnotePr>
          <w:type w:val="continuous"/>
          <w:pgSz w:w="11907" w:h="16840" w:code="9"/>
          <w:pgMar w:top="1134" w:right="1701" w:bottom="1134" w:left="1701" w:header="567" w:footer="454" w:gutter="0"/>
          <w:cols w:space="720"/>
        </w:sectPr>
      </w:pPr>
      <w:bookmarkStart w:id="69" w:name="reading-9"/>
      <w:bookmarkEnd w:id="68"/>
      <w:r>
        <w:t>2.5.2. Reading</w:t>
      </w:r>
    </w:p>
    <w:p w14:paraId="3D3AB188" w14:textId="77777777" w:rsidR="00F973AA" w:rsidRDefault="00250326">
      <w:pPr>
        <w:pStyle w:val="articlebodytext"/>
      </w:pPr>
      <w:r>
        <w:t>Japan’s central government owes more than twice the value of everything the country produces in a year. By the International Monetary Fund’s 2026 figures, Japan’s general government gross debt is about 206% of national output, by far the highest of any large advanced economy [1]. Older estimates put the figure higher still, above 230%. Yet Japan has no debt crisis, low borrowing costs and no sign of panic. The reason is who lends the money. As of March 2026 the Bank of Japan alone held about 48% of all Japa</w:t>
      </w:r>
      <w:r>
        <w:t>nese government bonds, and foreign investors held only about 8%; the rest sits with Japanese banks, insurers and pension funds [2]. The debt is almost entirely domestic and in yen, so there is no foreign creditor to lose confidence and no foreign currency to find.</w:t>
      </w:r>
    </w:p>
    <w:p w14:paraId="0FB9815B" w14:textId="77777777" w:rsidR="00F973AA" w:rsidRDefault="00250326">
      <w:pPr>
        <w:pStyle w:val="articlebodytext"/>
      </w:pPr>
      <w:r>
        <w:t>Most governments borrow the same basic way. A treasury or a specialist debt management office sells bonds, which are tradable promises to pay interest and repay a fixed sum on a set date, and short-term bills of under a year. It decides how much to sell, at what mix of maturities, and by what method, usually an auction open to competing bidders. Two choices shape the risk. The first is currency: borrowing in your own money removes the danger that a falling exchange rate makes the debt harder to repay. The s</w:t>
      </w:r>
      <w:r>
        <w:t>econd is maturity: spreading repayment dates over many years reduces the risk of having to refinance a large amount at a bad moment. The United Kingdom’s Debt Management Office, for example, keeps the average life of its bonds unusually long, at about 14 years [3].</w:t>
      </w:r>
    </w:p>
    <w:p w14:paraId="5AA43675" w14:textId="77777777" w:rsidR="00F973AA" w:rsidRDefault="00250326">
      <w:pPr>
        <w:pStyle w:val="articlebodytext"/>
      </w:pPr>
      <w:r>
        <w:t>The United States shows a different balance. About 31% of United States federal debt held by the public is owned by foreign investors, with Japan the largest single holder, and the government paid roughly US$282 billion in interest to those foreign holders in 2025 [4]. That reliance on outside lenders is manageable for a country whose currency the world wants to hold, but it would be dangerous for a smaller economy.</w:t>
      </w:r>
    </w:p>
    <w:p w14:paraId="68C9FB65" w14:textId="77777777" w:rsidR="00F973AA" w:rsidRDefault="00250326">
      <w:pPr>
        <w:pStyle w:val="articlebodytext"/>
        <w:sectPr w:rsidR="00F973AA" w:rsidSect="00B75C3E">
          <w:footnotePr>
            <w:numRestart w:val="eachSect"/>
          </w:footnotePr>
          <w:type w:val="continuous"/>
          <w:pgSz w:w="11907" w:h="16840" w:code="9"/>
          <w:pgMar w:top="1134" w:right="1701" w:bottom="1134" w:left="1701" w:header="567" w:footer="454" w:gutter="0"/>
          <w:cols w:num="2" w:space="567"/>
        </w:sectPr>
      </w:pPr>
      <w:r>
        <w:t>When debt genuinely cannot be paid, a government must restructure it. That means negotiating with creditors to stretch out repayment dates or reduce the amount owed, a reduction known as a haircut. Sri Lanka defaulted in 2022 and agreed a deal with bondholders in 2024 that cut the value of its bonds by roughly a quarter. Lower-income countries such as Zambia and Ghana have restructured through a shared process set up by the Group of Twenty, a body that brings together the world’s largest economies. Zambia’s</w:t>
      </w:r>
      <w:r>
        <w:t xml:space="preserve"> 2024 deal wrote off about US$840 million of what it owed. These cases share a feature Japan lacks: debt owed to foreigners, often in dollars, which is the hardest kind to carry when trouble comes.</w:t>
      </w:r>
    </w:p>
    <w:p w14:paraId="27BE4A2E" w14:textId="77777777" w:rsidR="00F973AA" w:rsidRDefault="00250326">
      <w:pPr>
        <w:pStyle w:val="Heading3"/>
      </w:pPr>
      <w:bookmarkStart w:id="70" w:name="vocabulary-focus-9"/>
      <w:bookmarkEnd w:id="69"/>
      <w:r>
        <w:t>2.5.3. Vocabulary Focus</w:t>
      </w:r>
    </w:p>
    <w:p w14:paraId="4A307D2F" w14:textId="77777777" w:rsidR="00F973AA" w:rsidRDefault="00250326">
      <w:pPr>
        <w:pStyle w:val="FirstParagraph"/>
      </w:pPr>
      <w:r>
        <w:t>sovereign debt, government bond, debt management office, bond auction, debt restructuring, haircut</w:t>
      </w:r>
    </w:p>
    <w:p w14:paraId="413F4FF0" w14:textId="77777777" w:rsidR="00F973AA" w:rsidRDefault="00250326">
      <w:pPr>
        <w:pStyle w:val="Heading3"/>
      </w:pPr>
      <w:bookmarkStart w:id="71" w:name="reading-questions-9"/>
      <w:bookmarkEnd w:id="70"/>
      <w:r>
        <w:t>2.5.4. Reading Questions</w:t>
      </w:r>
    </w:p>
    <w:p w14:paraId="34EA7830" w14:textId="77777777" w:rsidR="00F973AA" w:rsidRDefault="00250326" w:rsidP="00250326">
      <w:pPr>
        <w:pStyle w:val="Compact"/>
        <w:numPr>
          <w:ilvl w:val="0"/>
          <w:numId w:val="29"/>
        </w:numPr>
      </w:pPr>
      <w:r>
        <w:t>How large is Japan’s government debt compared with national output, and why does the reading say there is no crisis?</w:t>
      </w:r>
    </w:p>
    <w:p w14:paraId="2211A6A7" w14:textId="77777777" w:rsidR="00F973AA" w:rsidRDefault="00250326" w:rsidP="00250326">
      <w:pPr>
        <w:pStyle w:val="Compact"/>
        <w:numPr>
          <w:ilvl w:val="0"/>
          <w:numId w:val="29"/>
        </w:numPr>
      </w:pPr>
      <w:r>
        <w:t>Who holds most Japanese government bonds, and how much do foreign investors hold?</w:t>
      </w:r>
    </w:p>
    <w:p w14:paraId="1A3306A6" w14:textId="77777777" w:rsidR="00F973AA" w:rsidRDefault="00250326" w:rsidP="00250326">
      <w:pPr>
        <w:pStyle w:val="Compact"/>
        <w:numPr>
          <w:ilvl w:val="0"/>
          <w:numId w:val="29"/>
        </w:numPr>
      </w:pPr>
      <w:r>
        <w:t>What are the two choices that shape the risk in how a government borrows?</w:t>
      </w:r>
    </w:p>
    <w:p w14:paraId="3292C7B3" w14:textId="77777777" w:rsidR="00F973AA" w:rsidRDefault="00250326" w:rsidP="00250326">
      <w:pPr>
        <w:pStyle w:val="Compact"/>
        <w:numPr>
          <w:ilvl w:val="0"/>
          <w:numId w:val="29"/>
        </w:numPr>
      </w:pPr>
      <w:r>
        <w:t>How does the United States position differ from Japan’s, and why is that manageable for the United States?</w:t>
      </w:r>
    </w:p>
    <w:p w14:paraId="4403FD1D" w14:textId="77777777" w:rsidR="00F973AA" w:rsidRDefault="00250326" w:rsidP="00250326">
      <w:pPr>
        <w:pStyle w:val="Compact"/>
        <w:numPr>
          <w:ilvl w:val="0"/>
          <w:numId w:val="29"/>
        </w:numPr>
        <w:spacing w:after="0"/>
      </w:pPr>
      <w:r>
        <w:t>What does it mean to restructure debt, and what is a haircut?</w:t>
      </w:r>
    </w:p>
    <w:p w14:paraId="68120844" w14:textId="77777777" w:rsidR="00F973AA" w:rsidRDefault="00250326">
      <w:pPr>
        <w:pStyle w:val="Heading3"/>
      </w:pPr>
      <w:bookmarkStart w:id="72" w:name="discussion-questions-9"/>
      <w:bookmarkEnd w:id="71"/>
      <w:r>
        <w:t>2.5.5. Discussion Questions</w:t>
      </w:r>
    </w:p>
    <w:p w14:paraId="16D40487" w14:textId="77777777" w:rsidR="00F973AA" w:rsidRDefault="00250326" w:rsidP="00250326">
      <w:pPr>
        <w:pStyle w:val="Compact"/>
        <w:numPr>
          <w:ilvl w:val="0"/>
          <w:numId w:val="30"/>
        </w:numPr>
      </w:pPr>
      <w:r>
        <w:t>Japan carries very high debt safely because it is owed at home in yen. Does that mean the level of debt does not matter? Explain your view.</w:t>
      </w:r>
    </w:p>
    <w:p w14:paraId="5EBE7121" w14:textId="77777777" w:rsidR="00F973AA" w:rsidRDefault="00250326" w:rsidP="00250326">
      <w:pPr>
        <w:pStyle w:val="Compact"/>
        <w:numPr>
          <w:ilvl w:val="0"/>
          <w:numId w:val="30"/>
        </w:numPr>
      </w:pPr>
      <w:r>
        <w:t>Borrowing from foreign investors brings in money but adds risk. When is it worth it for a government, and when is it not?</w:t>
      </w:r>
    </w:p>
    <w:p w14:paraId="4B06E0C5" w14:textId="77777777" w:rsidR="00F973AA" w:rsidRDefault="00250326" w:rsidP="00250326">
      <w:pPr>
        <w:pStyle w:val="Compact"/>
        <w:numPr>
          <w:ilvl w:val="0"/>
          <w:numId w:val="30"/>
        </w:numPr>
      </w:pPr>
      <w:r>
        <w:t>A haircut means lenders are repaid less than they were promised. Is that fair to those lenders? Give reasons.</w:t>
      </w:r>
    </w:p>
    <w:p w14:paraId="61E9C0FA" w14:textId="77777777" w:rsidR="00F973AA" w:rsidRDefault="00250326" w:rsidP="00250326">
      <w:pPr>
        <w:pStyle w:val="Compact"/>
        <w:numPr>
          <w:ilvl w:val="0"/>
          <w:numId w:val="30"/>
        </w:numPr>
      </w:pPr>
      <w:r>
        <w:t>Lower-income countries often must borrow in dollars rather than their own currency. What could be done to change that?</w:t>
      </w:r>
    </w:p>
    <w:p w14:paraId="5F9D27BC" w14:textId="77777777" w:rsidR="00F973AA" w:rsidRDefault="00250326" w:rsidP="00250326">
      <w:pPr>
        <w:pStyle w:val="Compact"/>
        <w:numPr>
          <w:ilvl w:val="0"/>
          <w:numId w:val="30"/>
        </w:numPr>
        <w:spacing w:after="0"/>
      </w:pPr>
      <w:r>
        <w:t>You advise a government setting up a new debt management office. Suggest two rules it should follow from the start, and say why.</w:t>
      </w:r>
    </w:p>
    <w:p w14:paraId="2B0A4D3C" w14:textId="77777777" w:rsidR="00F973AA" w:rsidRDefault="00250326">
      <w:pPr>
        <w:pStyle w:val="Heading3"/>
      </w:pPr>
      <w:bookmarkStart w:id="73" w:name="source-notes-9"/>
      <w:bookmarkEnd w:id="72"/>
      <w:r>
        <w:t>2.5.6. Source Notes</w:t>
      </w:r>
    </w:p>
    <w:p w14:paraId="4541CCE4" w14:textId="1139CF54" w:rsidR="00F973AA" w:rsidRDefault="00250326" w:rsidP="00250326">
      <w:pPr>
        <w:pStyle w:val="Compact"/>
        <w:numPr>
          <w:ilvl w:val="0"/>
          <w:numId w:val="31"/>
        </w:numPr>
      </w:pPr>
      <w:r>
        <w:t>International Monetary Fund: World Economic Outlook database (April 2026), general government gross debt, percent of GDP</w:t>
      </w:r>
      <w:r>
        <w:br/>
      </w:r>
      <w:hyperlink r:id="rId42">
        <w:r>
          <w:rPr>
            <w:rStyle w:val="Hyperlink"/>
          </w:rPr>
          <w:t>https://www.imf.org/external/datamapper/GGXWDG_NGDP@WEO</w:t>
        </w:r>
      </w:hyperlink>
    </w:p>
    <w:p w14:paraId="085E155B" w14:textId="5CECE5B9" w:rsidR="00F973AA" w:rsidRDefault="00250326" w:rsidP="00250326">
      <w:pPr>
        <w:pStyle w:val="Compact"/>
        <w:numPr>
          <w:ilvl w:val="0"/>
          <w:numId w:val="31"/>
        </w:numPr>
      </w:pPr>
      <w:r>
        <w:t>Ministry of Finance (Japan): Breakdown by JGB and T-Bill Holders (March 2026, preliminary), from Bank of Japan Flow of Funds Accounts</w:t>
      </w:r>
      <w:r>
        <w:br/>
      </w:r>
      <w:hyperlink r:id="rId43">
        <w:r>
          <w:rPr>
            <w:rStyle w:val="Hyperlink"/>
          </w:rPr>
          <w:t>https://www.mof.go.jp/english/policy/jgbs/reference/Others/holdings01.pdf</w:t>
        </w:r>
      </w:hyperlink>
    </w:p>
    <w:p w14:paraId="1C660553" w14:textId="38076B7E" w:rsidR="00F973AA" w:rsidRDefault="00250326" w:rsidP="00250326">
      <w:pPr>
        <w:pStyle w:val="Compact"/>
        <w:numPr>
          <w:ilvl w:val="0"/>
          <w:numId w:val="31"/>
        </w:numPr>
      </w:pPr>
      <w:r>
        <w:t>UK Debt Management Office: DMO Annual Review 2024–25, 29 August 2025</w:t>
      </w:r>
      <w:r>
        <w:br/>
      </w:r>
      <w:hyperlink r:id="rId44">
        <w:r>
          <w:rPr>
            <w:rStyle w:val="Hyperlink"/>
          </w:rPr>
          <w:t>https://www.dmo.gov.uk/media/dmgaetip/gar2025a.pdf</w:t>
        </w:r>
      </w:hyperlink>
    </w:p>
    <w:p w14:paraId="10E6FCA6" w14:textId="781CCC41" w:rsidR="00F973AA" w:rsidRDefault="00250326" w:rsidP="00250326">
      <w:pPr>
        <w:pStyle w:val="Compact"/>
        <w:numPr>
          <w:ilvl w:val="0"/>
          <w:numId w:val="31"/>
        </w:numPr>
        <w:spacing w:after="0"/>
      </w:pPr>
      <w:r>
        <w:t>Congressional Research Service: Foreign Holdings of Federal Debt (RS22331), updated 22 April 2026</w:t>
      </w:r>
      <w:r>
        <w:br/>
      </w:r>
      <w:hyperlink r:id="rId45">
        <w:r>
          <w:rPr>
            <w:rStyle w:val="Hyperlink"/>
          </w:rPr>
          <w:t>https://www.congress.gov/crs-product/RS22331</w:t>
        </w:r>
      </w:hyperlink>
    </w:p>
    <w:p w14:paraId="08772853" w14:textId="77777777" w:rsidR="00F973AA" w:rsidRDefault="00250326">
      <w:pPr>
        <w:pStyle w:val="Heading1"/>
        <w:pageBreakBefore w:val="0"/>
      </w:pPr>
      <w:bookmarkStart w:id="74" w:name="Xf5fd643cebcf877cb2003f79c663e808728fc7c"/>
      <w:bookmarkEnd w:id="38"/>
      <w:bookmarkEnd w:id="67"/>
      <w:bookmarkEnd w:id="73"/>
      <w:r>
        <w:t>Part 3: Capital, Investment and Public Policy</w:t>
      </w:r>
    </w:p>
    <w:p w14:paraId="5E52BE95" w14:textId="77777777" w:rsidR="00F973AA" w:rsidRDefault="00250326">
      <w:pPr>
        <w:pStyle w:val="BodyText"/>
      </w:pPr>
      <w:r>
        <w:t>How large flows of capital — green finance, infrastructure, trade, pensions, recovery spending — are directed and governed.</w:t>
      </w:r>
    </w:p>
    <w:p w14:paraId="27665071" w14:textId="77777777" w:rsidR="00F973AA" w:rsidRDefault="00250326">
      <w:pPr>
        <w:pStyle w:val="Heading2"/>
      </w:pPr>
      <w:bookmarkStart w:id="75" w:name="green-finance-initiatives"/>
      <w:r>
        <w:t>3.1. Green Finance Initiatives</w:t>
      </w:r>
    </w:p>
    <w:p w14:paraId="1B28D1A0" w14:textId="77777777" w:rsidR="00F973AA" w:rsidRDefault="00250326">
      <w:pPr>
        <w:pStyle w:val="Heading3"/>
      </w:pPr>
      <w:bookmarkStart w:id="76" w:name="goal-10"/>
      <w:r>
        <w:t>3.1.1. Goal</w:t>
      </w:r>
    </w:p>
    <w:p w14:paraId="07FEA10C" w14:textId="77777777" w:rsidR="00F973AA" w:rsidRDefault="00250326">
      <w:pPr>
        <w:pStyle w:val="BodyText"/>
      </w:pPr>
      <w:r>
        <w:t>Explain what makes a green bond different from an ordinary bond, and why standard-setters and regulators have moved to define the “green” label.</w:t>
      </w:r>
    </w:p>
    <w:p w14:paraId="4E750C7F" w14:textId="77777777" w:rsidR="00F973AA" w:rsidRDefault="00250326">
      <w:pPr>
        <w:pStyle w:val="Heading3"/>
        <w:sectPr w:rsidR="00F973AA" w:rsidSect="00B75C3E">
          <w:footnotePr>
            <w:numRestart w:val="eachSect"/>
          </w:footnotePr>
          <w:type w:val="continuous"/>
          <w:pgSz w:w="11907" w:h="16840" w:code="9"/>
          <w:pgMar w:top="1134" w:right="1701" w:bottom="1134" w:left="1701" w:header="567" w:footer="454" w:gutter="0"/>
          <w:cols w:space="720"/>
        </w:sectPr>
      </w:pPr>
      <w:bookmarkStart w:id="77" w:name="reading-10"/>
      <w:bookmarkEnd w:id="76"/>
      <w:r>
        <w:t>3.1.2. Reading</w:t>
      </w:r>
    </w:p>
    <w:p w14:paraId="7B6D3462" w14:textId="77777777" w:rsidR="00F973AA" w:rsidRDefault="00250326">
      <w:pPr>
        <w:pStyle w:val="articlebodytext"/>
      </w:pPr>
      <w:r>
        <w:t>Two companies borrow the same amount of money to build the same wind farm. The first sells an ordinary bond and can spend the money however it likes; no one checks afterwards. The second sells a green bond, and that label is a promise with rules attached. The company must spend the proceeds only on defined environmental projects, keep that money in a separate account, and report later on where it went and what it achieved [1]. The wind farm is identical. What differs is the commitment about the use of proce</w:t>
      </w:r>
      <w:r>
        <w:t>eds and the disclosure that comes with it.</w:t>
      </w:r>
    </w:p>
    <w:p w14:paraId="277F820C" w14:textId="77777777" w:rsidR="00F973AA" w:rsidRDefault="00250326">
      <w:pPr>
        <w:pStyle w:val="articlebodytext"/>
      </w:pPr>
      <w:r>
        <w:t>Green finance means money raised specifically for environmentally beneficial activity, mostly through green bonds. The European Investment Bank sold the first one in 2007, and the market grew slowly until common rules appeared [2]. Since 2014 most issuers have followed the Green Bond Principles, a voluntary standard from the International Capital Market Association. It rests on four duties: define the eligible projects, explain how they are chosen, track the money separately, and report on both spending and</w:t>
      </w:r>
      <w:r>
        <w:t xml:space="preserve"> results [1]. By early 2025 the green bond market was worth about US$2.9 trillion, with roughly US$700 billion issued during 2024 [3].</w:t>
      </w:r>
    </w:p>
    <w:p w14:paraId="61ACD64E" w14:textId="77777777" w:rsidR="00F973AA" w:rsidRDefault="00250326">
      <w:pPr>
        <w:pStyle w:val="articlebodytext"/>
      </w:pPr>
      <w:r>
        <w:t xml:space="preserve">Because “green” is otherwise a label an issuer picks for itself, regulators have begun to define it. The European Union’s Green Bond Standard has applied since December 2024. A bond may be called a “European Green Bond” </w:t>
      </w:r>
      <w:r>
        <w:t>only if at least 85% of the proceeds fund activities on the EU’s official taxonomy, its classified list of sustainable activities, with an external review before and after issuance [4]. The goal is to limit greenwashing, which means claiming an environmental benefit that the label does not deliver.</w:t>
      </w:r>
    </w:p>
    <w:p w14:paraId="3EA66745" w14:textId="77777777" w:rsidR="00F973AA" w:rsidRDefault="00250326">
      <w:pPr>
        <w:pStyle w:val="articlebodytext"/>
      </w:pPr>
      <w:r>
        <w:t>Japan has taken a distinctive step at government level. In February 2024 it became the first national government to sell climate transition bonds, in two parts of JPY 800 billion each, JPY 1.6 trillion together [5]. The full programme aims to raise about JPY 20 trillion over roughly a decade to help heavy industry, power and transport cut emissions. Japan plans to repay the bonds partly from future carbon-pricing revenue, such as a fossil-fuel levy due from 2028, rather than from general taxes [5]. Transiti</w:t>
      </w:r>
      <w:r>
        <w:t>on bonds are more debated than ordinary green bonds, because they fund high-polluting sectors that are trying to change rather than activities that are already clean.</w:t>
      </w:r>
    </w:p>
    <w:p w14:paraId="10D4A25A" w14:textId="77777777" w:rsidR="00F973AA" w:rsidRDefault="00250326">
      <w:pPr>
        <w:pStyle w:val="articlebodytext"/>
        <w:sectPr w:rsidR="00F973AA" w:rsidSect="00B75C3E">
          <w:footnotePr>
            <w:numRestart w:val="eachSect"/>
          </w:footnotePr>
          <w:type w:val="continuous"/>
          <w:pgSz w:w="11907" w:h="16840" w:code="9"/>
          <w:pgMar w:top="1134" w:right="1701" w:bottom="1134" w:left="1701" w:header="567" w:footer="454" w:gutter="0"/>
          <w:cols w:num="2" w:space="567"/>
        </w:sectPr>
      </w:pPr>
      <w:r>
        <w:t>Emerging economies use these tools too. Chile sold Latin America’s first sovereign green bond in 2019 and by late 2025 had about US$56 billion of labelled sustainable debt outstanding, more than any other developing country [6]. Across all these issuers, the bond itself is ordinary borrowing; what investors are paying for is the enforceable promise to spend and disclose in a set way. That is why the argument over green finance now centres on the standards and the outside checks, not on the wind farms and ra</w:t>
      </w:r>
      <w:r>
        <w:t>il lines the money builds.</w:t>
      </w:r>
    </w:p>
    <w:p w14:paraId="486519D5" w14:textId="77777777" w:rsidR="00F973AA" w:rsidRDefault="00250326">
      <w:pPr>
        <w:pStyle w:val="Heading3"/>
      </w:pPr>
      <w:bookmarkStart w:id="78" w:name="vocabulary-focus-10"/>
      <w:bookmarkEnd w:id="77"/>
      <w:r>
        <w:t>3.1.3. Vocabulary Focus</w:t>
      </w:r>
    </w:p>
    <w:p w14:paraId="699CD0A0" w14:textId="77777777" w:rsidR="00F973AA" w:rsidRDefault="00250326">
      <w:pPr>
        <w:pStyle w:val="FirstParagraph"/>
      </w:pPr>
      <w:r>
        <w:t>green bond, use of proceeds, taxonomy, greenwashing, transition bond, external review</w:t>
      </w:r>
    </w:p>
    <w:p w14:paraId="3FFC7892" w14:textId="77777777" w:rsidR="00F973AA" w:rsidRDefault="00250326">
      <w:pPr>
        <w:pStyle w:val="Heading3"/>
      </w:pPr>
      <w:bookmarkStart w:id="79" w:name="reading-questions-10"/>
      <w:bookmarkEnd w:id="78"/>
      <w:r>
        <w:t>3.1.4. Reading Questions</w:t>
      </w:r>
    </w:p>
    <w:p w14:paraId="53AA48D6" w14:textId="77777777" w:rsidR="00F973AA" w:rsidRDefault="00250326" w:rsidP="00250326">
      <w:pPr>
        <w:pStyle w:val="Compact"/>
        <w:numPr>
          <w:ilvl w:val="0"/>
          <w:numId w:val="32"/>
        </w:numPr>
      </w:pPr>
      <w:r>
        <w:t>According to the reading, what is the difference between an ordinary bond and a green bond that fund the same project?</w:t>
      </w:r>
    </w:p>
    <w:p w14:paraId="46B924BD" w14:textId="77777777" w:rsidR="00F973AA" w:rsidRDefault="00250326" w:rsidP="00250326">
      <w:pPr>
        <w:pStyle w:val="Compact"/>
        <w:numPr>
          <w:ilvl w:val="0"/>
          <w:numId w:val="32"/>
        </w:numPr>
      </w:pPr>
      <w:r>
        <w:t>What four duties does an issuer take on under the Green Bond Principles?</w:t>
      </w:r>
    </w:p>
    <w:p w14:paraId="47C34F2F" w14:textId="77777777" w:rsidR="00F973AA" w:rsidRDefault="00250326" w:rsidP="00250326">
      <w:pPr>
        <w:pStyle w:val="Compact"/>
        <w:numPr>
          <w:ilvl w:val="0"/>
          <w:numId w:val="32"/>
        </w:numPr>
      </w:pPr>
      <w:r>
        <w:t>How large was the green bond market by early 2025, and how much was issued during 2024?</w:t>
      </w:r>
    </w:p>
    <w:p w14:paraId="2AC1A6D3" w14:textId="77777777" w:rsidR="00F973AA" w:rsidRDefault="00250326" w:rsidP="00250326">
      <w:pPr>
        <w:pStyle w:val="Compact"/>
        <w:numPr>
          <w:ilvl w:val="0"/>
          <w:numId w:val="32"/>
        </w:numPr>
      </w:pPr>
      <w:r>
        <w:t>Why have regulators such as the EU started to give “green” a legal definition?</w:t>
      </w:r>
    </w:p>
    <w:p w14:paraId="6229C3F1" w14:textId="77777777" w:rsidR="00F973AA" w:rsidRDefault="00250326" w:rsidP="00250326">
      <w:pPr>
        <w:pStyle w:val="Compact"/>
        <w:numPr>
          <w:ilvl w:val="0"/>
          <w:numId w:val="32"/>
        </w:numPr>
        <w:spacing w:after="0"/>
      </w:pPr>
      <w:r>
        <w:t>Why does the reading say transition bonds are “more debated” than ordinary green bonds?</w:t>
      </w:r>
    </w:p>
    <w:p w14:paraId="774EE5D7" w14:textId="77777777" w:rsidR="00F973AA" w:rsidRDefault="00250326">
      <w:pPr>
        <w:pStyle w:val="Heading3"/>
      </w:pPr>
      <w:bookmarkStart w:id="80" w:name="discussion-questions-10"/>
      <w:bookmarkEnd w:id="79"/>
      <w:r>
        <w:t>3.1.5. Discussion Questions</w:t>
      </w:r>
    </w:p>
    <w:p w14:paraId="28D45B86" w14:textId="77777777" w:rsidR="00F973AA" w:rsidRDefault="00250326" w:rsidP="00250326">
      <w:pPr>
        <w:pStyle w:val="Compact"/>
        <w:numPr>
          <w:ilvl w:val="0"/>
          <w:numId w:val="33"/>
        </w:numPr>
      </w:pPr>
      <w:r>
        <w:t>The reading says the wind farm is the same whether or not the bond is labelled green. In your view, what real difference does the green label make?</w:t>
      </w:r>
    </w:p>
    <w:p w14:paraId="75C7E53D" w14:textId="77777777" w:rsidR="00F973AA" w:rsidRDefault="00250326" w:rsidP="00250326">
      <w:pPr>
        <w:pStyle w:val="Compact"/>
        <w:numPr>
          <w:ilvl w:val="0"/>
          <w:numId w:val="33"/>
        </w:numPr>
      </w:pPr>
      <w:r>
        <w:t>Is an external review before and after issuance enough to stop greenwashing? What more could be required?</w:t>
      </w:r>
    </w:p>
    <w:p w14:paraId="10B252E5" w14:textId="77777777" w:rsidR="00F973AA" w:rsidRDefault="00250326" w:rsidP="00250326">
      <w:pPr>
        <w:pStyle w:val="Compact"/>
        <w:numPr>
          <w:ilvl w:val="0"/>
          <w:numId w:val="33"/>
        </w:numPr>
      </w:pPr>
      <w:r>
        <w:t>Japan’s transition bonds fund industries that still pollute heavily. Is that a fair use of climate finance, or a weakness in the idea? Explain.</w:t>
      </w:r>
    </w:p>
    <w:p w14:paraId="2422C6E0" w14:textId="77777777" w:rsidR="00F973AA" w:rsidRDefault="00250326" w:rsidP="00250326">
      <w:pPr>
        <w:pStyle w:val="Compact"/>
        <w:numPr>
          <w:ilvl w:val="0"/>
          <w:numId w:val="33"/>
        </w:numPr>
      </w:pPr>
      <w:r>
        <w:t>Advise a company issuing its first green bond on three things it should do so that investors trust the label.</w:t>
      </w:r>
    </w:p>
    <w:p w14:paraId="6534553E" w14:textId="77777777" w:rsidR="00F973AA" w:rsidRDefault="00250326" w:rsidP="00250326">
      <w:pPr>
        <w:pStyle w:val="Compact"/>
        <w:numPr>
          <w:ilvl w:val="0"/>
          <w:numId w:val="33"/>
        </w:numPr>
        <w:spacing w:after="0"/>
      </w:pPr>
      <w:r>
        <w:t>Should a country make the green-bond label a legal standard, as the EU has done, or keep it voluntary? Give your reasons.</w:t>
      </w:r>
    </w:p>
    <w:p w14:paraId="23B70B82" w14:textId="77777777" w:rsidR="00F973AA" w:rsidRDefault="00250326">
      <w:pPr>
        <w:pStyle w:val="Heading3"/>
      </w:pPr>
      <w:bookmarkStart w:id="81" w:name="source-notes-10"/>
      <w:bookmarkEnd w:id="80"/>
      <w:r>
        <w:t>3.1.6. Source Notes</w:t>
      </w:r>
    </w:p>
    <w:p w14:paraId="404147DA" w14:textId="194D2650" w:rsidR="00F973AA" w:rsidRDefault="00250326" w:rsidP="00250326">
      <w:pPr>
        <w:pStyle w:val="Compact"/>
        <w:numPr>
          <w:ilvl w:val="0"/>
          <w:numId w:val="34"/>
        </w:numPr>
      </w:pPr>
      <w:r>
        <w:t>International Capital Market Association: The Green Bond Principles (June 2025 edition)</w:t>
      </w:r>
      <w:r>
        <w:br/>
      </w:r>
      <w:hyperlink r:id="rId46">
        <w:r>
          <w:rPr>
            <w:rStyle w:val="Hyperlink"/>
          </w:rPr>
          <w:t>https://www.icmagroup.org/sustainable-finance/the-principles-guidelines-and-handbooks/green-bond-principles-gbp/</w:t>
        </w:r>
      </w:hyperlink>
    </w:p>
    <w:p w14:paraId="236E56EE" w14:textId="495EAB5E" w:rsidR="00F973AA" w:rsidRDefault="00250326" w:rsidP="00250326">
      <w:pPr>
        <w:pStyle w:val="Compact"/>
        <w:numPr>
          <w:ilvl w:val="0"/>
          <w:numId w:val="34"/>
        </w:numPr>
      </w:pPr>
      <w:r>
        <w:t>European Investment Bank: “15 years of EIB green bonds: leading sustainable investment from niche to mainstream” (2022)</w:t>
      </w:r>
      <w:r>
        <w:br/>
      </w:r>
      <w:hyperlink r:id="rId47">
        <w:r>
          <w:rPr>
            <w:rStyle w:val="Hyperlink"/>
          </w:rPr>
          <w:t>https://www.eib.org/en/press/all/2022-308-15-years-of-eib-green-bonds-leading-sustainable-investment-from-niche-to-mainstream</w:t>
        </w:r>
      </w:hyperlink>
    </w:p>
    <w:p w14:paraId="5B09AF0B" w14:textId="05C70B95" w:rsidR="00F973AA" w:rsidRDefault="00250326" w:rsidP="00250326">
      <w:pPr>
        <w:pStyle w:val="Compact"/>
        <w:numPr>
          <w:ilvl w:val="0"/>
          <w:numId w:val="34"/>
        </w:numPr>
      </w:pPr>
      <w:r>
        <w:t>Bank for International Settlements: “Growth of the green bond market and greenhouse gas emissions,” BIS Quarterly Review, March 2025</w:t>
      </w:r>
      <w:r>
        <w:br/>
      </w:r>
      <w:hyperlink r:id="rId48">
        <w:r>
          <w:rPr>
            <w:rStyle w:val="Hyperlink"/>
          </w:rPr>
          <w:t>https://www.bis.org/publ/qtrpdf/r_qt2503d.htm</w:t>
        </w:r>
      </w:hyperlink>
    </w:p>
    <w:p w14:paraId="1D8D16E2" w14:textId="58E435C9" w:rsidR="00F973AA" w:rsidRDefault="00250326" w:rsidP="00250326">
      <w:pPr>
        <w:pStyle w:val="Compact"/>
        <w:numPr>
          <w:ilvl w:val="0"/>
          <w:numId w:val="34"/>
        </w:numPr>
      </w:pPr>
      <w:r>
        <w:t>EUR-Lex: “European green bond standard” (summary of Regulation (EU) 2023/2631)</w:t>
      </w:r>
      <w:r>
        <w:br/>
      </w:r>
      <w:hyperlink r:id="rId49">
        <w:r>
          <w:rPr>
            <w:rStyle w:val="Hyperlink"/>
          </w:rPr>
          <w:t>https://eur-lex.europa.eu/EN/legal-content/summary/european-green-bond-standard.html</w:t>
        </w:r>
      </w:hyperlink>
    </w:p>
    <w:p w14:paraId="48B3A66E" w14:textId="2C641909" w:rsidR="00F973AA" w:rsidRDefault="00250326" w:rsidP="00250326">
      <w:pPr>
        <w:pStyle w:val="Compact"/>
        <w:numPr>
          <w:ilvl w:val="0"/>
          <w:numId w:val="34"/>
        </w:numPr>
      </w:pPr>
      <w:r>
        <w:t>Ministry of Finance, Japan: “Japan Climate Transition Bonds”</w:t>
      </w:r>
      <w:r>
        <w:br/>
      </w:r>
      <w:hyperlink r:id="rId50">
        <w:r>
          <w:rPr>
            <w:rStyle w:val="Hyperlink"/>
          </w:rPr>
          <w:t>https://www.mof.go.jp/english/policy/jgbs/topics/JapanClimateTransitionBonds/index.html</w:t>
        </w:r>
      </w:hyperlink>
    </w:p>
    <w:p w14:paraId="2F04AAFF" w14:textId="6F37B59D" w:rsidR="00F973AA" w:rsidRDefault="00250326" w:rsidP="00250326">
      <w:pPr>
        <w:pStyle w:val="Compact"/>
        <w:numPr>
          <w:ilvl w:val="0"/>
          <w:numId w:val="34"/>
        </w:numPr>
        <w:spacing w:after="0"/>
      </w:pPr>
      <w:r>
        <w:t xml:space="preserve">World Bank Treasury: “Labeled Sustainable Bonds — Market Update,” </w:t>
      </w:r>
      <w:r>
        <w:t>Q4 2025</w:t>
      </w:r>
      <w:r>
        <w:br/>
      </w:r>
      <w:hyperlink r:id="rId51">
        <w:r>
          <w:rPr>
            <w:rStyle w:val="Hyperlink"/>
          </w:rPr>
          <w:t>https://thedocs.worldbank.org/en/doc/0cbf29fe7e18a8d8a64b67ad2d0a6a7c-0340012026/original/WBG-TRE-Labeled-Sustainable-Bonds-Market-Update-2025-Q4.pdf</w:t>
        </w:r>
      </w:hyperlink>
    </w:p>
    <w:p w14:paraId="6120B4BA" w14:textId="77777777" w:rsidR="00F973AA" w:rsidRDefault="00250326">
      <w:pPr>
        <w:pStyle w:val="Heading2"/>
      </w:pPr>
      <w:bookmarkStart w:id="82" w:name="infrastructure-investment"/>
      <w:bookmarkEnd w:id="75"/>
      <w:bookmarkEnd w:id="81"/>
      <w:r>
        <w:t>3.2. Infrastructure Investment</w:t>
      </w:r>
    </w:p>
    <w:p w14:paraId="3EC23756" w14:textId="77777777" w:rsidR="00F973AA" w:rsidRDefault="00250326">
      <w:pPr>
        <w:pStyle w:val="Heading3"/>
      </w:pPr>
      <w:bookmarkStart w:id="83" w:name="goal-11"/>
      <w:r>
        <w:t>3.2.1. Goal</w:t>
      </w:r>
    </w:p>
    <w:p w14:paraId="3BD1AA12" w14:textId="77777777" w:rsidR="00F973AA" w:rsidRDefault="00250326">
      <w:pPr>
        <w:pStyle w:val="BodyText"/>
      </w:pPr>
      <w:r>
        <w:t>Explain the gap between the infrastructure the world needs and what it will pay for, and show who fills that gap besides national governments.</w:t>
      </w:r>
    </w:p>
    <w:p w14:paraId="7576477B" w14:textId="77777777" w:rsidR="00F973AA" w:rsidRDefault="00250326">
      <w:pPr>
        <w:pStyle w:val="Heading3"/>
        <w:sectPr w:rsidR="00F973AA" w:rsidSect="00B75C3E">
          <w:footnotePr>
            <w:numRestart w:val="eachSect"/>
          </w:footnotePr>
          <w:type w:val="continuous"/>
          <w:pgSz w:w="11907" w:h="16840" w:code="9"/>
          <w:pgMar w:top="1134" w:right="1701" w:bottom="1134" w:left="1701" w:header="567" w:footer="454" w:gutter="0"/>
          <w:cols w:space="720"/>
        </w:sectPr>
      </w:pPr>
      <w:bookmarkStart w:id="84" w:name="reading-11"/>
      <w:bookmarkEnd w:id="83"/>
      <w:r>
        <w:t>3.2.2. Reading</w:t>
      </w:r>
    </w:p>
    <w:p w14:paraId="55A13CCF" w14:textId="77777777" w:rsidR="00F973AA" w:rsidRDefault="00250326">
      <w:pPr>
        <w:pStyle w:val="articlebodytext"/>
      </w:pPr>
      <w:r>
        <w:t>It is natural to think that roads, bridges, power grids and water systems are built and paid for by government. Governments plan and own most infrastructure, often raising the money through government bonds — but they have never been its only funders, and the shortfall between what the world invests and what it needs is now beyond public budgets alone. The Global Infrastructure Hub, set up by the Group of Twenty, estimates a need of about US$97 trillion of infrastructure investment worldwide by 2040, agains</w:t>
      </w:r>
      <w:r>
        <w:t>t roughly US$79 trillion likely to be spent — an infrastructure funding gap of around US$18 trillion [1].</w:t>
      </w:r>
    </w:p>
    <w:p w14:paraId="25A6A63F" w14:textId="77777777" w:rsidR="00F973AA" w:rsidRDefault="00250326">
      <w:pPr>
        <w:pStyle w:val="articlebodytext"/>
      </w:pPr>
      <w:r>
        <w:t>The gap has two forms: capacity that is never built, and, more common in richer countries, old infrastructure that now needs expensive repair. In 2025 the American Society of Civil Engineers graded United States infrastructure at C, up from C-minus in 2021, but still identified a US$3.7 trillion shortfall over ten years [2]. A broader estimate puts the European Union’s yearly gap on strategic investment — climate, digital and infrastructure combined — at about EUR 481 billion [3].</w:t>
      </w:r>
    </w:p>
    <w:p w14:paraId="05447896" w14:textId="77777777" w:rsidR="00F973AA" w:rsidRDefault="00250326">
      <w:pPr>
        <w:pStyle w:val="articlebodytext"/>
      </w:pPr>
      <w:r>
        <w:t>Japan shows the ageing problem in sharp form. It built most of its expressways, bridges and tunnels between the 1950s and 1970s. By 2033 about 60% of its roughly 730,000 road bridges will be at least 50 years old, the point where damage spreads quickly and full repair becomes unavoidable [4]. Japan still spends heavily on public works, but a rising share now goes to maintaining what exists, and a shrinking workforce makes the repairs harder to staff.</w:t>
      </w:r>
    </w:p>
    <w:p w14:paraId="2ED2C0B9" w14:textId="77777777" w:rsidR="00F973AA" w:rsidRDefault="00250326">
      <w:pPr>
        <w:pStyle w:val="articlebodytext"/>
      </w:pPr>
      <w:r>
        <w:t>So who fills the gap? One answer is private money through public-private partnerships, or PPPs, where a private company designs, builds, finances and operates a public asset for a fixed period, called a concession, earning tolls or fees before ownership returns to the state. Kenya’s Nairobi Expressway, a 27-kilometre toll road opened in 2022, was built this way by a Chinese state contractor — Kenya’s first toll expressway. The contractor paid about 80% of the roughly US$668 million cost and collects tolls f</w:t>
      </w:r>
      <w:r>
        <w:t>or about three decades before handing the road over [5].</w:t>
      </w:r>
    </w:p>
    <w:p w14:paraId="663855D1" w14:textId="77777777" w:rsidR="00F973AA" w:rsidRDefault="00250326">
      <w:pPr>
        <w:pStyle w:val="articlebodytext"/>
        <w:sectPr w:rsidR="00F973AA" w:rsidSect="00B75C3E">
          <w:footnotePr>
            <w:numRestart w:val="eachSect"/>
          </w:footnotePr>
          <w:type w:val="continuous"/>
          <w:pgSz w:w="11907" w:h="16840" w:code="9"/>
          <w:pgMar w:top="1134" w:right="1701" w:bottom="1134" w:left="1701" w:header="567" w:footer="454" w:gutter="0"/>
          <w:cols w:num="2" w:space="567"/>
        </w:sectPr>
      </w:pPr>
      <w:r>
        <w:t xml:space="preserve">Multilateral development banks, lenders owned by many governments together, are another source. The World Bank Group committed US$118.5 billion in its 2025 financial year and helped attract a further US$69.9 billion of private capital [6]. Much of this is blended finance: public money used to reduce a project’s risk until private investors — pension funds, insurers, other institutional investors — will put in their own. Each source has a limit: public budgets compete with health and pensions, PPP tolls can </w:t>
      </w:r>
      <w:r>
        <w:t>make an asset costly to use, and development-bank loans add to national debt. Filling the gap is less about finding a single payer than matching each project to the mix of money it can realistically carry.</w:t>
      </w:r>
    </w:p>
    <w:p w14:paraId="1A412040" w14:textId="77777777" w:rsidR="00F973AA" w:rsidRDefault="00250326">
      <w:pPr>
        <w:pStyle w:val="Heading3"/>
      </w:pPr>
      <w:bookmarkStart w:id="85" w:name="vocabulary-focus-11"/>
      <w:bookmarkEnd w:id="84"/>
      <w:r>
        <w:t>3.2.3. Vocabulary Focus</w:t>
      </w:r>
    </w:p>
    <w:p w14:paraId="4F7EEB40" w14:textId="77777777" w:rsidR="00F973AA" w:rsidRDefault="00250326">
      <w:pPr>
        <w:pStyle w:val="FirstParagraph"/>
      </w:pPr>
      <w:r>
        <w:t>public-private partnership (PPP), infrastructure funding gap, multilateral development bank (MDB), concession, blended finance, institutional investor</w:t>
      </w:r>
    </w:p>
    <w:p w14:paraId="5313D256" w14:textId="77777777" w:rsidR="00F973AA" w:rsidRDefault="00250326">
      <w:pPr>
        <w:pStyle w:val="Heading3"/>
      </w:pPr>
      <w:bookmarkStart w:id="86" w:name="reading-questions-11"/>
      <w:bookmarkEnd w:id="85"/>
      <w:r>
        <w:t>3.2.4. Reading Questions</w:t>
      </w:r>
    </w:p>
    <w:p w14:paraId="3A791026" w14:textId="77777777" w:rsidR="00F973AA" w:rsidRDefault="00250326" w:rsidP="00250326">
      <w:pPr>
        <w:pStyle w:val="Compact"/>
        <w:numPr>
          <w:ilvl w:val="0"/>
          <w:numId w:val="35"/>
        </w:numPr>
      </w:pPr>
      <w:r>
        <w:t>What misconception about infrastructure does the reading open by correcting?</w:t>
      </w:r>
    </w:p>
    <w:p w14:paraId="516D52A7" w14:textId="77777777" w:rsidR="00F973AA" w:rsidRDefault="00250326" w:rsidP="00250326">
      <w:pPr>
        <w:pStyle w:val="Compact"/>
        <w:numPr>
          <w:ilvl w:val="0"/>
          <w:numId w:val="35"/>
        </w:numPr>
      </w:pPr>
      <w:r>
        <w:t>What are the two forms the infrastructure funding gap can take?</w:t>
      </w:r>
    </w:p>
    <w:p w14:paraId="6A08AA21" w14:textId="77777777" w:rsidR="00F973AA" w:rsidRDefault="00250326" w:rsidP="00250326">
      <w:pPr>
        <w:pStyle w:val="Compact"/>
        <w:numPr>
          <w:ilvl w:val="0"/>
          <w:numId w:val="35"/>
        </w:numPr>
      </w:pPr>
      <w:r>
        <w:t>In a public-private partnership, how does the private company earn money before it hands the asset back?</w:t>
      </w:r>
    </w:p>
    <w:p w14:paraId="6973AF8B" w14:textId="77777777" w:rsidR="00F973AA" w:rsidRDefault="00250326" w:rsidP="00250326">
      <w:pPr>
        <w:pStyle w:val="Compact"/>
        <w:numPr>
          <w:ilvl w:val="0"/>
          <w:numId w:val="35"/>
        </w:numPr>
      </w:pPr>
      <w:r>
        <w:t>Why is a growing share of Japan’s public-works spending going to maintenance rather than new construction?</w:t>
      </w:r>
    </w:p>
    <w:p w14:paraId="1622557E" w14:textId="77777777" w:rsidR="00F973AA" w:rsidRDefault="00250326" w:rsidP="00250326">
      <w:pPr>
        <w:pStyle w:val="Compact"/>
        <w:numPr>
          <w:ilvl w:val="0"/>
          <w:numId w:val="35"/>
        </w:numPr>
        <w:spacing w:after="0"/>
      </w:pPr>
      <w:r>
        <w:t>Why does the reading describe blended finance as “public money used to reduce the risk”?</w:t>
      </w:r>
    </w:p>
    <w:p w14:paraId="3E368F20" w14:textId="77777777" w:rsidR="00F973AA" w:rsidRDefault="00250326">
      <w:pPr>
        <w:pStyle w:val="Heading3"/>
      </w:pPr>
      <w:bookmarkStart w:id="87" w:name="discussion-questions-11"/>
      <w:bookmarkEnd w:id="86"/>
      <w:r>
        <w:t>3.2.5. Discussion Questions</w:t>
      </w:r>
    </w:p>
    <w:p w14:paraId="4E1D9BFC" w14:textId="77777777" w:rsidR="00F973AA" w:rsidRDefault="00250326" w:rsidP="00250326">
      <w:pPr>
        <w:pStyle w:val="Compact"/>
        <w:numPr>
          <w:ilvl w:val="0"/>
          <w:numId w:val="36"/>
        </w:numPr>
      </w:pPr>
      <w:r>
        <w:t>The reading lists four sources of infrastructure funding: public budgets, PPPs, development banks, and private investors. Which do you think should carry most of the burden, and why?</w:t>
      </w:r>
    </w:p>
    <w:p w14:paraId="60F5F8D3" w14:textId="77777777" w:rsidR="00F973AA" w:rsidRDefault="00250326" w:rsidP="00250326">
      <w:pPr>
        <w:pStyle w:val="Compact"/>
        <w:numPr>
          <w:ilvl w:val="0"/>
          <w:numId w:val="36"/>
        </w:numPr>
      </w:pPr>
      <w:r>
        <w:t>PPP toll roads shift the cost from taxpayers to the people who use the road. Is that fairer, or not? Explain.</w:t>
      </w:r>
    </w:p>
    <w:p w14:paraId="57578E2B" w14:textId="77777777" w:rsidR="00F973AA" w:rsidRDefault="00250326" w:rsidP="00250326">
      <w:pPr>
        <w:pStyle w:val="Compact"/>
        <w:numPr>
          <w:ilvl w:val="0"/>
          <w:numId w:val="36"/>
        </w:numPr>
      </w:pPr>
      <w:r>
        <w:t>Japan faces a large repair bill for infrastructure built decades ago. Should a government prioritise maintaining old assets or building new ones when money is short?</w:t>
      </w:r>
    </w:p>
    <w:p w14:paraId="54F5E774" w14:textId="77777777" w:rsidR="00F973AA" w:rsidRDefault="00250326" w:rsidP="00250326">
      <w:pPr>
        <w:pStyle w:val="Compact"/>
        <w:numPr>
          <w:ilvl w:val="0"/>
          <w:numId w:val="36"/>
        </w:numPr>
      </w:pPr>
      <w:r>
        <w:t>Compare the Nairobi Expressway model with fully public construction. Give two advantages and two risks of the PPP approach.</w:t>
      </w:r>
    </w:p>
    <w:p w14:paraId="78BD3331" w14:textId="77777777" w:rsidR="00F973AA" w:rsidRDefault="00250326" w:rsidP="00250326">
      <w:pPr>
        <w:pStyle w:val="Compact"/>
        <w:numPr>
          <w:ilvl w:val="0"/>
          <w:numId w:val="36"/>
        </w:numPr>
        <w:spacing w:after="0"/>
      </w:pPr>
      <w:r>
        <w:t>Design three conditions a government should attach to any PPP contract to protect the public interest.</w:t>
      </w:r>
    </w:p>
    <w:p w14:paraId="0D61C7C7" w14:textId="77777777" w:rsidR="00F973AA" w:rsidRDefault="00250326">
      <w:pPr>
        <w:pStyle w:val="Heading3"/>
      </w:pPr>
      <w:bookmarkStart w:id="88" w:name="source-notes-11"/>
      <w:bookmarkEnd w:id="87"/>
      <w:r>
        <w:t>3.2.6. Source Notes</w:t>
      </w:r>
    </w:p>
    <w:p w14:paraId="7B39E333" w14:textId="5FF452CD" w:rsidR="00F973AA" w:rsidRDefault="00250326" w:rsidP="00250326">
      <w:pPr>
        <w:pStyle w:val="Compact"/>
        <w:numPr>
          <w:ilvl w:val="0"/>
          <w:numId w:val="37"/>
        </w:numPr>
      </w:pPr>
      <w:r>
        <w:t>Global Infrastructure Hub (G20 initiative): “Global infrastructure investment need to reach USD97 trillion by 2040”</w:t>
      </w:r>
      <w:r>
        <w:br/>
      </w:r>
      <w:hyperlink r:id="rId52">
        <w:r>
          <w:rPr>
            <w:rStyle w:val="Hyperlink"/>
          </w:rPr>
          <w:t>https://www.gihub.org/media/global-infrastructure-investment-need-to-reach-usd97-trillion-by-2040/</w:t>
        </w:r>
      </w:hyperlink>
    </w:p>
    <w:p w14:paraId="76CE076C" w14:textId="5AAEAFED" w:rsidR="00F973AA" w:rsidRDefault="00250326" w:rsidP="00250326">
      <w:pPr>
        <w:pStyle w:val="Compact"/>
        <w:numPr>
          <w:ilvl w:val="0"/>
          <w:numId w:val="37"/>
        </w:numPr>
      </w:pPr>
      <w:r>
        <w:t>American Society of Civil Engineers: “ASCE Report Card Gives U.S. Infrastructure Highest-Ever C Grade” (2025 Infrastructure Report Card), 25 March 2025</w:t>
      </w:r>
      <w:r>
        <w:br/>
      </w:r>
      <w:hyperlink r:id="rId53">
        <w:r>
          <w:rPr>
            <w:rStyle w:val="Hyperlink"/>
          </w:rPr>
          <w:t>https://www.asce.org/publications-and-news/civil-engineering-source/society-news/article/2025/03/25/asce-report-card-gives-us-infrastructure-highest-ever-c-grade</w:t>
        </w:r>
      </w:hyperlink>
    </w:p>
    <w:p w14:paraId="58FFA9A7" w14:textId="67663C47" w:rsidR="00F973AA" w:rsidRDefault="00250326" w:rsidP="00250326">
      <w:pPr>
        <w:pStyle w:val="Compact"/>
        <w:numPr>
          <w:ilvl w:val="0"/>
          <w:numId w:val="37"/>
        </w:numPr>
      </w:pPr>
      <w:r>
        <w:t>Bloomberg: “EU Faces €481 Billion Annual Shortfall on Strategic Investments,” 23 January 2024</w:t>
      </w:r>
      <w:r>
        <w:br/>
      </w:r>
      <w:hyperlink r:id="rId54">
        <w:r>
          <w:rPr>
            <w:rStyle w:val="Hyperlink"/>
          </w:rPr>
          <w:t>https://www.bloomberg.com/news/articles/2024-01-23/eu-faces-481-billion-annual-shortfall-on-strategic-investments</w:t>
        </w:r>
      </w:hyperlink>
    </w:p>
    <w:p w14:paraId="631C4967" w14:textId="5E3C8CF8" w:rsidR="00F973AA" w:rsidRDefault="00250326" w:rsidP="00250326">
      <w:pPr>
        <w:pStyle w:val="Compact"/>
        <w:numPr>
          <w:ilvl w:val="0"/>
          <w:numId w:val="37"/>
        </w:numPr>
      </w:pPr>
      <w:r>
        <w:t>Nikkei Asia: “Aging infrastructure a major roadblock to Japan’s future”</w:t>
      </w:r>
      <w:r>
        <w:br/>
      </w:r>
      <w:hyperlink r:id="rId55">
        <w:r>
          <w:rPr>
            <w:rStyle w:val="Hyperlink"/>
          </w:rPr>
          <w:t>https://asia.nikkei.com/spotlight/datawatch/aging-infrastructure-a-major-roadblock-to-japan-s-future</w:t>
        </w:r>
      </w:hyperlink>
    </w:p>
    <w:p w14:paraId="4F38D72C" w14:textId="0F1255B9" w:rsidR="00F973AA" w:rsidRDefault="00250326" w:rsidP="00250326">
      <w:pPr>
        <w:pStyle w:val="Compact"/>
        <w:numPr>
          <w:ilvl w:val="0"/>
          <w:numId w:val="37"/>
        </w:numPr>
      </w:pPr>
      <w:r>
        <w:t>South China Morning Post: “China-backed Nairobi Expressway opens in Kenya, paving way for more cautious financing model”</w:t>
      </w:r>
      <w:r>
        <w:br/>
      </w:r>
      <w:hyperlink r:id="rId56">
        <w:r>
          <w:rPr>
            <w:rStyle w:val="Hyperlink"/>
          </w:rPr>
          <w:t>https://www.scmp.com/news/china/diplomacy/article/3187354/china-backed-nairobi-expressway-opens-kenya-paving-way-more</w:t>
        </w:r>
      </w:hyperlink>
    </w:p>
    <w:p w14:paraId="52A39C42" w14:textId="41578C01" w:rsidR="00F973AA" w:rsidRDefault="00250326" w:rsidP="00250326">
      <w:pPr>
        <w:pStyle w:val="Compact"/>
        <w:numPr>
          <w:ilvl w:val="0"/>
          <w:numId w:val="37"/>
        </w:numPr>
        <w:spacing w:after="0"/>
      </w:pPr>
      <w:r>
        <w:t>World Bank Group: Annual Report 2025 — financial summary (FY2025 commitments; private capital mobilization)</w:t>
      </w:r>
      <w:r>
        <w:br/>
      </w:r>
      <w:hyperlink r:id="rId57">
        <w:r>
          <w:rPr>
            <w:rStyle w:val="Hyperlink"/>
          </w:rPr>
          <w:t>https://www.worldbank.org/en/about/annual-report/financial-summary</w:t>
        </w:r>
      </w:hyperlink>
    </w:p>
    <w:p w14:paraId="69AE71AE" w14:textId="77777777" w:rsidR="00F973AA" w:rsidRDefault="00250326">
      <w:pPr>
        <w:pStyle w:val="Heading2"/>
      </w:pPr>
      <w:bookmarkStart w:id="89" w:name="trade-policies-and-tariffs"/>
      <w:bookmarkEnd w:id="82"/>
      <w:bookmarkEnd w:id="88"/>
      <w:r>
        <w:t>3.3. Trade Policies and Tariffs</w:t>
      </w:r>
    </w:p>
    <w:p w14:paraId="644C1B04" w14:textId="77777777" w:rsidR="00F973AA" w:rsidRDefault="00250326">
      <w:pPr>
        <w:pStyle w:val="Heading3"/>
      </w:pPr>
      <w:bookmarkStart w:id="90" w:name="goal-12"/>
      <w:r>
        <w:t>3.3.1. Goal</w:t>
      </w:r>
    </w:p>
    <w:p w14:paraId="56B55D7D" w14:textId="77777777" w:rsidR="00F973AA" w:rsidRDefault="00250326">
      <w:pPr>
        <w:pStyle w:val="BodyText"/>
      </w:pPr>
      <w:r>
        <w:t>Explain who bears the cost of a tariff and how tariffs and trade agreements pull an open economy in opposite directions.</w:t>
      </w:r>
    </w:p>
    <w:p w14:paraId="06D079FA" w14:textId="77777777" w:rsidR="00F973AA" w:rsidRDefault="00250326">
      <w:pPr>
        <w:pStyle w:val="Heading3"/>
        <w:sectPr w:rsidR="00F973AA" w:rsidSect="00B75C3E">
          <w:footnotePr>
            <w:numRestart w:val="eachSect"/>
          </w:footnotePr>
          <w:type w:val="continuous"/>
          <w:pgSz w:w="11907" w:h="16840" w:code="9"/>
          <w:pgMar w:top="1134" w:right="1701" w:bottom="1134" w:left="1701" w:header="567" w:footer="454" w:gutter="0"/>
          <w:cols w:space="720"/>
        </w:sectPr>
      </w:pPr>
      <w:bookmarkStart w:id="91" w:name="reading-12"/>
      <w:bookmarkEnd w:id="90"/>
      <w:r>
        <w:t>3.3.2. Reading</w:t>
      </w:r>
    </w:p>
    <w:p w14:paraId="06E41F13" w14:textId="77777777" w:rsidR="00F973AA" w:rsidRDefault="00250326">
      <w:pPr>
        <w:pStyle w:val="articlebodytext"/>
      </w:pPr>
      <w:r>
        <w:t>Who actually pays a tariff? Legally the answer is clear: a tariff is a tax on imported goods, and the importer of record, the company bringing the goods across the border, pays it to customs, not the foreign seller [1]. Economically it is less clear. The cost can split three ways — the exporter cuts its price, the importer accepts a thinner margin, or the final buyer pays more — and studies of the tariffs the US raised sharply in 2025 disagree on the split. One Federal Reserve analysis found about 90% of th</w:t>
      </w:r>
      <w:r>
        <w:t>e cost fell on US firms and consumers [1]; another found foreign exporters absorbed close to half through lower prices [2]. This share, called the pass-through, depends on how much pricing power the exporter has.</w:t>
      </w:r>
    </w:p>
    <w:p w14:paraId="7888D8AB" w14:textId="77777777" w:rsidR="00F973AA" w:rsidRDefault="00250326">
      <w:pPr>
        <w:pStyle w:val="articlebodytext"/>
      </w:pPr>
      <w:r>
        <w:t>Those 2025 tariffs were unusually large. The average effective tariff rate rose from about 2.4% in January 2025 to a peak near 28% in the spring, then settled around 17% by the autumn, the highest level since the 1930s [3]. In February 2026 the US Supreme Court ruled the emergency law behind many of these tariffs did not authorise them; the government replaced them the same day under a different law, and the average rate fell to about 7% by mid-2026 [4].</w:t>
      </w:r>
    </w:p>
    <w:p w14:paraId="34ECFDE0" w14:textId="77777777" w:rsidR="00F973AA" w:rsidRDefault="00250326">
      <w:pPr>
        <w:pStyle w:val="articlebodytext"/>
      </w:pPr>
      <w:r>
        <w:t>Countries facing these tariffs responded in two very different ways. Japan negotiated: under a July 2025 framework, most US tariffs on Japanese goods were set at 15%, down from a threatened 25%, with cars cut from 25% to 15%. In exchange, Japan pledged up to US$550 billion of investment in US industries such as semiconductors and energy by 2029 [5].</w:t>
      </w:r>
    </w:p>
    <w:p w14:paraId="02D447A1" w14:textId="77777777" w:rsidR="00F973AA" w:rsidRDefault="00250326">
      <w:pPr>
        <w:pStyle w:val="articlebodytext"/>
      </w:pPr>
      <w:r>
        <w:t>India did not get a deal. In August 2025 the US placed a combined 50% tariff on Indian goods: a standard rate plus a 25% penalty tied to India’s purchases of discounted Russian oil. It hit an estimated US$48 billion of exports, and India’s government called it “unfair, unjustified and unreasonable” [6]. The same tool, a border tax on imports, was used in one case as a bargaining chip and in the other as a punishment.</w:t>
      </w:r>
    </w:p>
    <w:p w14:paraId="24CCA962" w14:textId="77777777" w:rsidR="00F973AA" w:rsidRDefault="00250326">
      <w:pPr>
        <w:pStyle w:val="articlebodytext"/>
        <w:sectPr w:rsidR="00F973AA" w:rsidSect="00B75C3E">
          <w:footnotePr>
            <w:numRestart w:val="eachSect"/>
          </w:footnotePr>
          <w:type w:val="continuous"/>
          <w:pgSz w:w="11907" w:h="16840" w:code="9"/>
          <w:pgMar w:top="1134" w:right="1701" w:bottom="1134" w:left="1701" w:header="567" w:footer="454" w:gutter="0"/>
          <w:cols w:num="2" w:space="567"/>
        </w:sectPr>
      </w:pPr>
      <w:r>
        <w:t>Japan’s exposure explains why it bargained hard. In 2025 the US became Japan’s largest export market, taking about 18.6% of its exports, cars the single biggest category [5]. A tariff is a barrier a government can raise at will; a free trade agreement does the opposite, a standing promise to keep barriers low. Japan belongs to one such agreement, the CPTPP, which since 2018 has removed tariffs on about 95% of goods traded among its members, well below the standard most-favoured-nation (MFN) tariff each woul</w:t>
      </w:r>
      <w:r>
        <w:t>d otherwise charge [7]. None of the 2025 rates stayed fixed — levels moved repeatedly, and the US-China rate briefly rose above 100% [3] — and for an economy sending nearly a fifth of its exports to one market, that unpredictability is itself a cost.</w:t>
      </w:r>
    </w:p>
    <w:p w14:paraId="5A8AC96D" w14:textId="77777777" w:rsidR="00F973AA" w:rsidRDefault="00250326">
      <w:pPr>
        <w:pStyle w:val="Heading3"/>
      </w:pPr>
      <w:bookmarkStart w:id="92" w:name="vocabulary-focus-12"/>
      <w:bookmarkEnd w:id="91"/>
      <w:r>
        <w:t>3.3.3. Vocabulary Focus</w:t>
      </w:r>
    </w:p>
    <w:p w14:paraId="195E4D9E" w14:textId="77777777" w:rsidR="00F973AA" w:rsidRDefault="00250326">
      <w:pPr>
        <w:pStyle w:val="FirstParagraph"/>
      </w:pPr>
      <w:r>
        <w:t>tariff, importer of record, pass-through, most-favoured-nation (MFN) tariff, free trade agreement, effective tariff rate</w:t>
      </w:r>
    </w:p>
    <w:p w14:paraId="51D452E8" w14:textId="77777777" w:rsidR="00F973AA" w:rsidRDefault="00250326">
      <w:pPr>
        <w:pStyle w:val="Heading3"/>
      </w:pPr>
      <w:bookmarkStart w:id="93" w:name="reading-questions-12"/>
      <w:bookmarkEnd w:id="92"/>
      <w:r>
        <w:t>3.3.4. Reading Questions</w:t>
      </w:r>
    </w:p>
    <w:p w14:paraId="597D6413" w14:textId="77777777" w:rsidR="00F973AA" w:rsidRDefault="00250326" w:rsidP="00250326">
      <w:pPr>
        <w:pStyle w:val="Compact"/>
        <w:numPr>
          <w:ilvl w:val="0"/>
          <w:numId w:val="38"/>
        </w:numPr>
      </w:pPr>
      <w:r>
        <w:t>Who is legally responsible for paying a tariff, and why does the reading say the economic cost is “less clear”?</w:t>
      </w:r>
    </w:p>
    <w:p w14:paraId="3A7505EB" w14:textId="77777777" w:rsidR="00F973AA" w:rsidRDefault="00250326" w:rsidP="00250326">
      <w:pPr>
        <w:pStyle w:val="Compact"/>
        <w:numPr>
          <w:ilvl w:val="0"/>
          <w:numId w:val="38"/>
        </w:numPr>
      </w:pPr>
      <w:r>
        <w:t>By how much did the average US effective tariff rate change between January 2025 and the autumn of 2025?</w:t>
      </w:r>
    </w:p>
    <w:p w14:paraId="3670DA1E" w14:textId="77777777" w:rsidR="00F973AA" w:rsidRDefault="00250326" w:rsidP="00250326">
      <w:pPr>
        <w:pStyle w:val="Compact"/>
        <w:numPr>
          <w:ilvl w:val="0"/>
          <w:numId w:val="38"/>
        </w:numPr>
      </w:pPr>
      <w:r>
        <w:t>What did Japan agree to give in exchange for lower US tariffs?</w:t>
      </w:r>
    </w:p>
    <w:p w14:paraId="226C9142" w14:textId="77777777" w:rsidR="00F973AA" w:rsidRDefault="00250326" w:rsidP="00250326">
      <w:pPr>
        <w:pStyle w:val="Compact"/>
        <w:numPr>
          <w:ilvl w:val="0"/>
          <w:numId w:val="38"/>
        </w:numPr>
      </w:pPr>
      <w:r>
        <w:t>Why did the US place a combined 50% tariff on Indian goods?</w:t>
      </w:r>
    </w:p>
    <w:p w14:paraId="3A0D5B15" w14:textId="77777777" w:rsidR="00F973AA" w:rsidRDefault="00250326" w:rsidP="00250326">
      <w:pPr>
        <w:pStyle w:val="Compact"/>
        <w:numPr>
          <w:ilvl w:val="0"/>
          <w:numId w:val="38"/>
        </w:numPr>
        <w:spacing w:after="0"/>
      </w:pPr>
      <w:r>
        <w:t>What does the reading mean when it calls a free trade agreement “a standing promise to keep barriers low”?</w:t>
      </w:r>
    </w:p>
    <w:p w14:paraId="2D6C00C2" w14:textId="77777777" w:rsidR="00F973AA" w:rsidRDefault="00250326">
      <w:pPr>
        <w:pStyle w:val="Heading3"/>
      </w:pPr>
      <w:bookmarkStart w:id="94" w:name="discussion-questions-12"/>
      <w:bookmarkEnd w:id="93"/>
      <w:r>
        <w:t>3.3.5. Discussion Questions</w:t>
      </w:r>
    </w:p>
    <w:p w14:paraId="2365DAEF" w14:textId="77777777" w:rsidR="00F973AA" w:rsidRDefault="00250326" w:rsidP="00250326">
      <w:pPr>
        <w:pStyle w:val="Compact"/>
        <w:numPr>
          <w:ilvl w:val="0"/>
          <w:numId w:val="39"/>
        </w:numPr>
      </w:pPr>
      <w:r>
        <w:t>The reading says a tariff’s cost is shared between exporter, importer and buyer. Who do you think ends up paying most in practice, and why?</w:t>
      </w:r>
    </w:p>
    <w:p w14:paraId="158CCF1B" w14:textId="77777777" w:rsidR="00F973AA" w:rsidRDefault="00250326" w:rsidP="00250326">
      <w:pPr>
        <w:pStyle w:val="Compact"/>
        <w:numPr>
          <w:ilvl w:val="0"/>
          <w:numId w:val="39"/>
        </w:numPr>
      </w:pPr>
      <w:r>
        <w:t>The same tariff tool was used against Japan as a bargaining chip and against India as a punishment. Is it reasonable for a country to use trade taxes this way? Explain.</w:t>
      </w:r>
    </w:p>
    <w:p w14:paraId="55F1EED6" w14:textId="77777777" w:rsidR="00F973AA" w:rsidRDefault="00250326" w:rsidP="00250326">
      <w:pPr>
        <w:pStyle w:val="Compact"/>
        <w:numPr>
          <w:ilvl w:val="0"/>
          <w:numId w:val="39"/>
        </w:numPr>
      </w:pPr>
      <w:r>
        <w:t>Japan sends nearly a fifth of its exports to the US. What are the risks of depending so heavily on one market, and what could Japan do to reduce them?</w:t>
      </w:r>
    </w:p>
    <w:p w14:paraId="3D647224" w14:textId="77777777" w:rsidR="00F973AA" w:rsidRDefault="00250326" w:rsidP="00250326">
      <w:pPr>
        <w:pStyle w:val="Compact"/>
        <w:numPr>
          <w:ilvl w:val="0"/>
          <w:numId w:val="39"/>
        </w:numPr>
      </w:pPr>
      <w:r>
        <w:t>Compare a tariff with a free trade agreement as ways of managing trade. Which serves a mid-sized exporting economy better?</w:t>
      </w:r>
    </w:p>
    <w:p w14:paraId="517BA638" w14:textId="77777777" w:rsidR="00F973AA" w:rsidRDefault="00250326" w:rsidP="00250326">
      <w:pPr>
        <w:pStyle w:val="Compact"/>
        <w:numPr>
          <w:ilvl w:val="0"/>
          <w:numId w:val="39"/>
        </w:numPr>
        <w:spacing w:after="0"/>
      </w:pPr>
      <w:r>
        <w:t>Advise a manufacturer that exports to the US on three ways to protect its business against sudden tariff changes.</w:t>
      </w:r>
    </w:p>
    <w:p w14:paraId="0FA495B4" w14:textId="77777777" w:rsidR="00F973AA" w:rsidRDefault="00250326">
      <w:pPr>
        <w:pStyle w:val="Heading3"/>
      </w:pPr>
      <w:bookmarkStart w:id="95" w:name="source-notes-12"/>
      <w:bookmarkEnd w:id="94"/>
      <w:r>
        <w:t>3.3.6. Source Notes</w:t>
      </w:r>
    </w:p>
    <w:p w14:paraId="380FC853" w14:textId="4364ABDA" w:rsidR="00F973AA" w:rsidRDefault="00250326" w:rsidP="00250326">
      <w:pPr>
        <w:pStyle w:val="Compact"/>
        <w:numPr>
          <w:ilvl w:val="0"/>
          <w:numId w:val="40"/>
        </w:numPr>
      </w:pPr>
      <w:r>
        <w:t xml:space="preserve">Federal Reserve Bank of New York, Liberty Street Economics: “Who Is Paying for the 2025 U.S. Tariffs?” </w:t>
      </w:r>
      <w:r>
        <w:t>(February 2026)</w:t>
      </w:r>
      <w:r>
        <w:br/>
      </w:r>
      <w:hyperlink r:id="rId58">
        <w:r>
          <w:rPr>
            <w:rStyle w:val="Hyperlink"/>
          </w:rPr>
          <w:t>https://libertystreeteconomics.newyorkfed.org/2026/02/who-is-paying-for-the-2025-u-s-tariffs/</w:t>
        </w:r>
      </w:hyperlink>
    </w:p>
    <w:p w14:paraId="5084D8E4" w14:textId="0E6DB5A2" w:rsidR="00F973AA" w:rsidRDefault="00250326" w:rsidP="00250326">
      <w:pPr>
        <w:pStyle w:val="Compact"/>
        <w:numPr>
          <w:ilvl w:val="0"/>
          <w:numId w:val="40"/>
        </w:numPr>
      </w:pPr>
      <w:r>
        <w:t>Caroline Freund, CEPR / VoxEU: “Foreign exporters absorbed nearly half of the 2025 US tariff shock” (2026; CEPR Discussion Paper 21798)</w:t>
      </w:r>
      <w:r>
        <w:br/>
      </w:r>
      <w:hyperlink r:id="rId59">
        <w:r>
          <w:rPr>
            <w:rStyle w:val="Hyperlink"/>
          </w:rPr>
          <w:t>https://cepr.org/voxeu/columns/foreign-exporters-absorbed-nearly-half-2025-us-tariff-shock</w:t>
        </w:r>
      </w:hyperlink>
    </w:p>
    <w:p w14:paraId="13817A46" w14:textId="53DE0660" w:rsidR="00F973AA" w:rsidRDefault="00250326" w:rsidP="00250326">
      <w:pPr>
        <w:pStyle w:val="Compact"/>
        <w:numPr>
          <w:ilvl w:val="0"/>
          <w:numId w:val="40"/>
        </w:numPr>
      </w:pPr>
      <w:r>
        <w:t>Yale Budget Lab: “State of U.S. Tariffs” (October 17, 2025 edition)</w:t>
      </w:r>
      <w:r>
        <w:br/>
      </w:r>
      <w:hyperlink r:id="rId60">
        <w:r>
          <w:rPr>
            <w:rStyle w:val="Hyperlink"/>
          </w:rPr>
          <w:t>https://budgetlab.yale.edu/research/state-us-tariffs-october-17-2025</w:t>
        </w:r>
      </w:hyperlink>
    </w:p>
    <w:p w14:paraId="693C81EE" w14:textId="3CD83E9A" w:rsidR="00F973AA" w:rsidRDefault="00250326" w:rsidP="00250326">
      <w:pPr>
        <w:pStyle w:val="Compact"/>
        <w:numPr>
          <w:ilvl w:val="0"/>
          <w:numId w:val="40"/>
        </w:numPr>
      </w:pPr>
      <w:r>
        <w:t>Congressional Research Service: “Supreme Court Rules Against Tariffs Imposed Under the International Emergency Economic Powers Act (IEEPA)” (LSB11398)</w:t>
      </w:r>
      <w:r>
        <w:br/>
      </w:r>
      <w:hyperlink r:id="rId61">
        <w:r>
          <w:rPr>
            <w:rStyle w:val="Hyperlink"/>
          </w:rPr>
          <w:t>https://www.congress.gov/crs-product/LSB11398</w:t>
        </w:r>
      </w:hyperlink>
    </w:p>
    <w:p w14:paraId="515171A2" w14:textId="783A0B9B" w:rsidR="00F973AA" w:rsidRDefault="00250326" w:rsidP="00250326">
      <w:pPr>
        <w:pStyle w:val="Compact"/>
        <w:numPr>
          <w:ilvl w:val="0"/>
          <w:numId w:val="40"/>
        </w:numPr>
      </w:pPr>
      <w:r>
        <w:t>Congressional Research Service: “U.S. Tariffs and the 2025 U.S.-Japan Framework Agreement” (IN12608)</w:t>
      </w:r>
      <w:r>
        <w:br/>
      </w:r>
      <w:hyperlink r:id="rId62">
        <w:r>
          <w:rPr>
            <w:rStyle w:val="Hyperlink"/>
          </w:rPr>
          <w:t>https://www.congress.gov/crs-product/IN12608</w:t>
        </w:r>
      </w:hyperlink>
    </w:p>
    <w:p w14:paraId="3C813C74" w14:textId="49E54760" w:rsidR="00F973AA" w:rsidRDefault="00250326" w:rsidP="00250326">
      <w:pPr>
        <w:pStyle w:val="Compact"/>
        <w:numPr>
          <w:ilvl w:val="0"/>
          <w:numId w:val="40"/>
        </w:numPr>
      </w:pPr>
      <w:r>
        <w:t>Al Jazeera: “US raises India tariffs to 50 percent over Russian oil purchases,” 27 August 2025</w:t>
      </w:r>
      <w:r>
        <w:br/>
      </w:r>
      <w:hyperlink r:id="rId63">
        <w:r>
          <w:rPr>
            <w:rStyle w:val="Hyperlink"/>
          </w:rPr>
          <w:t>https://www.aljazeera.com/news/2025/8/27/us-imposes-50-percent-tariff-on-india-over-russian-oil-purchases</w:t>
        </w:r>
      </w:hyperlink>
    </w:p>
    <w:p w14:paraId="44F8F77F" w14:textId="421CEC63" w:rsidR="00F973AA" w:rsidRDefault="00250326" w:rsidP="00250326">
      <w:pPr>
        <w:pStyle w:val="Compact"/>
        <w:numPr>
          <w:ilvl w:val="0"/>
          <w:numId w:val="40"/>
        </w:numPr>
        <w:spacing w:after="0"/>
      </w:pPr>
      <w:r>
        <w:t>Japan Customs: “Outline of the Comprehensive and Progressive Agreement for Trans-Pacific Partnership (CPTPP) (FAQ)”</w:t>
      </w:r>
      <w:r>
        <w:br/>
      </w:r>
      <w:hyperlink r:id="rId64">
        <w:r>
          <w:rPr>
            <w:rStyle w:val="Hyperlink"/>
          </w:rPr>
          <w:t>https://www.customs.go.jp/english/c-answer_e/keizairenkei/4052_e.htm</w:t>
        </w:r>
      </w:hyperlink>
    </w:p>
    <w:p w14:paraId="1E3B964F" w14:textId="77777777" w:rsidR="00F973AA" w:rsidRDefault="00250326">
      <w:pPr>
        <w:pStyle w:val="Heading2"/>
      </w:pPr>
      <w:bookmarkStart w:id="96" w:name="pension-reform"/>
      <w:bookmarkEnd w:id="89"/>
      <w:bookmarkEnd w:id="95"/>
      <w:r>
        <w:t>3.4. Pension Reform</w:t>
      </w:r>
    </w:p>
    <w:p w14:paraId="6F022000" w14:textId="77777777" w:rsidR="00F973AA" w:rsidRDefault="00250326">
      <w:pPr>
        <w:pStyle w:val="Heading3"/>
      </w:pPr>
      <w:bookmarkStart w:id="97" w:name="goal-13"/>
      <w:r>
        <w:t>3.4.1. Goal</w:t>
      </w:r>
    </w:p>
    <w:p w14:paraId="3F928EE5" w14:textId="77777777" w:rsidR="00F973AA" w:rsidRDefault="00250326">
      <w:pPr>
        <w:pStyle w:val="BodyText"/>
      </w:pPr>
      <w:r>
        <w:t>Explain why ageing populations force governments to change public pension systems, and compare the main levers they use.</w:t>
      </w:r>
    </w:p>
    <w:p w14:paraId="7480BA6F" w14:textId="77777777" w:rsidR="00F973AA" w:rsidRDefault="00250326">
      <w:pPr>
        <w:pStyle w:val="Heading3"/>
        <w:sectPr w:rsidR="00F973AA" w:rsidSect="00B75C3E">
          <w:footnotePr>
            <w:numRestart w:val="eachSect"/>
          </w:footnotePr>
          <w:type w:val="continuous"/>
          <w:pgSz w:w="11907" w:h="16840" w:code="9"/>
          <w:pgMar w:top="1134" w:right="1701" w:bottom="1134" w:left="1701" w:header="567" w:footer="454" w:gutter="0"/>
          <w:cols w:space="720"/>
        </w:sectPr>
      </w:pPr>
      <w:bookmarkStart w:id="98" w:name="reading-13"/>
      <w:bookmarkEnd w:id="97"/>
      <w:r>
        <w:t>3.4.2. Reading</w:t>
      </w:r>
    </w:p>
    <w:p w14:paraId="097D2CF6" w14:textId="77777777" w:rsidR="00F973AA" w:rsidRDefault="00250326">
      <w:pPr>
        <w:pStyle w:val="articlebodytext"/>
      </w:pPr>
      <w:r>
        <w:t>In April 2023, after months of strikes, France passed a law raising its minimum retirement age from 62 to 64, phased in by year of birth [1]. It was meant to be complete by 2030. Instead, in late 2025, under budget pressure and renewed protests, France’s parliament suspended the increase until after the 2027 election, freezing the minimum age at 62 years and 9 months [1]. Even pausing a reform has a cost, and France’s stop-start attempt shows how hard this lever is to pull.</w:t>
      </w:r>
    </w:p>
    <w:p w14:paraId="22329DEE" w14:textId="77777777" w:rsidR="00F973AA" w:rsidRDefault="00250326">
      <w:pPr>
        <w:pStyle w:val="articlebodytext"/>
      </w:pPr>
      <w:r>
        <w:t>Most public pensions are pay-as-you-go: today’s workers’ contributions pay today’s retirees, with little capital saved in advance. A funded system instead invests contributions ahead of time, often in government bonds and shares. When retirees grow faster than workers, a pay-as-you-go system’s sums stop balancing. Governments then have four levers: raise the retirement age, raise the contribution rate, cut the benefit formula, or bring more people into the system.</w:t>
      </w:r>
    </w:p>
    <w:p w14:paraId="0AE16EA8" w14:textId="77777777" w:rsidR="00F973AA" w:rsidRDefault="00250326">
      <w:pPr>
        <w:pStyle w:val="articlebodytext"/>
      </w:pPr>
      <w:r>
        <w:t>The United States acted early and then stalled. In 1983 it raised the statutory full retirement age from 65 to 67, a change still phasing in today [2], and no major reform has followed. Its main retirement trust fund is now projected to run down in late 2032, after which payroll taxes would cover only about 78% of promised benefits unless Congress acts [2].</w:t>
      </w:r>
    </w:p>
    <w:p w14:paraId="055EE98B" w14:textId="77777777" w:rsidR="00F973AA" w:rsidRDefault="00250326">
      <w:pPr>
        <w:pStyle w:val="articlebodytext"/>
      </w:pPr>
      <w:r>
        <w:t>South Korea pulled a different lever. In March 2025 its National Assembly approved the first increase in the pension contribution rate in nearly three decades, raising it in yearly steps from 9% of wages toward 13% by 2033 [3]. Raising contributions spreads the cost onto today’s workers rather than delaying their retirement, but it is politically easier to pass than a higher pension age.</w:t>
      </w:r>
    </w:p>
    <w:p w14:paraId="25322A0D" w14:textId="77777777" w:rsidR="00F973AA" w:rsidRDefault="00250326">
      <w:pPr>
        <w:pStyle w:val="articlebodytext"/>
      </w:pPr>
      <w:r>
        <w:t xml:space="preserve">Japan has been adjusting continuously for 30 years. It legislated a rise in the pension age from 60 to 65 in the 1990s, only finishing the phase-in for men in 2025, and lifted the contribution rate to a fixed 18.3% of salary by 2017. Since 2004 an automatic mechanism, nicknamed the “macroeconomic slide,” </w:t>
      </w:r>
      <w:r>
        <w:t>quietly trims benefit growth as the workforce shrinks. The replacement rate — pension income as a share of working-age income — is projected to fall from about 61% now toward a legal floor of 50% by 2057 [4]. Its most recent reform, in 2025, uses the fourth lever: widening coverage to draw an estimated 1.8 million more part-time workers into the system [5].</w:t>
      </w:r>
    </w:p>
    <w:p w14:paraId="1084032D" w14:textId="77777777" w:rsidR="00F973AA" w:rsidRDefault="00250326">
      <w:pPr>
        <w:pStyle w:val="articlebodytext"/>
        <w:sectPr w:rsidR="00F973AA" w:rsidSect="00B75C3E">
          <w:footnotePr>
            <w:numRestart w:val="eachSect"/>
          </w:footnotePr>
          <w:type w:val="continuous"/>
          <w:pgSz w:w="11907" w:h="16840" w:code="9"/>
          <w:pgMar w:top="1134" w:right="1701" w:bottom="1134" w:left="1701" w:header="567" w:footer="454" w:gutter="0"/>
          <w:cols w:num="2" w:space="567"/>
        </w:sectPr>
      </w:pPr>
      <w:r>
        <w:t>The pressure behind all these changes is the same. That measure, the old-age dependency ratio, stood at 33 people aged 65 or older for every 100 of working age across the OECD in 2025, up from 22 in 2000, and is projected to reach 52 by 2050 [6]. The retirement age is the lever that matches that arithmetic most directly, and the one governments find hardest to hold in place, as France has just shown.</w:t>
      </w:r>
    </w:p>
    <w:p w14:paraId="337A8FA5" w14:textId="77777777" w:rsidR="00F973AA" w:rsidRDefault="00250326">
      <w:pPr>
        <w:pStyle w:val="Heading3"/>
      </w:pPr>
      <w:bookmarkStart w:id="99" w:name="vocabulary-focus-13"/>
      <w:bookmarkEnd w:id="98"/>
      <w:r>
        <w:t>3.4.3. Vocabulary Focus</w:t>
      </w:r>
    </w:p>
    <w:p w14:paraId="7FE56C8D" w14:textId="77777777" w:rsidR="00F973AA" w:rsidRDefault="00250326">
      <w:pPr>
        <w:pStyle w:val="FirstParagraph"/>
      </w:pPr>
      <w:r>
        <w:t>pay-as-you-go (PAYG), statutory retirement age, contribution rate, replacement rate, old-age dependency ratio, automatic adjustment mechanism</w:t>
      </w:r>
    </w:p>
    <w:p w14:paraId="1F826598" w14:textId="77777777" w:rsidR="00F973AA" w:rsidRDefault="00250326">
      <w:pPr>
        <w:pStyle w:val="Heading3"/>
      </w:pPr>
      <w:bookmarkStart w:id="100" w:name="reading-questions-13"/>
      <w:bookmarkEnd w:id="99"/>
      <w:r>
        <w:t>3.4.4. Reading Questions</w:t>
      </w:r>
    </w:p>
    <w:p w14:paraId="6880422C" w14:textId="77777777" w:rsidR="00F973AA" w:rsidRDefault="00250326" w:rsidP="00250326">
      <w:pPr>
        <w:pStyle w:val="Compact"/>
        <w:numPr>
          <w:ilvl w:val="0"/>
          <w:numId w:val="41"/>
        </w:numPr>
      </w:pPr>
      <w:r>
        <w:t>What did France do to its retirement age in 2023, and what happened to that change in 2025?</w:t>
      </w:r>
    </w:p>
    <w:p w14:paraId="1B77768A" w14:textId="77777777" w:rsidR="00F973AA" w:rsidRDefault="00250326" w:rsidP="00250326">
      <w:pPr>
        <w:pStyle w:val="Compact"/>
        <w:numPr>
          <w:ilvl w:val="0"/>
          <w:numId w:val="41"/>
        </w:numPr>
      </w:pPr>
      <w:r>
        <w:t>What are the four levers governments can use when a pension system’s finances stop balancing?</w:t>
      </w:r>
    </w:p>
    <w:p w14:paraId="510B5CD4" w14:textId="77777777" w:rsidR="00F973AA" w:rsidRDefault="00250326" w:rsidP="00250326">
      <w:pPr>
        <w:pStyle w:val="Compact"/>
        <w:numPr>
          <w:ilvl w:val="0"/>
          <w:numId w:val="41"/>
        </w:numPr>
      </w:pPr>
      <w:r>
        <w:t>What is projected to happen to the main US retirement trust fund in late 2032?</w:t>
      </w:r>
    </w:p>
    <w:p w14:paraId="3BF522E8" w14:textId="77777777" w:rsidR="00F973AA" w:rsidRDefault="00250326" w:rsidP="00250326">
      <w:pPr>
        <w:pStyle w:val="Compact"/>
        <w:numPr>
          <w:ilvl w:val="0"/>
          <w:numId w:val="41"/>
        </w:numPr>
      </w:pPr>
      <w:r>
        <w:t xml:space="preserve">Why does the reading say raising contributions is “politically easier” </w:t>
      </w:r>
      <w:r>
        <w:t>than raising the pension age?</w:t>
      </w:r>
    </w:p>
    <w:p w14:paraId="4648FBB7" w14:textId="77777777" w:rsidR="00F973AA" w:rsidRDefault="00250326" w:rsidP="00250326">
      <w:pPr>
        <w:pStyle w:val="Compact"/>
        <w:numPr>
          <w:ilvl w:val="0"/>
          <w:numId w:val="41"/>
        </w:numPr>
        <w:spacing w:after="0"/>
      </w:pPr>
      <w:r>
        <w:t>What does Japan’s “macroeconomic slide” do?</w:t>
      </w:r>
    </w:p>
    <w:p w14:paraId="78ED88B9" w14:textId="77777777" w:rsidR="00F973AA" w:rsidRDefault="00250326">
      <w:pPr>
        <w:pStyle w:val="Heading3"/>
      </w:pPr>
      <w:bookmarkStart w:id="101" w:name="discussion-questions-13"/>
      <w:bookmarkEnd w:id="100"/>
      <w:r>
        <w:t>3.4.5. Discussion Questions</w:t>
      </w:r>
    </w:p>
    <w:p w14:paraId="4BA31AF7" w14:textId="77777777" w:rsidR="00F973AA" w:rsidRDefault="00250326" w:rsidP="00250326">
      <w:pPr>
        <w:pStyle w:val="Compact"/>
        <w:numPr>
          <w:ilvl w:val="0"/>
          <w:numId w:val="42"/>
        </w:numPr>
      </w:pPr>
      <w:r>
        <w:t>Of the four levers — higher retirement age, higher contributions, lower benefits, wider coverage — which is fairest for spreading the cost of an ageing population? Explain.</w:t>
      </w:r>
    </w:p>
    <w:p w14:paraId="4B4E5603" w14:textId="77777777" w:rsidR="00F973AA" w:rsidRDefault="00250326" w:rsidP="00250326">
      <w:pPr>
        <w:pStyle w:val="Compact"/>
        <w:numPr>
          <w:ilvl w:val="0"/>
          <w:numId w:val="42"/>
        </w:numPr>
      </w:pPr>
      <w:r>
        <w:t>France raised its retirement age and then suspended the rise within two years. What does this suggest about how pension reform should be planned and explained to the public?</w:t>
      </w:r>
    </w:p>
    <w:p w14:paraId="17469A97" w14:textId="77777777" w:rsidR="00F973AA" w:rsidRDefault="00250326" w:rsidP="00250326">
      <w:pPr>
        <w:pStyle w:val="Compact"/>
        <w:numPr>
          <w:ilvl w:val="0"/>
          <w:numId w:val="42"/>
        </w:numPr>
      </w:pPr>
      <w:r>
        <w:t>Japan uses an automatic mechanism that trims benefit growth without a new law each time. Is it a good idea to take these decisions out of politicians’ hands? Give reasons.</w:t>
      </w:r>
    </w:p>
    <w:p w14:paraId="0AA5631B" w14:textId="77777777" w:rsidR="00F973AA" w:rsidRDefault="00250326" w:rsidP="00250326">
      <w:pPr>
        <w:pStyle w:val="Compact"/>
        <w:numPr>
          <w:ilvl w:val="0"/>
          <w:numId w:val="42"/>
        </w:numPr>
      </w:pPr>
      <w:r>
        <w:t>Compare the US approach (one large reform in 1983, little since) with Japan’s approach (continuous small adjustments). Which is better for a pension system’s stability?</w:t>
      </w:r>
    </w:p>
    <w:p w14:paraId="05D7CAE5" w14:textId="77777777" w:rsidR="00F973AA" w:rsidRDefault="00250326" w:rsidP="00250326">
      <w:pPr>
        <w:pStyle w:val="Compact"/>
        <w:numPr>
          <w:ilvl w:val="0"/>
          <w:numId w:val="42"/>
        </w:numPr>
        <w:spacing w:after="0"/>
      </w:pPr>
      <w:r>
        <w:t>Advise a government whose pension fund is projected to run dry within ten years on a package of two or three measures it should take now, and say why.</w:t>
      </w:r>
    </w:p>
    <w:p w14:paraId="428F5CA0" w14:textId="77777777" w:rsidR="00F973AA" w:rsidRDefault="00250326">
      <w:pPr>
        <w:pStyle w:val="Heading3"/>
      </w:pPr>
      <w:bookmarkStart w:id="102" w:name="source-notes-13"/>
      <w:bookmarkEnd w:id="101"/>
      <w:r>
        <w:t>3.4.6. Source Notes</w:t>
      </w:r>
    </w:p>
    <w:p w14:paraId="10E15120" w14:textId="654864F9" w:rsidR="00F973AA" w:rsidRDefault="00250326" w:rsidP="00250326">
      <w:pPr>
        <w:pStyle w:val="Compact"/>
        <w:numPr>
          <w:ilvl w:val="0"/>
          <w:numId w:val="43"/>
        </w:numPr>
      </w:pPr>
      <w:r>
        <w:t>U.S. Social Security Administration: “International Update,” June 2023 (France’s 2023 pension reform)</w:t>
      </w:r>
      <w:r>
        <w:br/>
      </w:r>
      <w:hyperlink r:id="rId65">
        <w:r>
          <w:rPr>
            <w:rStyle w:val="Hyperlink"/>
          </w:rPr>
          <w:t>https://www.ssa.gov/policy/docs/progdesc/intl_update/2023-06/index.html</w:t>
        </w:r>
      </w:hyperlink>
    </w:p>
    <w:p w14:paraId="2EF1FACA" w14:textId="06EF44F8" w:rsidR="00F973AA" w:rsidRDefault="00250326" w:rsidP="00250326">
      <w:pPr>
        <w:pStyle w:val="Compact"/>
        <w:numPr>
          <w:ilvl w:val="0"/>
          <w:numId w:val="43"/>
        </w:numPr>
      </w:pPr>
      <w:r>
        <w:t>U.S. Social Security Administration: press release on the 2026 Social Security Trustees Report, 9 June 2026</w:t>
      </w:r>
      <w:r>
        <w:br/>
      </w:r>
      <w:hyperlink r:id="rId66">
        <w:r>
          <w:rPr>
            <w:rStyle w:val="Hyperlink"/>
          </w:rPr>
          <w:t>https://www.ssa.gov/news/en/press/releases/2026-06-09.html</w:t>
        </w:r>
      </w:hyperlink>
    </w:p>
    <w:p w14:paraId="142ED9C6" w14:textId="3560A83F" w:rsidR="00F973AA" w:rsidRDefault="00250326" w:rsidP="00250326">
      <w:pPr>
        <w:pStyle w:val="Compact"/>
        <w:numPr>
          <w:ilvl w:val="0"/>
          <w:numId w:val="43"/>
        </w:numPr>
      </w:pPr>
      <w:r>
        <w:t>The Korea Herald: “Assembly passes bill for first hike in pension payments in 28 years,” 20 March 2025</w:t>
      </w:r>
      <w:r>
        <w:br/>
      </w:r>
      <w:hyperlink r:id="rId67">
        <w:r>
          <w:rPr>
            <w:rStyle w:val="Hyperlink"/>
          </w:rPr>
          <w:t>https://www.koreaherald.com/article/10446290</w:t>
        </w:r>
      </w:hyperlink>
    </w:p>
    <w:p w14:paraId="646531DB" w14:textId="5E9C7611" w:rsidR="00F973AA" w:rsidRDefault="00250326" w:rsidP="00250326">
      <w:pPr>
        <w:pStyle w:val="Compact"/>
        <w:numPr>
          <w:ilvl w:val="0"/>
          <w:numId w:val="43"/>
        </w:numPr>
      </w:pPr>
      <w:r>
        <w:t>The Japan Times: “Japan public pension benefit rate seen falling to 50% in fiscal 2057,” 3 July 2024</w:t>
      </w:r>
      <w:r>
        <w:br/>
      </w:r>
      <w:hyperlink r:id="rId68">
        <w:r>
          <w:rPr>
            <w:rStyle w:val="Hyperlink"/>
          </w:rPr>
          <w:t>https://www.japantimes.co.jp/news/2024/07/03/japan/society/pension-funds/</w:t>
        </w:r>
      </w:hyperlink>
    </w:p>
    <w:p w14:paraId="19368FDA" w14:textId="12B9B159" w:rsidR="00F973AA" w:rsidRDefault="00250326" w:rsidP="00250326">
      <w:pPr>
        <w:pStyle w:val="Compact"/>
        <w:numPr>
          <w:ilvl w:val="0"/>
          <w:numId w:val="43"/>
        </w:numPr>
      </w:pPr>
      <w:r>
        <w:t>Ministry of Health, Labour and Welfare, Japan: “Overview of the 2025 Pension System Reform Act” (English summary)</w:t>
      </w:r>
      <w:r>
        <w:br/>
      </w:r>
      <w:hyperlink r:id="rId69">
        <w:r>
          <w:rPr>
            <w:rStyle w:val="Hyperlink"/>
          </w:rPr>
          <w:t>https://www.mhlw.go.jp/english/policy/pension/pension/dl/act_250926a.pdf</w:t>
        </w:r>
      </w:hyperlink>
    </w:p>
    <w:p w14:paraId="5D396A3F" w14:textId="2B369776" w:rsidR="00F973AA" w:rsidRDefault="00250326" w:rsidP="00250326">
      <w:pPr>
        <w:pStyle w:val="Compact"/>
        <w:numPr>
          <w:ilvl w:val="0"/>
          <w:numId w:val="43"/>
        </w:numPr>
        <w:spacing w:after="0"/>
      </w:pPr>
      <w:r>
        <w:t>OECD: “Pensions at a Glance 2025” — demographic old-age to working-age ratio</w:t>
      </w:r>
      <w:r>
        <w:br/>
      </w:r>
      <w:hyperlink r:id="rId70">
        <w:r>
          <w:rPr>
            <w:rStyle w:val="Hyperlink"/>
          </w:rPr>
          <w:t>https://www.oecd.org/en/publications/2025/11/pensions-at-a-glance-2025_76510fe4/full-report/demographic-old-age-to-working-age-ratio_25476b96.html</w:t>
        </w:r>
      </w:hyperlink>
    </w:p>
    <w:p w14:paraId="7EADDABC" w14:textId="77777777" w:rsidR="00F973AA" w:rsidRDefault="00250326">
      <w:pPr>
        <w:pStyle w:val="Heading2"/>
      </w:pPr>
      <w:bookmarkStart w:id="103" w:name="global-economic-recovery-post-covid"/>
      <w:bookmarkEnd w:id="96"/>
      <w:bookmarkEnd w:id="102"/>
      <w:r>
        <w:t>3.5. Global Economic Recovery Post-COVID</w:t>
      </w:r>
    </w:p>
    <w:p w14:paraId="6EAD550E" w14:textId="77777777" w:rsidR="00F973AA" w:rsidRDefault="00250326">
      <w:pPr>
        <w:pStyle w:val="Heading3"/>
      </w:pPr>
      <w:bookmarkStart w:id="104" w:name="goal-14"/>
      <w:r>
        <w:t>3.5.1. Goal</w:t>
      </w:r>
    </w:p>
    <w:p w14:paraId="0AA4F68C" w14:textId="77777777" w:rsidR="00F973AA" w:rsidRDefault="00250326">
      <w:pPr>
        <w:pStyle w:val="BodyText"/>
      </w:pPr>
      <w:r>
        <w:t>Use the 2020 pandemic downturn to show how governments respond to a global shock, and why recoveries from the same shock can diverge so sharply.</w:t>
      </w:r>
    </w:p>
    <w:p w14:paraId="75930118" w14:textId="77777777" w:rsidR="00F973AA" w:rsidRDefault="00250326">
      <w:pPr>
        <w:pStyle w:val="Heading3"/>
        <w:sectPr w:rsidR="00F973AA" w:rsidSect="00B75C3E">
          <w:footnotePr>
            <w:numRestart w:val="eachSect"/>
          </w:footnotePr>
          <w:type w:val="continuous"/>
          <w:pgSz w:w="11907" w:h="16840" w:code="9"/>
          <w:pgMar w:top="1134" w:right="1701" w:bottom="1134" w:left="1701" w:header="567" w:footer="454" w:gutter="0"/>
          <w:cols w:space="720"/>
        </w:sectPr>
      </w:pPr>
      <w:bookmarkStart w:id="105" w:name="reading-14"/>
      <w:bookmarkEnd w:id="104"/>
      <w:r>
        <w:t>3.5.2. Reading</w:t>
      </w:r>
    </w:p>
    <w:p w14:paraId="239DE451" w14:textId="77777777" w:rsidR="00F973AA" w:rsidRDefault="00250326">
      <w:pPr>
        <w:pStyle w:val="articlebodytext"/>
      </w:pPr>
      <w:r>
        <w:t>In the first months of 2020, the COVID-19 pandemic shut down travel, trade and daily commerce across most of the world at once, producing a recession that reached almost every country in the same quarter. Global output fell about 3.3% that year, a deeper one-year drop than the 2008 financial crisis [1]. The fall was uneven from the start: the euro area shrank 6.8%, close to double the US decline, because lockdowns in parts of Europe were stricter and longer [2]. What followed was not one recovery but severa</w:t>
      </w:r>
      <w:r>
        <w:t>l, at very different speeds.</w:t>
      </w:r>
    </w:p>
    <w:p w14:paraId="7B4CAECB" w14:textId="77777777" w:rsidR="00F973AA" w:rsidRDefault="00250326">
      <w:pPr>
        <w:pStyle w:val="articlebodytext"/>
      </w:pPr>
      <w:r>
        <w:t xml:space="preserve">Governments and central banks responded on a scale never seen in peacetime. Governments used fiscal stimulus — extra spending and tax relief running to trillions of dollars — with the US passing a large emergency package and the EU agreeing its first jointly financed recovery fund. Central banks used monetary easing, making borrowing cheaper: the European Central Bank’s bond-buying programme, a form of quantitative easing (QE), grew from EUR 750 billion to EUR 1,850 billion [3]. The shared principle was to </w:t>
      </w:r>
      <w:r>
        <w:t>spend whatever it took to stop a health emergency becoming a lasting depression, and in countries that could afford it, the feared collapse did not happen.</w:t>
      </w:r>
    </w:p>
    <w:p w14:paraId="47DAAADD" w14:textId="77777777" w:rsidR="00F973AA" w:rsidRDefault="00250326">
      <w:pPr>
        <w:pStyle w:val="articlebodytext"/>
      </w:pPr>
      <w:r>
        <w:t>The support was deeply unequal. Rich economies could borrow cheaply and spend heavily; poorer ones spent far less as a share of their economies. By the World Bank’s early-2026 assessment, roughly a quarter of developing economies were still poorer per person than in 2019, while almost every advanced economy had grown richer [4]. Economists call this a K-shaped recovery, some parts rising while others keep falling, and the lost ground in the developing world is economic scarring — lasting damage a downturn l</w:t>
      </w:r>
      <w:r>
        <w:t>eaves behind.</w:t>
      </w:r>
    </w:p>
    <w:p w14:paraId="2AD9C9B6" w14:textId="77777777" w:rsidR="00F973AA" w:rsidRDefault="00250326">
      <w:pPr>
        <w:pStyle w:val="articlebodytext"/>
      </w:pPr>
      <w:r>
        <w:t>Even among wealthy countries the experience varied. The recovery brought a burst of inflation in 2022: US consumer prices rose 9.1% over a year, the fastest in four decades [5], and the euro area’s peak was higher still, above 10%. Japan’s core inflation peaked much lower, at 4.2% in January 2023 [6] — its fastest pace since 1981, after 25 years of near-zero or falling prices, but still less than half the shock felt in Washington or Frankfurt. Japan also reopened its borders later and took longer to close i</w:t>
      </w:r>
      <w:r>
        <w:t>ts output gap, the gap between what an economy produces and what it could produce at full capacity: a slower cycle, not a sharper one.</w:t>
      </w:r>
    </w:p>
    <w:p w14:paraId="001C1467" w14:textId="77777777" w:rsidR="00F973AA" w:rsidRDefault="00250326">
      <w:pPr>
        <w:pStyle w:val="articlebodytext"/>
        <w:sectPr w:rsidR="00F973AA" w:rsidSect="00B75C3E">
          <w:footnotePr>
            <w:numRestart w:val="eachSect"/>
          </w:footnotePr>
          <w:type w:val="continuous"/>
          <w:pgSz w:w="11907" w:h="16840" w:code="9"/>
          <w:pgMar w:top="1134" w:right="1701" w:bottom="1134" w:left="1701" w:header="567" w:footer="454" w:gutter="0"/>
          <w:cols w:num="2" w:space="567"/>
        </w:sectPr>
      </w:pPr>
      <w:r>
        <w:t>The episode is now used as evidence that a fast, large response prevents the worst. But it left two unequal legacies: much higher public debt in the rich world, and lost ground in the developing world that no rebound has yet recovered. The open question for the next global shock is whether that speed and size can be repeated without again widening the gap between countries that can pay for a recovery and those that cannot.</w:t>
      </w:r>
    </w:p>
    <w:p w14:paraId="50475942" w14:textId="77777777" w:rsidR="00F973AA" w:rsidRDefault="00250326">
      <w:pPr>
        <w:pStyle w:val="Heading3"/>
      </w:pPr>
      <w:bookmarkStart w:id="106" w:name="vocabulary-focus-14"/>
      <w:bookmarkEnd w:id="105"/>
      <w:r>
        <w:t>3.5.3. Vocabulary Focus</w:t>
      </w:r>
    </w:p>
    <w:p w14:paraId="5C380867" w14:textId="77777777" w:rsidR="00F973AA" w:rsidRDefault="00250326">
      <w:pPr>
        <w:pStyle w:val="FirstParagraph"/>
      </w:pPr>
      <w:r>
        <w:t>fiscal stimulus, monetary easing, quantitative easing (QE), K-shaped recovery, scarring effect, output gap</w:t>
      </w:r>
    </w:p>
    <w:p w14:paraId="6CA72DF5" w14:textId="77777777" w:rsidR="00F973AA" w:rsidRDefault="00250326">
      <w:pPr>
        <w:pStyle w:val="Heading3"/>
      </w:pPr>
      <w:bookmarkStart w:id="107" w:name="reading-questions-14"/>
      <w:bookmarkEnd w:id="106"/>
      <w:r>
        <w:t>3.5.4. Reading Questions</w:t>
      </w:r>
    </w:p>
    <w:p w14:paraId="649B0856" w14:textId="77777777" w:rsidR="00F973AA" w:rsidRDefault="00250326" w:rsidP="00250326">
      <w:pPr>
        <w:pStyle w:val="Compact"/>
        <w:numPr>
          <w:ilvl w:val="0"/>
          <w:numId w:val="44"/>
        </w:numPr>
      </w:pPr>
      <w:r>
        <w:t>How did the size of the 2020 downturn compare with the 2008 financial crisis, and how did the euro area’s fall compare with the United States’?</w:t>
      </w:r>
    </w:p>
    <w:p w14:paraId="2A9BC0A8" w14:textId="77777777" w:rsidR="00F973AA" w:rsidRDefault="00250326" w:rsidP="00250326">
      <w:pPr>
        <w:pStyle w:val="Compact"/>
        <w:numPr>
          <w:ilvl w:val="0"/>
          <w:numId w:val="44"/>
        </w:numPr>
      </w:pPr>
      <w:r>
        <w:t>What was the shared principle behind the way governments and central banks responded in 2020?</w:t>
      </w:r>
    </w:p>
    <w:p w14:paraId="343AB8B6" w14:textId="77777777" w:rsidR="00F973AA" w:rsidRDefault="00250326" w:rsidP="00250326">
      <w:pPr>
        <w:pStyle w:val="Compact"/>
        <w:numPr>
          <w:ilvl w:val="0"/>
          <w:numId w:val="44"/>
        </w:numPr>
      </w:pPr>
      <w:r>
        <w:t>Why did rich and poor countries end up with such different recoveries?</w:t>
      </w:r>
    </w:p>
    <w:p w14:paraId="4BCCE320" w14:textId="77777777" w:rsidR="00F973AA" w:rsidRDefault="00250326" w:rsidP="00250326">
      <w:pPr>
        <w:pStyle w:val="Compact"/>
        <w:numPr>
          <w:ilvl w:val="0"/>
          <w:numId w:val="44"/>
        </w:numPr>
      </w:pPr>
      <w:r>
        <w:t>How did Japan’s peak inflation compare with that of the United States and the euro area?</w:t>
      </w:r>
    </w:p>
    <w:p w14:paraId="0E3227A2" w14:textId="77777777" w:rsidR="00F973AA" w:rsidRDefault="00250326" w:rsidP="00250326">
      <w:pPr>
        <w:pStyle w:val="Compact"/>
        <w:numPr>
          <w:ilvl w:val="0"/>
          <w:numId w:val="44"/>
        </w:numPr>
        <w:spacing w:after="0"/>
      </w:pPr>
      <w:r>
        <w:t>Why does the reading call the result “not one recovery but several”?</w:t>
      </w:r>
    </w:p>
    <w:p w14:paraId="35271FA2" w14:textId="77777777" w:rsidR="00F973AA" w:rsidRDefault="00250326">
      <w:pPr>
        <w:pStyle w:val="Heading3"/>
      </w:pPr>
      <w:bookmarkStart w:id="108" w:name="discussion-questions-14"/>
      <w:bookmarkEnd w:id="107"/>
      <w:r>
        <w:t>3.5.5. Discussion Questions</w:t>
      </w:r>
    </w:p>
    <w:p w14:paraId="38F56304" w14:textId="77777777" w:rsidR="00F973AA" w:rsidRDefault="00250326" w:rsidP="00250326">
      <w:pPr>
        <w:pStyle w:val="Compact"/>
        <w:numPr>
          <w:ilvl w:val="0"/>
          <w:numId w:val="45"/>
        </w:numPr>
      </w:pPr>
      <w:r>
        <w:t>The reading says spending “whatever it took” worked in countries that could afford it. Was that the right approach, given the higher debt it left behind? Explain.</w:t>
      </w:r>
    </w:p>
    <w:p w14:paraId="38E47023" w14:textId="77777777" w:rsidR="00F973AA" w:rsidRDefault="00250326" w:rsidP="00250326">
      <w:pPr>
        <w:pStyle w:val="Compact"/>
        <w:numPr>
          <w:ilvl w:val="0"/>
          <w:numId w:val="45"/>
        </w:numPr>
      </w:pPr>
      <w:r>
        <w:t>A global shock produced very unequal recoveries. Whose responsibility, if anyone’s, is it to help the countries left behind?</w:t>
      </w:r>
    </w:p>
    <w:p w14:paraId="2EAEC6D5" w14:textId="77777777" w:rsidR="00F973AA" w:rsidRDefault="00250326" w:rsidP="00250326">
      <w:pPr>
        <w:pStyle w:val="Compact"/>
        <w:numPr>
          <w:ilvl w:val="0"/>
          <w:numId w:val="45"/>
        </w:numPr>
      </w:pPr>
      <w:r>
        <w:t>Japan’s inflation rose much less than in the US or Europe, yet the reading says it still “felt sharp.” Why would a smaller price rise matter more in Japan than elsewhere?</w:t>
      </w:r>
    </w:p>
    <w:p w14:paraId="020EA43D" w14:textId="77777777" w:rsidR="00F973AA" w:rsidRDefault="00250326" w:rsidP="00250326">
      <w:pPr>
        <w:pStyle w:val="Compact"/>
        <w:numPr>
          <w:ilvl w:val="0"/>
          <w:numId w:val="45"/>
        </w:numPr>
      </w:pPr>
      <w:r>
        <w:t>Compare a fast, large policy response with a slower, more cautious one. What are the risks of each when the next global downturn comes?</w:t>
      </w:r>
    </w:p>
    <w:p w14:paraId="06BF56E2" w14:textId="77777777" w:rsidR="00F973AA" w:rsidRDefault="00250326" w:rsidP="00250326">
      <w:pPr>
        <w:pStyle w:val="Compact"/>
        <w:numPr>
          <w:ilvl w:val="0"/>
          <w:numId w:val="45"/>
        </w:numPr>
        <w:spacing w:after="0"/>
      </w:pPr>
      <w:r>
        <w:t>Design three lessons from the COVID recovery that governments should build into a plan for the next economic shock.</w:t>
      </w:r>
    </w:p>
    <w:p w14:paraId="7574E1B6" w14:textId="77777777" w:rsidR="00F973AA" w:rsidRDefault="00250326">
      <w:pPr>
        <w:pStyle w:val="Heading3"/>
      </w:pPr>
      <w:bookmarkStart w:id="109" w:name="source-notes-14"/>
      <w:bookmarkEnd w:id="108"/>
      <w:r>
        <w:t>3.5.6. Source Notes</w:t>
      </w:r>
    </w:p>
    <w:p w14:paraId="2003EA23" w14:textId="5CD62154" w:rsidR="00F973AA" w:rsidRDefault="00250326" w:rsidP="00250326">
      <w:pPr>
        <w:pStyle w:val="Compact"/>
        <w:numPr>
          <w:ilvl w:val="0"/>
          <w:numId w:val="46"/>
        </w:numPr>
      </w:pPr>
      <w:r>
        <w:t>International Monetary Fund: World Economic Outlook, April 2020 (</w:t>
      </w:r>
      <w:r>
        <w:t>“The Great Lockdown”)</w:t>
      </w:r>
      <w:r>
        <w:br/>
      </w:r>
      <w:hyperlink r:id="rId71">
        <w:r>
          <w:rPr>
            <w:rStyle w:val="Hyperlink"/>
          </w:rPr>
          <w:t>https://www.imf.org/en/publications/weo/issues/2020/04/14/weo-april-2020</w:t>
        </w:r>
      </w:hyperlink>
    </w:p>
    <w:p w14:paraId="513A01FA" w14:textId="54EABCEB" w:rsidR="00F973AA" w:rsidRDefault="00250326" w:rsidP="00250326">
      <w:pPr>
        <w:pStyle w:val="Compact"/>
        <w:numPr>
          <w:ilvl w:val="0"/>
          <w:numId w:val="46"/>
        </w:numPr>
      </w:pPr>
      <w:r>
        <w:t>Eurostat: “GDP down by 0.7% in the euro area and by 0.5% in the EU” (first estimate of 2020 annual growth, February 2021)</w:t>
      </w:r>
      <w:r>
        <w:br/>
      </w:r>
      <w:hyperlink r:id="rId72">
        <w:r>
          <w:rPr>
            <w:rStyle w:val="Hyperlink"/>
          </w:rPr>
          <w:t>https://ec.europa.eu/eurostat/documents/portlet_file_entry/2995521/2-02022021-AP-EN.pdf</w:t>
        </w:r>
      </w:hyperlink>
    </w:p>
    <w:p w14:paraId="396AB5AD" w14:textId="5B4D30BC" w:rsidR="00F973AA" w:rsidRDefault="00250326" w:rsidP="00250326">
      <w:pPr>
        <w:pStyle w:val="Compact"/>
        <w:numPr>
          <w:ilvl w:val="0"/>
          <w:numId w:val="46"/>
        </w:numPr>
      </w:pPr>
      <w:r>
        <w:t>European Central Bank: “Pandemic emergency purchase programme (PEPP)”</w:t>
      </w:r>
      <w:r>
        <w:br/>
      </w:r>
      <w:hyperlink r:id="rId73">
        <w:r>
          <w:rPr>
            <w:rStyle w:val="Hyperlink"/>
          </w:rPr>
          <w:t>https://www.ecb.europa.eu/mopo/implement/pepp/html/index.en.html</w:t>
        </w:r>
      </w:hyperlink>
    </w:p>
    <w:p w14:paraId="4DC8903A" w14:textId="0FED0017" w:rsidR="00F973AA" w:rsidRDefault="00250326" w:rsidP="00250326">
      <w:pPr>
        <w:pStyle w:val="Compact"/>
        <w:numPr>
          <w:ilvl w:val="0"/>
          <w:numId w:val="46"/>
        </w:numPr>
      </w:pPr>
      <w:r>
        <w:t>World Bank: “Global Economic Prospects, January 2026” (press release)</w:t>
      </w:r>
      <w:r>
        <w:br/>
      </w:r>
      <w:hyperlink r:id="rId74">
        <w:r>
          <w:rPr>
            <w:rStyle w:val="Hyperlink"/>
          </w:rPr>
          <w:t>https://www.worldbank.org/en/news/press-release/2026/01/13/global-economic-prospects-january-2026-press-release</w:t>
        </w:r>
      </w:hyperlink>
    </w:p>
    <w:p w14:paraId="2251EDDE" w14:textId="52AB0AE0" w:rsidR="00F973AA" w:rsidRDefault="00250326" w:rsidP="00250326">
      <w:pPr>
        <w:pStyle w:val="Compact"/>
        <w:numPr>
          <w:ilvl w:val="0"/>
          <w:numId w:val="46"/>
        </w:numPr>
      </w:pPr>
      <w:r>
        <w:t>U.S. Bureau of Labor Statistics: “Consumer prices up 9.1 percent over the year ended June 2022, largest increase in 40 years”</w:t>
      </w:r>
      <w:r>
        <w:br/>
      </w:r>
      <w:hyperlink r:id="rId75">
        <w:r>
          <w:rPr>
            <w:rStyle w:val="Hyperlink"/>
          </w:rPr>
          <w:t>https://www.bls.gov/opub/ted/2022/consumer-prices-up-9-1-percent-over-the-year-ended-june-2022-largest-increase-in-40-years.htm</w:t>
        </w:r>
      </w:hyperlink>
    </w:p>
    <w:p w14:paraId="3C1F2D99" w14:textId="022D97EB" w:rsidR="00F973AA" w:rsidRDefault="00250326" w:rsidP="00250326">
      <w:pPr>
        <w:pStyle w:val="Compact"/>
        <w:numPr>
          <w:ilvl w:val="0"/>
          <w:numId w:val="46"/>
        </w:numPr>
        <w:spacing w:after="0"/>
      </w:pPr>
      <w:r>
        <w:t>The Japan Times: “Japan core consumer prices up 4.2% in January, fastest in over 41 years,” 24 February 2023</w:t>
      </w:r>
      <w:r>
        <w:br/>
      </w:r>
      <w:hyperlink r:id="rId76">
        <w:r>
          <w:rPr>
            <w:rStyle w:val="Hyperlink"/>
          </w:rPr>
          <w:t>https://www.japantimes.co.jp/news/2023/02/24/business/inflation-record-high/</w:t>
        </w:r>
      </w:hyperlink>
    </w:p>
    <w:p w14:paraId="13251928" w14:textId="77777777" w:rsidR="00F973AA" w:rsidRDefault="00250326">
      <w:pPr>
        <w:pStyle w:val="Heading1"/>
        <w:pageBreakBefore w:val="0"/>
      </w:pPr>
      <w:bookmarkStart w:id="110" w:name="X6c135405831c81d03d6beb447d79a4529efb82c"/>
      <w:bookmarkEnd w:id="74"/>
      <w:bookmarkEnd w:id="103"/>
      <w:bookmarkEnd w:id="109"/>
      <w:r>
        <w:t>Part 4: Finance, Fairness and Global Cooperation</w:t>
      </w:r>
    </w:p>
    <w:p w14:paraId="1142CD74" w14:textId="77777777" w:rsidR="00F973AA" w:rsidRDefault="00250326">
      <w:pPr>
        <w:pStyle w:val="BodyText"/>
      </w:pPr>
      <w:r>
        <w:t>How financial systems address fairness, accountability and cooperation across borders.</w:t>
      </w:r>
    </w:p>
    <w:p w14:paraId="4AD09E47" w14:textId="77777777" w:rsidR="00F973AA" w:rsidRDefault="00250326">
      <w:pPr>
        <w:pStyle w:val="Heading2"/>
      </w:pPr>
      <w:bookmarkStart w:id="111" w:name="anti-money-laundering-aml-regulations"/>
      <w:r>
        <w:t>4.1. Anti-Money Laundering (AML) Regulations</w:t>
      </w:r>
    </w:p>
    <w:p w14:paraId="4054DA0B" w14:textId="77777777" w:rsidR="00F973AA" w:rsidRDefault="00250326">
      <w:pPr>
        <w:pStyle w:val="Heading3"/>
      </w:pPr>
      <w:bookmarkStart w:id="112" w:name="goal-15"/>
      <w:r>
        <w:t>4.1.1. Goal</w:t>
      </w:r>
    </w:p>
    <w:p w14:paraId="123DA015" w14:textId="77777777" w:rsidR="00F973AA" w:rsidRDefault="00250326">
      <w:pPr>
        <w:pStyle w:val="BodyText"/>
      </w:pPr>
      <w:r>
        <w:t>Explain how governments try to keep the proceeds of crime out of the financial system by making banks the front line of detection.</w:t>
      </w:r>
    </w:p>
    <w:p w14:paraId="6132EF10" w14:textId="77777777" w:rsidR="00F973AA" w:rsidRDefault="00250326">
      <w:pPr>
        <w:pStyle w:val="Heading3"/>
        <w:sectPr w:rsidR="00F973AA" w:rsidSect="00B75C3E">
          <w:footnotePr>
            <w:numRestart w:val="eachSect"/>
          </w:footnotePr>
          <w:type w:val="continuous"/>
          <w:pgSz w:w="11907" w:h="16840" w:code="9"/>
          <w:pgMar w:top="1134" w:right="1701" w:bottom="1134" w:left="1701" w:header="567" w:footer="454" w:gutter="0"/>
          <w:cols w:space="720"/>
        </w:sectPr>
      </w:pPr>
      <w:bookmarkStart w:id="113" w:name="reading-15"/>
      <w:bookmarkEnd w:id="112"/>
      <w:r>
        <w:t>4.1.2. Reading</w:t>
      </w:r>
    </w:p>
    <w:p w14:paraId="7A0A23CF" w14:textId="77777777" w:rsidR="00F973AA" w:rsidRDefault="00250326">
      <w:pPr>
        <w:pStyle w:val="articlebodytext"/>
      </w:pPr>
      <w:r>
        <w:t>At nine in the morning an analyst on a bank’s compliance team opens a flagged payment: EUR 4 million moving from a company account opened three weeks ago to three firms abroad that were themselves registered only days earlier. Nothing is plainly illegal, but the pattern fits money laundering — moving the proceeds of crime through the financial system until the money looks legitimate when it comes out. The analyst must decide whether to release the payment, hold it, and file a suspicious-transaction report w</w:t>
      </w:r>
      <w:r>
        <w:t>ith the national financial-intelligence unit. Multiply that decision by millions a day and you have the front line of anti-money-laundering (AML) policy.</w:t>
      </w:r>
    </w:p>
    <w:p w14:paraId="720CA4B9" w14:textId="77777777" w:rsidR="00F973AA" w:rsidRDefault="00250326">
      <w:pPr>
        <w:pStyle w:val="articlebodytext"/>
      </w:pPr>
      <w:r>
        <w:t>The problem is large but only roughly measured. The UN Office on Drugs and Crime still cites an old IMF estimate that 2–5% of world output is laundered each year, very roughly US$800 billion to US$2 trillion [1]. Governments cannot watch every transaction themselves, so the law transfers the work to banks: identify each customer and the real person who controls a company, monitor for unusual activity, report what looks suspicious, and screen names against sanctions lists.</w:t>
      </w:r>
    </w:p>
    <w:p w14:paraId="6A183608" w14:textId="77777777" w:rsidR="00F973AA" w:rsidRDefault="00250326">
      <w:pPr>
        <w:pStyle w:val="articlebodytext"/>
      </w:pPr>
      <w:r>
        <w:t>The global rulebook is set by the Financial Action Task Force (FATF), created by the G7 in 1989. Its standards shape law in more than 200 countries and territories, and it reviews each member through a peer “mutual evaluation,” publishing a “grey list” of countries under increased monitoring [2]. A weak review raises the cost and friction of every cross-border payment a country’s banks make, which gives even reluctant governments a reason to comply.</w:t>
      </w:r>
    </w:p>
    <w:p w14:paraId="3DDDAF3E" w14:textId="77777777" w:rsidR="00F973AA" w:rsidRDefault="00250326">
      <w:pPr>
        <w:pStyle w:val="articlebodytext"/>
      </w:pPr>
      <w:r>
        <w:t xml:space="preserve">Japan’s system shows that pressure at work. The FATF’s 2021 review found Japan’s controls were “delivering results” but placed the country in “enhanced follow-up,” a status that requires regular progress reports. Tokyo responded with a burst of legislation, amending two laws to bring crypto-asset exchanges fully into the regime, including the “travel rule” </w:t>
      </w:r>
      <w:r>
        <w:t>that identifying information must accompany a transfer. Suspicious-transaction reports flow to JAFIC, a unit inside the National Police Agency, while the Financial Services Agency, Japan’s main financial regulator, supervises the banks [3].</w:t>
      </w:r>
    </w:p>
    <w:p w14:paraId="7C98AB4C" w14:textId="77777777" w:rsidR="00F973AA" w:rsidRDefault="00250326">
      <w:pPr>
        <w:pStyle w:val="articlebodytext"/>
        <w:sectPr w:rsidR="00F973AA" w:rsidSect="00B75C3E">
          <w:footnotePr>
            <w:numRestart w:val="eachSect"/>
          </w:footnotePr>
          <w:type w:val="continuous"/>
          <w:pgSz w:w="11907" w:h="16840" w:code="9"/>
          <w:pgMar w:top="1134" w:right="1701" w:bottom="1134" w:left="1701" w:header="567" w:footer="454" w:gutter="0"/>
          <w:cols w:num="2" w:space="567"/>
        </w:sectPr>
      </w:pPr>
      <w:r>
        <w:t>The sharpest pressure, though, is financial. Denmark’s largest bank, Danske Bank, let about EUR 200 billion of suspicious, mostly non-resident money pass through one small Estonian branch between 2007 and 2015; in December 2022 it pleaded guilty in the United States and forfeited about US$2 billion [4]. In October 2024 TD Bank became the largest US bank ever to plead guilty to Bank Secrecy Act failures, paying around US$3 billion and accepting a legal cap on its US growth [5]. After its own run of scandals,</w:t>
      </w:r>
      <w:r>
        <w:t xml:space="preserve"> the European Union set up a central Anti-Money Laundering Authority in Frankfurt, which from 2028 will directly supervise around 40 of the highest-risk cross-border firms [6]. Each scandal has been followed by a larger penalty or a new supervisor — an admission that the last line of defence was not enough.</w:t>
      </w:r>
    </w:p>
    <w:p w14:paraId="07F07148" w14:textId="77777777" w:rsidR="00F973AA" w:rsidRDefault="00250326">
      <w:pPr>
        <w:pStyle w:val="Heading3"/>
      </w:pPr>
      <w:bookmarkStart w:id="114" w:name="vocabulary-focus-15"/>
      <w:bookmarkEnd w:id="113"/>
      <w:r>
        <w:t>4.1.3. Vocabulary Focus</w:t>
      </w:r>
    </w:p>
    <w:p w14:paraId="2E369593" w14:textId="77777777" w:rsidR="00F973AA" w:rsidRDefault="00250326">
      <w:pPr>
        <w:pStyle w:val="FirstParagraph"/>
      </w:pPr>
      <w:r>
        <w:t>money laundering; anti-money-laundering (AML); Financial Action Task Force (FATF); mutual evaluation; suspicious-transaction report; the “travel rule”</w:t>
      </w:r>
    </w:p>
    <w:p w14:paraId="7F14E7A3" w14:textId="77777777" w:rsidR="00F973AA" w:rsidRDefault="00250326">
      <w:pPr>
        <w:pStyle w:val="Heading3"/>
      </w:pPr>
      <w:bookmarkStart w:id="115" w:name="reading-questions-15"/>
      <w:bookmarkEnd w:id="114"/>
      <w:r>
        <w:t>4.1.4. Reading Questions</w:t>
      </w:r>
    </w:p>
    <w:p w14:paraId="6007641B" w14:textId="77777777" w:rsidR="00F973AA" w:rsidRDefault="00250326" w:rsidP="00250326">
      <w:pPr>
        <w:pStyle w:val="Compact"/>
        <w:numPr>
          <w:ilvl w:val="0"/>
          <w:numId w:val="47"/>
        </w:numPr>
      </w:pPr>
      <w:r>
        <w:t>What decision does the compliance analyst in the opening have to make?</w:t>
      </w:r>
    </w:p>
    <w:p w14:paraId="16983E72" w14:textId="77777777" w:rsidR="00F973AA" w:rsidRDefault="00250326" w:rsidP="00250326">
      <w:pPr>
        <w:pStyle w:val="Compact"/>
        <w:numPr>
          <w:ilvl w:val="0"/>
          <w:numId w:val="47"/>
        </w:numPr>
      </w:pPr>
      <w:r>
        <w:t>Why does the reading say the scale of money laundering is “only roughly measured”?</w:t>
      </w:r>
    </w:p>
    <w:p w14:paraId="69A05EB3" w14:textId="77777777" w:rsidR="00F973AA" w:rsidRDefault="00250326" w:rsidP="00250326">
      <w:pPr>
        <w:pStyle w:val="Compact"/>
        <w:numPr>
          <w:ilvl w:val="0"/>
          <w:numId w:val="47"/>
        </w:numPr>
      </w:pPr>
      <w:r>
        <w:t>What work does AML law transfer from governments to banks?</w:t>
      </w:r>
    </w:p>
    <w:p w14:paraId="485DD736" w14:textId="77777777" w:rsidR="00F973AA" w:rsidRDefault="00250326" w:rsidP="00250326">
      <w:pPr>
        <w:pStyle w:val="Compact"/>
        <w:numPr>
          <w:ilvl w:val="0"/>
          <w:numId w:val="47"/>
        </w:numPr>
      </w:pPr>
      <w:r>
        <w:t>Why does a poor FATF review matter to a country’s banks, even though FATF cannot fine the country?</w:t>
      </w:r>
    </w:p>
    <w:p w14:paraId="531618D2" w14:textId="77777777" w:rsidR="00F973AA" w:rsidRDefault="00250326" w:rsidP="00250326">
      <w:pPr>
        <w:pStyle w:val="Compact"/>
        <w:numPr>
          <w:ilvl w:val="0"/>
          <w:numId w:val="47"/>
        </w:numPr>
        <w:spacing w:after="0"/>
      </w:pPr>
      <w:r>
        <w:t>What did the reading mean by “each scandal has been followed by a larger penalty or a new supervisor”?</w:t>
      </w:r>
    </w:p>
    <w:p w14:paraId="11C300D7" w14:textId="77777777" w:rsidR="00F973AA" w:rsidRDefault="00250326">
      <w:pPr>
        <w:pStyle w:val="Heading3"/>
      </w:pPr>
      <w:bookmarkStart w:id="116" w:name="discussion-questions-15"/>
      <w:bookmarkEnd w:id="115"/>
      <w:r>
        <w:t>4.1.5. Discussion Questions</w:t>
      </w:r>
    </w:p>
    <w:p w14:paraId="0103F5B3" w14:textId="77777777" w:rsidR="00F973AA" w:rsidRDefault="00250326" w:rsidP="00250326">
      <w:pPr>
        <w:pStyle w:val="Compact"/>
        <w:numPr>
          <w:ilvl w:val="0"/>
          <w:numId w:val="48"/>
        </w:numPr>
      </w:pPr>
      <w:r>
        <w:t>AML rules make private banks do the detection work. Is that the right body to carry it, or should governments do more themselves? Give reasons.</w:t>
      </w:r>
    </w:p>
    <w:p w14:paraId="0FF59358" w14:textId="77777777" w:rsidR="00F973AA" w:rsidRDefault="00250326" w:rsidP="00250326">
      <w:pPr>
        <w:pStyle w:val="Compact"/>
        <w:numPr>
          <w:ilvl w:val="0"/>
          <w:numId w:val="48"/>
        </w:numPr>
      </w:pPr>
      <w:r>
        <w:t>FATF has no power to fine a country, yet its reviews change behaviour. Why does that indirect pressure work?</w:t>
      </w:r>
    </w:p>
    <w:p w14:paraId="5B225D1A" w14:textId="77777777" w:rsidR="00F973AA" w:rsidRDefault="00250326" w:rsidP="00250326">
      <w:pPr>
        <w:pStyle w:val="Compact"/>
        <w:numPr>
          <w:ilvl w:val="0"/>
          <w:numId w:val="48"/>
        </w:numPr>
      </w:pPr>
      <w:r>
        <w:t>Very large fines are meant to deter. Do you think a US$3 billion penalty changes how a bank behaves, or is it treated as a cost of doing business?</w:t>
      </w:r>
    </w:p>
    <w:p w14:paraId="505A9462" w14:textId="77777777" w:rsidR="00F973AA" w:rsidRDefault="00250326" w:rsidP="00250326">
      <w:pPr>
        <w:pStyle w:val="Compact"/>
        <w:numPr>
          <w:ilvl w:val="0"/>
          <w:numId w:val="48"/>
        </w:numPr>
      </w:pPr>
      <w:r>
        <w:t>Compare the FATF “grey list” and a record fine as tools for improving AML. Which would influence a bank more, and why?</w:t>
      </w:r>
    </w:p>
    <w:p w14:paraId="3DFB6558" w14:textId="77777777" w:rsidR="00F973AA" w:rsidRDefault="00250326" w:rsidP="00250326">
      <w:pPr>
        <w:pStyle w:val="Compact"/>
        <w:numPr>
          <w:ilvl w:val="0"/>
          <w:numId w:val="48"/>
        </w:numPr>
        <w:spacing w:after="0"/>
      </w:pPr>
      <w:r>
        <w:t>You advise a mid-sized bank on where to spend a limited compliance budget: customer identity checks, transaction monitoring software, or sanctions screening. Rank the three and justify your order.</w:t>
      </w:r>
    </w:p>
    <w:p w14:paraId="706BB077" w14:textId="77777777" w:rsidR="00F973AA" w:rsidRDefault="00250326">
      <w:pPr>
        <w:pStyle w:val="Heading3"/>
      </w:pPr>
      <w:bookmarkStart w:id="117" w:name="source-notes-15"/>
      <w:bookmarkEnd w:id="116"/>
      <w:r>
        <w:t>4.1.6. Source Notes</w:t>
      </w:r>
    </w:p>
    <w:p w14:paraId="6E5DBAB7" w14:textId="1DA97DC1" w:rsidR="00F973AA" w:rsidRDefault="00250326" w:rsidP="00250326">
      <w:pPr>
        <w:pStyle w:val="Compact"/>
        <w:numPr>
          <w:ilvl w:val="0"/>
          <w:numId w:val="49"/>
        </w:numPr>
      </w:pPr>
      <w:r>
        <w:t>United Nations Office on Drugs and Crime: “Money Laundering — Overview”</w:t>
      </w:r>
      <w:r>
        <w:br/>
      </w:r>
      <w:hyperlink r:id="rId77">
        <w:r>
          <w:rPr>
            <w:rStyle w:val="Hyperlink"/>
          </w:rPr>
          <w:t>https://www.unodc.org/unodc/en/money-laundering/overview.html</w:t>
        </w:r>
      </w:hyperlink>
    </w:p>
    <w:p w14:paraId="1CD0F77E" w14:textId="55973642" w:rsidR="00F973AA" w:rsidRDefault="00250326" w:rsidP="00250326">
      <w:pPr>
        <w:pStyle w:val="Compact"/>
        <w:numPr>
          <w:ilvl w:val="0"/>
          <w:numId w:val="49"/>
        </w:numPr>
      </w:pPr>
      <w:r>
        <w:t>Financial Action Task Force: “History of the FATF”</w:t>
      </w:r>
      <w:r>
        <w:br/>
      </w:r>
      <w:hyperlink r:id="rId78">
        <w:r>
          <w:rPr>
            <w:rStyle w:val="Hyperlink"/>
          </w:rPr>
          <w:t>https://www.fatf-gafi.org/en/the-fatf/history-of-the-fatf.html</w:t>
        </w:r>
      </w:hyperlink>
    </w:p>
    <w:p w14:paraId="17B35DBD" w14:textId="75A0B53D" w:rsidR="00F973AA" w:rsidRDefault="00250326" w:rsidP="00250326">
      <w:pPr>
        <w:pStyle w:val="Compact"/>
        <w:numPr>
          <w:ilvl w:val="0"/>
          <w:numId w:val="49"/>
        </w:numPr>
      </w:pPr>
      <w:r>
        <w:t xml:space="preserve">Japan Financial Services Agency: </w:t>
      </w:r>
      <w:r>
        <w:t>“JFSA’s initiatives in AML/CFT/CPF in response to FATF Fourth Round Mutual Evaluation Report” (21 December 2021)</w:t>
      </w:r>
      <w:r>
        <w:br/>
      </w:r>
      <w:hyperlink r:id="rId79">
        <w:r>
          <w:rPr>
            <w:rStyle w:val="Hyperlink"/>
          </w:rPr>
          <w:t>https://www.fsa.go.jp/en/news/2021/20211221/20211221.html</w:t>
        </w:r>
      </w:hyperlink>
    </w:p>
    <w:p w14:paraId="571FE1A4" w14:textId="45056CB6" w:rsidR="00F973AA" w:rsidRDefault="00250326" w:rsidP="00250326">
      <w:pPr>
        <w:pStyle w:val="Compact"/>
        <w:numPr>
          <w:ilvl w:val="0"/>
          <w:numId w:val="49"/>
        </w:numPr>
      </w:pPr>
      <w:r>
        <w:t>U.S. Department of Justice: “Danske Bank Pleads Guilty to Fraud on U.S. Banks in Multi-Billion Dollar Scheme to Access the U.S. Financial System” (13 December 2022)</w:t>
      </w:r>
      <w:r>
        <w:br/>
      </w:r>
      <w:hyperlink r:id="rId80">
        <w:r>
          <w:rPr>
            <w:rStyle w:val="Hyperlink"/>
          </w:rPr>
          <w:t>https://www.justice.gov/archives/opa/pr/danske-bank-pleads-guilty-fraud-us-banks-multi-billion-dollar-scheme-access-us-financial</w:t>
        </w:r>
      </w:hyperlink>
    </w:p>
    <w:p w14:paraId="7D204371" w14:textId="322EC542" w:rsidR="00F973AA" w:rsidRDefault="00250326" w:rsidP="00250326">
      <w:pPr>
        <w:pStyle w:val="Compact"/>
        <w:numPr>
          <w:ilvl w:val="0"/>
          <w:numId w:val="49"/>
        </w:numPr>
      </w:pPr>
      <w:r>
        <w:t>U.S. Department of Justice: “TD Bank Pleads Guilty to Bank Secrecy Act and Money Laundering Conspiracy Violations in $1.8B Resolution” (10 October 2024)</w:t>
      </w:r>
      <w:r>
        <w:br/>
      </w:r>
      <w:hyperlink r:id="rId81">
        <w:r>
          <w:rPr>
            <w:rStyle w:val="Hyperlink"/>
          </w:rPr>
          <w:t>https://www.justice.gov/archives/opa/gallery/td-bank-pleads-guilty-bank-secrecy-act-and-money-laundering-conspiracy-violations-18b</w:t>
        </w:r>
      </w:hyperlink>
    </w:p>
    <w:p w14:paraId="59C83159" w14:textId="377369F7" w:rsidR="00F973AA" w:rsidRDefault="00250326" w:rsidP="00250326">
      <w:pPr>
        <w:pStyle w:val="Compact"/>
        <w:numPr>
          <w:ilvl w:val="0"/>
          <w:numId w:val="49"/>
        </w:numPr>
        <w:spacing w:after="0"/>
      </w:pPr>
      <w:r>
        <w:t>Anti-Money Laundering Authority (EU): Single Programming Document 2026–2028</w:t>
      </w:r>
      <w:r>
        <w:br/>
      </w:r>
      <w:hyperlink r:id="rId82">
        <w:r>
          <w:rPr>
            <w:rStyle w:val="Hyperlink"/>
          </w:rPr>
          <w:t>https://www.amla.europa.eu/system/files/2026-02/AMLA%20SPD%202026-2028.pdf</w:t>
        </w:r>
      </w:hyperlink>
    </w:p>
    <w:p w14:paraId="701A015D" w14:textId="77777777" w:rsidR="00F973AA" w:rsidRDefault="00250326">
      <w:pPr>
        <w:pStyle w:val="Heading2"/>
      </w:pPr>
      <w:bookmarkStart w:id="118" w:name="financial-literacy-programs"/>
      <w:bookmarkEnd w:id="111"/>
      <w:bookmarkEnd w:id="117"/>
      <w:r>
        <w:t>4.2. Financial Literacy Programs</w:t>
      </w:r>
    </w:p>
    <w:p w14:paraId="30B34B6A" w14:textId="77777777" w:rsidR="00F973AA" w:rsidRDefault="00250326">
      <w:pPr>
        <w:pStyle w:val="Heading3"/>
      </w:pPr>
      <w:bookmarkStart w:id="119" w:name="goal-16"/>
      <w:r>
        <w:t>4.2.1. Goal</w:t>
      </w:r>
    </w:p>
    <w:p w14:paraId="6960FA72" w14:textId="77777777" w:rsidR="00F973AA" w:rsidRDefault="00250326">
      <w:pPr>
        <w:pStyle w:val="BodyText"/>
      </w:pPr>
      <w:r>
        <w:t>Weigh the evidence on whether organised financial-education programmes actually change how people manage money.</w:t>
      </w:r>
    </w:p>
    <w:p w14:paraId="4874D88E" w14:textId="77777777" w:rsidR="00F973AA" w:rsidRDefault="00250326">
      <w:pPr>
        <w:pStyle w:val="Heading3"/>
        <w:sectPr w:rsidR="00F973AA" w:rsidSect="00B75C3E">
          <w:footnotePr>
            <w:numRestart w:val="eachSect"/>
          </w:footnotePr>
          <w:type w:val="continuous"/>
          <w:pgSz w:w="11907" w:h="16840" w:code="9"/>
          <w:pgMar w:top="1134" w:right="1701" w:bottom="1134" w:left="1701" w:header="567" w:footer="454" w:gutter="0"/>
          <w:cols w:space="720"/>
        </w:sectPr>
      </w:pPr>
      <w:bookmarkStart w:id="120" w:name="reading-16"/>
      <w:bookmarkEnd w:id="119"/>
      <w:r>
        <w:t>4.2.2. Reading</w:t>
      </w:r>
    </w:p>
    <w:p w14:paraId="45A4A411" w14:textId="77777777" w:rsidR="00F973AA" w:rsidRDefault="00250326">
      <w:pPr>
        <w:pStyle w:val="articlebodytext"/>
      </w:pPr>
      <w:r>
        <w:t>Does teaching people about money actually change what they do? For years the research said: barely. That answer is now contested, and the disagreement is the most useful thing about this topic.</w:t>
      </w:r>
    </w:p>
    <w:p w14:paraId="5836E9E7" w14:textId="77777777" w:rsidR="00F973AA" w:rsidRDefault="00250326">
      <w:pPr>
        <w:pStyle w:val="articlebodytext"/>
      </w:pPr>
      <w:r>
        <w:t xml:space="preserve">Financial literacy programmes are organised efforts — school courses, adult workshops, national strategies, media campaigns — to raise people’s ability to make sound money decisions. Governments run or coordinate them because surveys keep finding large gaps in basic knowledge. The OECD’s 2023 survey of 39 countries and economies produced an average score of 60 out of 100, and in many countries only about a third of adults can correctly answer three simple questions on interest, inflation and spreading risk </w:t>
      </w:r>
      <w:r>
        <w:t>[1].</w:t>
      </w:r>
    </w:p>
    <w:p w14:paraId="4DB838EE" w14:textId="77777777" w:rsidR="00F973AA" w:rsidRDefault="00250326">
      <w:pPr>
        <w:pStyle w:val="articlebodytext"/>
      </w:pPr>
      <w:r>
        <w:t>The sceptical case came from a 2014 review of many earlier studies, which found that financial education explained only a fraction of a percent of later financial behaviour, and that whatever effect it had faded within about two years. That fed an argument that better default options and “just-in-time” guidance — help delivered exactly when a person faces a real decision — would beat classroom teaching.</w:t>
      </w:r>
    </w:p>
    <w:p w14:paraId="2F6CDF86" w14:textId="77777777" w:rsidR="00F973AA" w:rsidRDefault="00250326">
      <w:pPr>
        <w:pStyle w:val="articlebodytext"/>
      </w:pPr>
      <w:r>
        <w:t xml:space="preserve">The more recent evidence is more positive. A 2022 meta-analysis pooled 76 randomised experiments covering more than 160,000 people across 33 countries. It found financial education has real effects on both knowledge and behaviour — at least three times as large as the 2014 estimate, comparable to teaching in other subjects, with the strongest results for budgeting, saving and borrowing [2]. The honest summary is not “it works” or “it does not,” </w:t>
      </w:r>
      <w:r>
        <w:t>but that well-designed programmes delivered near a real decision show measurable effects, while poorly designed or badly timed ones show little.</w:t>
      </w:r>
    </w:p>
    <w:p w14:paraId="7EC7E214" w14:textId="77777777" w:rsidR="00F973AA" w:rsidRDefault="00250326">
      <w:pPr>
        <w:pStyle w:val="articlebodytext"/>
      </w:pPr>
      <w:r>
        <w:t>Design and delivery show up in how countries act. In the United States, where the requirement is set state by state, the number of states guaranteeing every high-school student a standalone personal-finance course rose from a handful around 2020 to 25 by 2024 [3]. Earlier state mandates are found to improve young adults’ credit scores and cut their use of high-cost borrowing [4]. The United Kingdom took a different route: its Money and Pensions Service runs a ten-year national strategy, launched in 2020, co</w:t>
      </w:r>
      <w:r>
        <w:t>ordinating banks, charities and schools rather than delivering the teaching itself [5].</w:t>
      </w:r>
    </w:p>
    <w:p w14:paraId="553927A1" w14:textId="77777777" w:rsidR="00F973AA" w:rsidRDefault="00250326">
      <w:pPr>
        <w:pStyle w:val="articlebodytext"/>
        <w:sectPr w:rsidR="00F973AA" w:rsidSect="00B75C3E">
          <w:footnotePr>
            <w:numRestart w:val="eachSect"/>
          </w:footnotePr>
          <w:type w:val="continuous"/>
          <w:pgSz w:w="11907" w:h="16840" w:code="9"/>
          <w:pgMar w:top="1134" w:right="1701" w:bottom="1134" w:left="1701" w:header="567" w:footer="454" w:gutter="0"/>
          <w:cols w:num="2" w:space="567"/>
        </w:sectPr>
      </w:pPr>
      <w:r>
        <w:t xml:space="preserve">Japan made financial education a priority for two concrete reasons. In April 2022 the age of majority dropped from 20 to 18, so first-year university students can now take out loans and credit cards without a parent’s consent, and revised school guidelines added household budgeting and “asset formation” </w:t>
      </w:r>
      <w:r>
        <w:t>to home-economics classes. Then in August 2024 the government launched a dedicated body, J-FLEC, jointly backed by the Financial Services Agency, Japan’s financial regulator, and the Bank of Japan [6]. Its aim is to coordinate teaching as a form of consumer protection: education free of a seller’s incentive to push its own products. Whether a new agency and a school requirement change behaviour is exactly the open question the research leaves.</w:t>
      </w:r>
    </w:p>
    <w:p w14:paraId="0CB229D4" w14:textId="77777777" w:rsidR="00F973AA" w:rsidRDefault="00250326">
      <w:pPr>
        <w:pStyle w:val="Heading3"/>
      </w:pPr>
      <w:bookmarkStart w:id="121" w:name="vocabulary-focus-16"/>
      <w:bookmarkEnd w:id="120"/>
      <w:r>
        <w:t>4.2.3. Vocabulary Focus</w:t>
      </w:r>
    </w:p>
    <w:p w14:paraId="29FB516E" w14:textId="77777777" w:rsidR="00F973AA" w:rsidRDefault="00250326">
      <w:pPr>
        <w:pStyle w:val="FirstParagraph"/>
      </w:pPr>
      <w:r>
        <w:t>financial literacy; meta-analysis; randomised controlled trial (RCT); “just-in-time” education; national financial-education strategy; default option</w:t>
      </w:r>
    </w:p>
    <w:p w14:paraId="296FB145" w14:textId="77777777" w:rsidR="00F973AA" w:rsidRDefault="00250326">
      <w:pPr>
        <w:pStyle w:val="Heading3"/>
      </w:pPr>
      <w:bookmarkStart w:id="122" w:name="reading-questions-16"/>
      <w:bookmarkEnd w:id="121"/>
      <w:r>
        <w:t>4.2.4. Reading Questions</w:t>
      </w:r>
    </w:p>
    <w:p w14:paraId="3CF06268" w14:textId="77777777" w:rsidR="00F973AA" w:rsidRDefault="00250326" w:rsidP="00250326">
      <w:pPr>
        <w:pStyle w:val="Compact"/>
        <w:numPr>
          <w:ilvl w:val="0"/>
          <w:numId w:val="50"/>
        </w:numPr>
      </w:pPr>
      <w:r>
        <w:t>What did the 2014 review conclude about the effect of financial education?</w:t>
      </w:r>
    </w:p>
    <w:p w14:paraId="6CFC0E6A" w14:textId="77777777" w:rsidR="00F973AA" w:rsidRDefault="00250326" w:rsidP="00250326">
      <w:pPr>
        <w:pStyle w:val="Compact"/>
        <w:numPr>
          <w:ilvl w:val="0"/>
          <w:numId w:val="50"/>
        </w:numPr>
      </w:pPr>
      <w:r>
        <w:t>How did the 2022 meta-analysis differ from the 2014 review in what it found?</w:t>
      </w:r>
    </w:p>
    <w:p w14:paraId="1CC1E229" w14:textId="77777777" w:rsidR="00F973AA" w:rsidRDefault="00250326" w:rsidP="00250326">
      <w:pPr>
        <w:pStyle w:val="Compact"/>
        <w:numPr>
          <w:ilvl w:val="0"/>
          <w:numId w:val="50"/>
        </w:numPr>
      </w:pPr>
      <w:r>
        <w:t>What does the reading say separates programmes that show measurable effects from those that show little?</w:t>
      </w:r>
    </w:p>
    <w:p w14:paraId="550DF6DD" w14:textId="77777777" w:rsidR="00F973AA" w:rsidRDefault="00250326" w:rsidP="00250326">
      <w:pPr>
        <w:pStyle w:val="Compact"/>
        <w:numPr>
          <w:ilvl w:val="0"/>
          <w:numId w:val="50"/>
        </w:numPr>
      </w:pPr>
      <w:r>
        <w:t>How does the United States decide whether high-school students get a personal-finance course?</w:t>
      </w:r>
    </w:p>
    <w:p w14:paraId="13C4706D" w14:textId="77777777" w:rsidR="00F973AA" w:rsidRDefault="00250326" w:rsidP="00250326">
      <w:pPr>
        <w:pStyle w:val="Compact"/>
        <w:numPr>
          <w:ilvl w:val="0"/>
          <w:numId w:val="50"/>
        </w:numPr>
        <w:spacing w:after="0"/>
      </w:pPr>
      <w:r>
        <w:t>What are the two concrete reasons Japan made financial education a priority?</w:t>
      </w:r>
    </w:p>
    <w:p w14:paraId="7219CDE7" w14:textId="77777777" w:rsidR="00F973AA" w:rsidRDefault="00250326">
      <w:pPr>
        <w:pStyle w:val="Heading3"/>
      </w:pPr>
      <w:bookmarkStart w:id="123" w:name="discussion-questions-16"/>
      <w:bookmarkEnd w:id="122"/>
      <w:r>
        <w:t>4.2.5. Discussion Questions</w:t>
      </w:r>
    </w:p>
    <w:p w14:paraId="62FCFB9F" w14:textId="77777777" w:rsidR="00F973AA" w:rsidRDefault="00250326" w:rsidP="00250326">
      <w:pPr>
        <w:pStyle w:val="Compact"/>
        <w:numPr>
          <w:ilvl w:val="0"/>
          <w:numId w:val="51"/>
        </w:numPr>
      </w:pPr>
      <w:r>
        <w:t>The evidence on whether financial education “works” is genuinely mixed. Should governments keep funding it while the question is unsettled? Give reasons.</w:t>
      </w:r>
    </w:p>
    <w:p w14:paraId="1E4DE166" w14:textId="77777777" w:rsidR="00F973AA" w:rsidRDefault="00250326" w:rsidP="00250326">
      <w:pPr>
        <w:pStyle w:val="Compact"/>
        <w:numPr>
          <w:ilvl w:val="0"/>
          <w:numId w:val="51"/>
        </w:numPr>
      </w:pPr>
      <w:r>
        <w:t>Some argue that better default options and rules do more good than teaching. Do you agree? Use an example.</w:t>
      </w:r>
    </w:p>
    <w:p w14:paraId="2CCCC957" w14:textId="77777777" w:rsidR="00F973AA" w:rsidRDefault="00250326" w:rsidP="00250326">
      <w:pPr>
        <w:pStyle w:val="Compact"/>
        <w:numPr>
          <w:ilvl w:val="0"/>
          <w:numId w:val="51"/>
        </w:numPr>
      </w:pPr>
      <w:r>
        <w:t>The reading says education provided by a seller carries a conflict of interest. How serious is that problem, and how could it be avoided?</w:t>
      </w:r>
    </w:p>
    <w:p w14:paraId="4754ECCA" w14:textId="77777777" w:rsidR="00F973AA" w:rsidRDefault="00250326" w:rsidP="00250326">
      <w:pPr>
        <w:pStyle w:val="Compact"/>
        <w:numPr>
          <w:ilvl w:val="0"/>
          <w:numId w:val="51"/>
        </w:numPr>
      </w:pPr>
      <w:r>
        <w:t>Compare the US state-mandate approach with the UK’s coordinated national strategy. Which looks more likely to change behaviour, and why?</w:t>
      </w:r>
    </w:p>
    <w:p w14:paraId="200CE796" w14:textId="77777777" w:rsidR="00F973AA" w:rsidRDefault="00250326" w:rsidP="00250326">
      <w:pPr>
        <w:pStyle w:val="Compact"/>
        <w:numPr>
          <w:ilvl w:val="0"/>
          <w:numId w:val="51"/>
        </w:numPr>
        <w:spacing w:after="0"/>
      </w:pPr>
      <w:r>
        <w:t>Design a short financial-education programme for 18-year-olds in their first year at university. Say what it would cover, when it would be delivered, and how you would test whether it worked.</w:t>
      </w:r>
    </w:p>
    <w:p w14:paraId="2A1D360B" w14:textId="77777777" w:rsidR="00F973AA" w:rsidRDefault="00250326">
      <w:pPr>
        <w:pStyle w:val="Heading3"/>
      </w:pPr>
      <w:bookmarkStart w:id="124" w:name="source-notes-16"/>
      <w:bookmarkEnd w:id="123"/>
      <w:r>
        <w:t>4.2.6. Source Notes</w:t>
      </w:r>
    </w:p>
    <w:p w14:paraId="3DAF0196" w14:textId="7921E1D8" w:rsidR="00F973AA" w:rsidRDefault="00250326" w:rsidP="00250326">
      <w:pPr>
        <w:pStyle w:val="Compact"/>
        <w:numPr>
          <w:ilvl w:val="0"/>
          <w:numId w:val="52"/>
        </w:numPr>
      </w:pPr>
      <w:r>
        <w:t xml:space="preserve">OECD: </w:t>
      </w:r>
      <w:r>
        <w:t>“OECD/INFE 2023 International Survey of Adult Financial Literacy”</w:t>
      </w:r>
      <w:r>
        <w:br/>
      </w:r>
      <w:hyperlink r:id="rId83">
        <w:r>
          <w:rPr>
            <w:rStyle w:val="Hyperlink"/>
          </w:rPr>
          <w:t>https://www.oecd.org/en/publications/oecd-infe-2023-international-survey-of-adult-financial-literacy_56003a32-en.html</w:t>
        </w:r>
      </w:hyperlink>
    </w:p>
    <w:p w14:paraId="7DDCBD2B" w14:textId="3418A98F" w:rsidR="00F973AA" w:rsidRDefault="00250326" w:rsidP="00250326">
      <w:pPr>
        <w:pStyle w:val="Compact"/>
        <w:numPr>
          <w:ilvl w:val="0"/>
          <w:numId w:val="52"/>
        </w:numPr>
      </w:pPr>
      <w:r>
        <w:t>Kaiser, Lusardi, Menkhoff &amp; Urban: “Financial education affects financial knowledge and downstream behaviors,” Journal of Financial Economics 145(2) (2022)</w:t>
      </w:r>
      <w:r>
        <w:br/>
      </w:r>
      <w:hyperlink r:id="rId84">
        <w:r>
          <w:rPr>
            <w:rStyle w:val="Hyperlink"/>
          </w:rPr>
          <w:t>https://www.sciencedirect.com/science/article/abs/pii/S0304405X21004281</w:t>
        </w:r>
      </w:hyperlink>
    </w:p>
    <w:p w14:paraId="1852071F" w14:textId="40E2EC33" w:rsidR="00F973AA" w:rsidRDefault="00250326" w:rsidP="00250326">
      <w:pPr>
        <w:pStyle w:val="Compact"/>
        <w:numPr>
          <w:ilvl w:val="0"/>
          <w:numId w:val="52"/>
        </w:numPr>
      </w:pPr>
      <w:r>
        <w:t>Next Gen Personal Finance: “State of Financial Education” report</w:t>
      </w:r>
      <w:r>
        <w:br/>
      </w:r>
      <w:hyperlink r:id="rId85">
        <w:r>
          <w:rPr>
            <w:rStyle w:val="Hyperlink"/>
          </w:rPr>
          <w:t>https://www.ngpf.org/state-of-financial-education-report</w:t>
        </w:r>
      </w:hyperlink>
    </w:p>
    <w:p w14:paraId="1DE7E457" w14:textId="0C5A064C" w:rsidR="00F973AA" w:rsidRDefault="00250326" w:rsidP="00250326">
      <w:pPr>
        <w:pStyle w:val="Compact"/>
        <w:numPr>
          <w:ilvl w:val="0"/>
          <w:numId w:val="52"/>
        </w:numPr>
      </w:pPr>
      <w:r>
        <w:t>National Endowment for Financial Education: “Passing Legislation Is Just the Beginning: A 2024 Legislative Review of K-12 Financial Education Requirements”</w:t>
      </w:r>
      <w:r>
        <w:br/>
      </w:r>
      <w:hyperlink r:id="rId86">
        <w:r>
          <w:rPr>
            <w:rStyle w:val="Hyperlink"/>
          </w:rPr>
          <w:t>https://www.nefe.org/news/2024/08/2024-legislative-review.aspx</w:t>
        </w:r>
      </w:hyperlink>
    </w:p>
    <w:p w14:paraId="642F9A4C" w14:textId="28011E0E" w:rsidR="00F973AA" w:rsidRDefault="00250326" w:rsidP="00250326">
      <w:pPr>
        <w:pStyle w:val="Compact"/>
        <w:numPr>
          <w:ilvl w:val="0"/>
          <w:numId w:val="52"/>
        </w:numPr>
      </w:pPr>
      <w:r>
        <w:t>Money and Pensions Service (UK): “UK Strategy for Financial Wellbeing”</w:t>
      </w:r>
      <w:r>
        <w:br/>
      </w:r>
      <w:hyperlink r:id="rId87">
        <w:r>
          <w:rPr>
            <w:rStyle w:val="Hyperlink"/>
          </w:rPr>
          <w:t>https://maps.org.uk/en/our-work/uk-strategy-for-financial-wellbeing</w:t>
        </w:r>
      </w:hyperlink>
    </w:p>
    <w:p w14:paraId="113F3466" w14:textId="44435CC5" w:rsidR="00F973AA" w:rsidRDefault="00250326" w:rsidP="00250326">
      <w:pPr>
        <w:pStyle w:val="Compact"/>
        <w:numPr>
          <w:ilvl w:val="0"/>
          <w:numId w:val="52"/>
        </w:numPr>
        <w:spacing w:after="0"/>
      </w:pPr>
      <w:r>
        <w:t>Prime Minister’s Office of Japan: “Launching Ceremony of the Japan Financial Literacy and Education Corporation (J-FLEC)” (2 August 2024)</w:t>
      </w:r>
      <w:r>
        <w:br/>
      </w:r>
      <w:hyperlink r:id="rId88">
        <w:r>
          <w:rPr>
            <w:rStyle w:val="Hyperlink"/>
          </w:rPr>
          <w:t>https://japan.kantei.go.jp/101_kishida/actions/202408/02j-flec.html</w:t>
        </w:r>
      </w:hyperlink>
    </w:p>
    <w:p w14:paraId="40C9D7EA" w14:textId="77777777" w:rsidR="00F973AA" w:rsidRDefault="00250326">
      <w:pPr>
        <w:pStyle w:val="Heading2"/>
      </w:pPr>
      <w:bookmarkStart w:id="125" w:name="Xce4fe2c82a5aae0b0e5c24878e8c3567e0a1460"/>
      <w:bookmarkEnd w:id="118"/>
      <w:bookmarkEnd w:id="124"/>
      <w:r>
        <w:t>4.3. Wealth Inequality and Redistribution Policies</w:t>
      </w:r>
    </w:p>
    <w:p w14:paraId="1A6D01F4" w14:textId="77777777" w:rsidR="00F973AA" w:rsidRDefault="00250326">
      <w:pPr>
        <w:pStyle w:val="Heading3"/>
      </w:pPr>
      <w:bookmarkStart w:id="126" w:name="goal-17"/>
      <w:r>
        <w:t>4.3.1. Goal</w:t>
      </w:r>
    </w:p>
    <w:p w14:paraId="62F0AE3A" w14:textId="77777777" w:rsidR="00F973AA" w:rsidRDefault="00250326">
      <w:pPr>
        <w:pStyle w:val="BodyText"/>
      </w:pPr>
      <w:r>
        <w:t>Explain how wealth inequality is measured and which redistribution tools actually move the numbers.</w:t>
      </w:r>
    </w:p>
    <w:p w14:paraId="4658D6F0" w14:textId="77777777" w:rsidR="00F973AA" w:rsidRDefault="00250326">
      <w:pPr>
        <w:pStyle w:val="Heading3"/>
        <w:sectPr w:rsidR="00F973AA" w:rsidSect="00B75C3E">
          <w:footnotePr>
            <w:numRestart w:val="eachSect"/>
          </w:footnotePr>
          <w:type w:val="continuous"/>
          <w:pgSz w:w="11907" w:h="16840" w:code="9"/>
          <w:pgMar w:top="1134" w:right="1701" w:bottom="1134" w:left="1701" w:header="567" w:footer="454" w:gutter="0"/>
          <w:cols w:space="720"/>
        </w:sectPr>
      </w:pPr>
      <w:bookmarkStart w:id="127" w:name="reading-17"/>
      <w:bookmarkEnd w:id="126"/>
      <w:r>
        <w:t>4.3.2. Reading</w:t>
      </w:r>
    </w:p>
    <w:p w14:paraId="593A964B" w14:textId="77777777" w:rsidR="00F973AA" w:rsidRDefault="00250326">
      <w:pPr>
        <w:pStyle w:val="articlebodytext"/>
      </w:pPr>
      <w:r>
        <w:t>The richest 10% of the world’s adults own about 76% of all household wealth. The poorest half own about 2% [1]. The gap in what people own is far wider than the gap in what they earn, because wealth compounds over time and passes between generations, while a wage stops when the work does.</w:t>
      </w:r>
    </w:p>
    <w:p w14:paraId="37A4A4AC" w14:textId="77777777" w:rsidR="00F973AA" w:rsidRDefault="00250326">
      <w:pPr>
        <w:pStyle w:val="articlebodytext"/>
      </w:pPr>
      <w:r>
        <w:t xml:space="preserve">Inequality is usually summed up in one number, the Gini coefficient, which runs from 0 (everyone equal) to 1 (one person owns everything). In the United States, Federal Reserve data show the wealthiest 1% of households owned about 30.9% of roughly US$162 trillion in household wealth in 2024, while the bottom half owned about 2.5%, down from around 3.4% in 1989 [2]. Across the OECD, taxes and cash transfers narrow the income gap — by more in high-transfer systems such as France and the Nordic countries, and </w:t>
      </w:r>
      <w:r>
        <w:t>by less in the United States and South Korea.</w:t>
      </w:r>
    </w:p>
    <w:p w14:paraId="424E23C4" w14:textId="77777777" w:rsidR="00F973AA" w:rsidRDefault="00250326">
      <w:pPr>
        <w:pStyle w:val="articlebodytext"/>
      </w:pPr>
      <w:r>
        <w:t xml:space="preserve">The redistribution toolkit has four main parts: progressive income tax, which takes a larger share as income rises; transfer payments such as pensions and child benefit; taxes on capital gains and inheritance; and, more rarely, an annual tax on a person’s total assets. That last tool has mostly been tried and dropped. The number of OECD countries levying an annual net wealth tax fell from 12 in 1990 to just three by 2020 — Norway, Spain and Switzerland [3]. The common reasons: the taxes raised little, were </w:t>
      </w:r>
      <w:r>
        <w:t>hard to value and enforce, and prompted wealthy residents to move assets abroad or leave.</w:t>
      </w:r>
    </w:p>
    <w:p w14:paraId="4ABEE268" w14:textId="77777777" w:rsidR="00F973AA" w:rsidRDefault="00250326">
      <w:pPr>
        <w:pStyle w:val="articlebodytext"/>
      </w:pPr>
      <w:r>
        <w:t xml:space="preserve">Japan shows that a tax system’s design matters more than its headline rates. Its income inequality is moderate by rich-country standards, but its effective tax rate actually falls for the very highest earners: income from shares or dividends is taxed at a flat 20%, while employment income is taxed progressively up to about 45%. Since the wealthiest take more of their income as investment returns, the average rate can start dropping past about JPY 100 million — the “JPY 100 million wall.” </w:t>
      </w:r>
      <w:r>
        <w:t>The government’s answer, phased in from 2025, is a minimum tax of at least 22.5% on income above JPY 330 million, tightening further from 2027 [4].</w:t>
      </w:r>
    </w:p>
    <w:p w14:paraId="18007F35" w14:textId="77777777" w:rsidR="00F973AA" w:rsidRDefault="00250326">
      <w:pPr>
        <w:pStyle w:val="articlebodytext"/>
        <w:sectPr w:rsidR="00F973AA" w:rsidSect="00B75C3E">
          <w:footnotePr>
            <w:numRestart w:val="eachSect"/>
          </w:footnotePr>
          <w:type w:val="continuous"/>
          <w:pgSz w:w="11907" w:h="16840" w:code="9"/>
          <w:pgMar w:top="1134" w:right="1701" w:bottom="1134" w:left="1701" w:header="567" w:footer="454" w:gutter="0"/>
          <w:cols w:num="2" w:space="567"/>
        </w:sectPr>
      </w:pPr>
      <w:r>
        <w:t>The same problem is now on the international agenda. Brazil, one of the world’s most unequal large economies, used its 2024 G20 presidency to commission a blueprint from economist Gabriel Zucman for a coordinated minimum tax on the ultra-rich: at least 2% of wealth each year from individuals worth over US$1 billion. Applied to roughly 3,000 known billionaires, that would raise an estimated US$200–250 billion, against an effective rate today of about 0.3% [5]. In July 2024 G20 finance ministers issued a firs</w:t>
      </w:r>
      <w:r>
        <w:t>t joint statement on taxing the very wealthy, non-binding, with the US and Germany among the holdouts [6]. Taxing wealth is less about rates than about which kinds of income and assets are taxed lightly — and the wealthiest hold exactly those.</w:t>
      </w:r>
    </w:p>
    <w:p w14:paraId="661CDC68" w14:textId="77777777" w:rsidR="00F973AA" w:rsidRDefault="00250326">
      <w:pPr>
        <w:pStyle w:val="Heading3"/>
      </w:pPr>
      <w:bookmarkStart w:id="128" w:name="vocabulary-focus-17"/>
      <w:bookmarkEnd w:id="127"/>
      <w:r>
        <w:t>4.3.3. Vocabulary Focus</w:t>
      </w:r>
    </w:p>
    <w:p w14:paraId="7C407EE8" w14:textId="77777777" w:rsidR="00F973AA" w:rsidRDefault="00250326">
      <w:pPr>
        <w:pStyle w:val="FirstParagraph"/>
      </w:pPr>
      <w:r>
        <w:t>wealth (net worth); Gini coefficient; progressive / regressive tax; transfer payment; net wealth tax; effective tax rate</w:t>
      </w:r>
    </w:p>
    <w:p w14:paraId="51519785" w14:textId="77777777" w:rsidR="00F973AA" w:rsidRDefault="00250326">
      <w:pPr>
        <w:pStyle w:val="Heading3"/>
      </w:pPr>
      <w:bookmarkStart w:id="129" w:name="reading-questions-17"/>
      <w:bookmarkEnd w:id="128"/>
      <w:r>
        <w:t>4.3.4. Reading Questions</w:t>
      </w:r>
    </w:p>
    <w:p w14:paraId="422EB24B" w14:textId="77777777" w:rsidR="00F973AA" w:rsidRDefault="00250326" w:rsidP="00250326">
      <w:pPr>
        <w:pStyle w:val="Compact"/>
        <w:numPr>
          <w:ilvl w:val="0"/>
          <w:numId w:val="53"/>
        </w:numPr>
      </w:pPr>
      <w:r>
        <w:t>Why is the gap in what people own wider than the gap in what they earn?</w:t>
      </w:r>
    </w:p>
    <w:p w14:paraId="147AAD15" w14:textId="77777777" w:rsidR="00F973AA" w:rsidRDefault="00250326" w:rsidP="00250326">
      <w:pPr>
        <w:pStyle w:val="Compact"/>
        <w:numPr>
          <w:ilvl w:val="0"/>
          <w:numId w:val="53"/>
        </w:numPr>
      </w:pPr>
      <w:r>
        <w:t>What does a Gini coefficient of 0 mean, and what does 1 mean?</w:t>
      </w:r>
    </w:p>
    <w:p w14:paraId="414EBD32" w14:textId="77777777" w:rsidR="00F973AA" w:rsidRDefault="00250326" w:rsidP="00250326">
      <w:pPr>
        <w:pStyle w:val="Compact"/>
        <w:numPr>
          <w:ilvl w:val="0"/>
          <w:numId w:val="53"/>
        </w:numPr>
      </w:pPr>
      <w:r>
        <w:t>What happened to the number of OECD countries with an annual net wealth tax between 1990 and 2020, and why?</w:t>
      </w:r>
    </w:p>
    <w:p w14:paraId="04BCF458" w14:textId="77777777" w:rsidR="00F973AA" w:rsidRDefault="00250326" w:rsidP="00250326">
      <w:pPr>
        <w:pStyle w:val="Compact"/>
        <w:numPr>
          <w:ilvl w:val="0"/>
          <w:numId w:val="53"/>
        </w:numPr>
      </w:pPr>
      <w:r>
        <w:t>Why can the average tax rate fall for Japan’s highest earners?</w:t>
      </w:r>
    </w:p>
    <w:p w14:paraId="5FF68AE4" w14:textId="77777777" w:rsidR="00F973AA" w:rsidRDefault="00250326" w:rsidP="00250326">
      <w:pPr>
        <w:pStyle w:val="Compact"/>
        <w:numPr>
          <w:ilvl w:val="0"/>
          <w:numId w:val="53"/>
        </w:numPr>
        <w:spacing w:after="0"/>
      </w:pPr>
      <w:r>
        <w:t>What would the Zucman blueprint require of the world’s billionaires, and how much would it raise?</w:t>
      </w:r>
    </w:p>
    <w:p w14:paraId="103B2C24" w14:textId="77777777" w:rsidR="00F973AA" w:rsidRDefault="00250326">
      <w:pPr>
        <w:pStyle w:val="Heading3"/>
      </w:pPr>
      <w:bookmarkStart w:id="130" w:name="discussion-questions-17"/>
      <w:bookmarkEnd w:id="129"/>
      <w:r>
        <w:t>4.3.5. Discussion Questions</w:t>
      </w:r>
    </w:p>
    <w:p w14:paraId="4919165A" w14:textId="77777777" w:rsidR="00F973AA" w:rsidRDefault="00250326" w:rsidP="00250326">
      <w:pPr>
        <w:pStyle w:val="Compact"/>
        <w:numPr>
          <w:ilvl w:val="0"/>
          <w:numId w:val="54"/>
        </w:numPr>
      </w:pPr>
      <w:r>
        <w:t>Annual wealth taxes have mostly been repealed. Does that mean they are a bad idea, or that they were badly designed? Explain.</w:t>
      </w:r>
    </w:p>
    <w:p w14:paraId="627B5A27" w14:textId="77777777" w:rsidR="00F973AA" w:rsidRDefault="00250326" w:rsidP="00250326">
      <w:pPr>
        <w:pStyle w:val="Compact"/>
        <w:numPr>
          <w:ilvl w:val="0"/>
          <w:numId w:val="54"/>
        </w:numPr>
      </w:pPr>
      <w:r>
        <w:t>The reading says tax design matters more than headline rates. Do you agree? Use the Japanese example.</w:t>
      </w:r>
    </w:p>
    <w:p w14:paraId="313E73BE" w14:textId="77777777" w:rsidR="00F973AA" w:rsidRDefault="00250326" w:rsidP="00250326">
      <w:pPr>
        <w:pStyle w:val="Compact"/>
        <w:numPr>
          <w:ilvl w:val="0"/>
          <w:numId w:val="54"/>
        </w:numPr>
      </w:pPr>
      <w:r>
        <w:t>A global minimum tax on billionaires needs many countries to act together. Why is that so hard, and is it achievable?</w:t>
      </w:r>
    </w:p>
    <w:p w14:paraId="43EB173D" w14:textId="77777777" w:rsidR="00F973AA" w:rsidRDefault="00250326" w:rsidP="00250326">
      <w:pPr>
        <w:pStyle w:val="Compact"/>
        <w:numPr>
          <w:ilvl w:val="0"/>
          <w:numId w:val="54"/>
        </w:numPr>
      </w:pPr>
      <w:r>
        <w:t>Compare taxing income and taxing wealth. Which is easier for a government to do well, and why?</w:t>
      </w:r>
    </w:p>
    <w:p w14:paraId="2CE7697C" w14:textId="77777777" w:rsidR="00F973AA" w:rsidRDefault="00250326" w:rsidP="00250326">
      <w:pPr>
        <w:pStyle w:val="Compact"/>
        <w:numPr>
          <w:ilvl w:val="0"/>
          <w:numId w:val="54"/>
        </w:numPr>
        <w:spacing w:after="0"/>
      </w:pPr>
      <w:r>
        <w:t>You advise a government that wants to reduce wealth inequality without driving wealthy residents abroad. Recommend two measures from the toolkit and explain why you chose them over the others.</w:t>
      </w:r>
    </w:p>
    <w:p w14:paraId="44C68A38" w14:textId="77777777" w:rsidR="00F973AA" w:rsidRDefault="00250326">
      <w:pPr>
        <w:pStyle w:val="Heading3"/>
      </w:pPr>
      <w:bookmarkStart w:id="131" w:name="source-notes-17"/>
      <w:bookmarkEnd w:id="130"/>
      <w:r>
        <w:t>4.3.6. Source Notes</w:t>
      </w:r>
    </w:p>
    <w:p w14:paraId="0FB16DD3" w14:textId="3DFF48B5" w:rsidR="00F973AA" w:rsidRDefault="00250326" w:rsidP="00250326">
      <w:pPr>
        <w:pStyle w:val="Compact"/>
        <w:numPr>
          <w:ilvl w:val="0"/>
          <w:numId w:val="55"/>
        </w:numPr>
      </w:pPr>
      <w:r>
        <w:t>World Inequality Lab: World Inequality Report 2022, executive summary</w:t>
      </w:r>
      <w:r>
        <w:br/>
      </w:r>
      <w:hyperlink r:id="rId89">
        <w:r>
          <w:rPr>
            <w:rStyle w:val="Hyperlink"/>
          </w:rPr>
          <w:t>https://wir2022.wid.world/executive-summary/</w:t>
        </w:r>
      </w:hyperlink>
    </w:p>
    <w:p w14:paraId="24CEE536" w14:textId="46D48344" w:rsidR="00F973AA" w:rsidRDefault="00250326" w:rsidP="00250326">
      <w:pPr>
        <w:pStyle w:val="Compact"/>
        <w:numPr>
          <w:ilvl w:val="0"/>
          <w:numId w:val="55"/>
        </w:numPr>
      </w:pPr>
      <w:r>
        <w:t>Federal Reserve Bank of St. Louis: “The State of U.S. Household Wealth”</w:t>
      </w:r>
      <w:r>
        <w:br/>
      </w:r>
      <w:hyperlink r:id="rId90">
        <w:r>
          <w:rPr>
            <w:rStyle w:val="Hyperlink"/>
          </w:rPr>
          <w:t>https://www.stlouisfed.org/community-development/publications/the-state-of-us-household-wealth</w:t>
        </w:r>
      </w:hyperlink>
    </w:p>
    <w:p w14:paraId="303C0CE1" w14:textId="1F8AC0C5" w:rsidR="00F973AA" w:rsidRDefault="00250326" w:rsidP="00250326">
      <w:pPr>
        <w:pStyle w:val="Compact"/>
        <w:numPr>
          <w:ilvl w:val="0"/>
          <w:numId w:val="55"/>
        </w:numPr>
      </w:pPr>
      <w:r>
        <w:t>OECD: “The Role and Design of Net Wealth Taxes in the OECD” (Tax Policy Studies, 2018)</w:t>
      </w:r>
      <w:r>
        <w:br/>
      </w:r>
      <w:hyperlink r:id="rId91">
        <w:r>
          <w:rPr>
            <w:rStyle w:val="Hyperlink"/>
          </w:rPr>
          <w:t>https://www.oecd.org/en/publications/the-role-and-design-of-net-wealth-taxes-in-the-oecd_9789264290303-en.html</w:t>
        </w:r>
      </w:hyperlink>
    </w:p>
    <w:p w14:paraId="0AC6D96D" w14:textId="33ED5140" w:rsidR="00F973AA" w:rsidRDefault="00250326" w:rsidP="00250326">
      <w:pPr>
        <w:pStyle w:val="Compact"/>
        <w:numPr>
          <w:ilvl w:val="0"/>
          <w:numId w:val="55"/>
        </w:numPr>
      </w:pPr>
      <w:r>
        <w:t>Daiwa Institute of Research: “Minimum Tax of 22.5% on Top-Income Earners Introduced” (Japan)</w:t>
      </w:r>
      <w:r>
        <w:br/>
      </w:r>
      <w:hyperlink r:id="rId92">
        <w:r>
          <w:rPr>
            <w:rStyle w:val="Hyperlink"/>
          </w:rPr>
          <w:t>https://www.dir.co.jp/english/research/report/law-research/20230113_023550.html</w:t>
        </w:r>
      </w:hyperlink>
    </w:p>
    <w:p w14:paraId="098FDB3B" w14:textId="315B1BCD" w:rsidR="00F973AA" w:rsidRDefault="00250326" w:rsidP="00250326">
      <w:pPr>
        <w:pStyle w:val="Compact"/>
        <w:numPr>
          <w:ilvl w:val="0"/>
          <w:numId w:val="55"/>
        </w:numPr>
      </w:pPr>
      <w:r>
        <w:t xml:space="preserve">Gabriel Zucman: “A blueprint for a coordinated minimum effective taxation standard for ultra-high-net-worth individuals” </w:t>
      </w:r>
      <w:r>
        <w:t>(G20, 2024)</w:t>
      </w:r>
      <w:r>
        <w:br/>
      </w:r>
      <w:hyperlink r:id="rId93">
        <w:r>
          <w:rPr>
            <w:rStyle w:val="Hyperlink"/>
          </w:rPr>
          <w:t>https://gabriel-zucman.eu/files/report-g20.pdf</w:t>
        </w:r>
      </w:hyperlink>
    </w:p>
    <w:p w14:paraId="6EDA157C" w14:textId="1B0D005B" w:rsidR="00F973AA" w:rsidRDefault="00250326" w:rsidP="00250326">
      <w:pPr>
        <w:pStyle w:val="Compact"/>
        <w:numPr>
          <w:ilvl w:val="0"/>
          <w:numId w:val="55"/>
        </w:numPr>
        <w:spacing w:after="0"/>
      </w:pPr>
      <w:r>
        <w:t>NPR: “At the G20, a billionaire tax is being proposed. But is it feasible?” (4 August 2024)</w:t>
      </w:r>
      <w:r>
        <w:br/>
      </w:r>
      <w:hyperlink r:id="rId94">
        <w:r>
          <w:rPr>
            <w:rStyle w:val="Hyperlink"/>
          </w:rPr>
          <w:t>https://www.npr.org/2024/08/04/nx-s1-5060344/at-the-g20-a-billionaire-tax-is-being-proposed-but-is-it-feasible</w:t>
        </w:r>
      </w:hyperlink>
    </w:p>
    <w:p w14:paraId="3F7738F2" w14:textId="77777777" w:rsidR="00F973AA" w:rsidRDefault="00250326">
      <w:pPr>
        <w:pStyle w:val="Heading2"/>
      </w:pPr>
      <w:bookmarkStart w:id="132" w:name="corporate-governance-and-accountability"/>
      <w:bookmarkEnd w:id="125"/>
      <w:bookmarkEnd w:id="131"/>
      <w:r>
        <w:t>4.4. Corporate Governance and Accountability</w:t>
      </w:r>
    </w:p>
    <w:p w14:paraId="5BD08257" w14:textId="77777777" w:rsidR="00F973AA" w:rsidRDefault="00250326">
      <w:pPr>
        <w:pStyle w:val="Heading3"/>
      </w:pPr>
      <w:bookmarkStart w:id="133" w:name="goal-18"/>
      <w:r>
        <w:t>4.4.1. Goal</w:t>
      </w:r>
    </w:p>
    <w:p w14:paraId="6925290E" w14:textId="77777777" w:rsidR="00F973AA" w:rsidRDefault="00250326">
      <w:pPr>
        <w:pStyle w:val="BodyText"/>
      </w:pPr>
      <w:r>
        <w:t>Trace how corporate-governance rules developed — mostly after scandals — and explain the chain of accountability they try to enforce.</w:t>
      </w:r>
    </w:p>
    <w:p w14:paraId="51A4FC0A" w14:textId="77777777" w:rsidR="00F973AA" w:rsidRDefault="00250326">
      <w:pPr>
        <w:pStyle w:val="Heading3"/>
        <w:sectPr w:rsidR="00F973AA" w:rsidSect="00B75C3E">
          <w:footnotePr>
            <w:numRestart w:val="eachSect"/>
          </w:footnotePr>
          <w:type w:val="continuous"/>
          <w:pgSz w:w="11907" w:h="16840" w:code="9"/>
          <w:pgMar w:top="1134" w:right="1701" w:bottom="1134" w:left="1701" w:header="567" w:footer="454" w:gutter="0"/>
          <w:cols w:space="720"/>
        </w:sectPr>
      </w:pPr>
      <w:bookmarkStart w:id="134" w:name="reading-18"/>
      <w:bookmarkEnd w:id="133"/>
      <w:r>
        <w:t>4.4.2. Reading</w:t>
      </w:r>
    </w:p>
    <w:p w14:paraId="4165F26F" w14:textId="77777777" w:rsidR="00F973AA" w:rsidRDefault="00250326">
      <w:pPr>
        <w:pStyle w:val="articlebodytext"/>
      </w:pPr>
      <w:r>
        <w:t>It is often said that shareholders own a company, so shareholders run it, and that a board of directors works for the chief executive. Both statements are wrong, and correcting them is the heart of the topic. Shareholders elect a board; the board is supposed to hire, monitor, pay and, if necessary, fire the management on the owners’ behalf. Corporate governance is the set of rules and checks that tries to make that chain of accountability actually work, and it has developed mostly in response to failures.</w:t>
      </w:r>
    </w:p>
    <w:p w14:paraId="7F126E41" w14:textId="77777777" w:rsidR="00F973AA" w:rsidRDefault="00250326">
      <w:pPr>
        <w:pStyle w:val="articlebodytext"/>
      </w:pPr>
      <w:r>
        <w:t>The first modern code was Britain’s Cadbury Report of 1992, written after a run of company collapses and frauds. It recommended separating the roles of chair and chief executive, using outside non-executive directors, and setting up audit committees. Its lasting idea was “comply or explain”</w:t>
      </w:r>
      <w:r>
        <w:t>: a company may depart from the code, but must publicly say why [1]. The United States went further after Enron collapsed in 2001. The 2002 Sarbanes-Oxley Act made governance duties statutory, requiring executives to personally certify the accounts, and created a new body to police the auditors.</w:t>
      </w:r>
    </w:p>
    <w:p w14:paraId="011C9CF7" w14:textId="77777777" w:rsidR="00F973AA" w:rsidRDefault="00250326">
      <w:pPr>
        <w:pStyle w:val="articlebodytext"/>
      </w:pPr>
      <w:r>
        <w:t xml:space="preserve">The pattern — scandal, then rules — repeated elsewhere. In 2009 the founder of the Indian IT firm Satyam confessed to inflating its accounts for years, feeding directly into India’s Companies Act 2013, which required listed boards to include independent directors. In Germany, Wirecard, a DAX-listed payments company, collapsed in June 2020 after admitting that about EUR 1.9 billion of its cash had probably never existed. Its auditor had signed off for a decade; the regulator, meanwhile, had spent its energy </w:t>
      </w:r>
      <w:r>
        <w:t>investigating the journalists who raised the alarm [2].</w:t>
      </w:r>
    </w:p>
    <w:p w14:paraId="41BE7231" w14:textId="77777777" w:rsidR="00F973AA" w:rsidRDefault="00250326">
      <w:pPr>
        <w:pStyle w:val="articlebodytext"/>
      </w:pPr>
      <w:r>
        <w:t xml:space="preserve">Japan has since run one of the most sustained governance-reform programmes of any large economy. Before 2014 many listed Japanese firms had few independent directors and held blocks of each other’s shares to cement business ties, not to earn a return. A Stewardship Code in 2014 and Japan’s first Corporate Governance Code in 2015, both on “comply or explain,” </w:t>
      </w:r>
      <w:r>
        <w:t>pushed companies to add outside directors, disclose more, and unwind those cross-shareholdings [3]. In 2023 the Tokyo Stock Exchange went further, publicly pressing the roughly half of its top-tier “Prime” companies trading below the value of their own net assets to publish plans to improve capital efficiency [4]. The reforms are credited as one trigger for the strong 2023–24 rise in Japanese share prices.</w:t>
      </w:r>
    </w:p>
    <w:p w14:paraId="422FA010" w14:textId="77777777" w:rsidR="00F973AA" w:rsidRDefault="00250326">
      <w:pPr>
        <w:pStyle w:val="articlebodytext"/>
        <w:sectPr w:rsidR="00F973AA" w:rsidSect="00B75C3E">
          <w:footnotePr>
            <w:numRestart w:val="eachSect"/>
          </w:footnotePr>
          <w:type w:val="continuous"/>
          <w:pgSz w:w="11907" w:h="16840" w:code="9"/>
          <w:pgMar w:top="1134" w:right="1701" w:bottom="1134" w:left="1701" w:header="567" w:footer="454" w:gutter="0"/>
          <w:cols w:num="2" w:space="567"/>
        </w:sectPr>
      </w:pPr>
      <w:r>
        <w:t>Governance also works from the other direction, when shareholders act through the board. In 2021 a tiny activist fund, Engine No. 1, holding about 0.02% of ExxonMobil, won three of twelve board seats by persuading large institutional investors — index funds and public pension funds — to back its candidates [5]. It was the first board election decided on climate strategy, and a concrete demonstration that the owners-elect-the-board mechanism can change a company’s direction [6]. Three decades of codes and la</w:t>
      </w:r>
      <w:r>
        <w:t>ws have not prevented every scandal; what they have built is a chain of accountability that holds when someone chooses to pull on it.</w:t>
      </w:r>
    </w:p>
    <w:p w14:paraId="381C5816" w14:textId="77777777" w:rsidR="00F973AA" w:rsidRDefault="00250326">
      <w:pPr>
        <w:pStyle w:val="Heading3"/>
      </w:pPr>
      <w:bookmarkStart w:id="135" w:name="vocabulary-focus-18"/>
      <w:bookmarkEnd w:id="134"/>
      <w:r>
        <w:t>4.4.3. Vocabulary Focus</w:t>
      </w:r>
    </w:p>
    <w:p w14:paraId="326C0867" w14:textId="77777777" w:rsidR="00F973AA" w:rsidRDefault="00250326">
      <w:pPr>
        <w:pStyle w:val="FirstParagraph"/>
      </w:pPr>
      <w:r>
        <w:t>corporate governance; board of directors; non-executive (independent) director; “comply or explain”; cross-shareholding; shareholder activism</w:t>
      </w:r>
    </w:p>
    <w:p w14:paraId="758B2B09" w14:textId="77777777" w:rsidR="00F973AA" w:rsidRDefault="00250326">
      <w:pPr>
        <w:pStyle w:val="Heading3"/>
      </w:pPr>
      <w:bookmarkStart w:id="136" w:name="reading-questions-18"/>
      <w:bookmarkEnd w:id="135"/>
      <w:r>
        <w:t>4.4.4. Reading Questions</w:t>
      </w:r>
    </w:p>
    <w:p w14:paraId="76FEED61" w14:textId="77777777" w:rsidR="00F973AA" w:rsidRDefault="00250326" w:rsidP="00250326">
      <w:pPr>
        <w:pStyle w:val="Compact"/>
        <w:numPr>
          <w:ilvl w:val="0"/>
          <w:numId w:val="56"/>
        </w:numPr>
      </w:pPr>
      <w:r>
        <w:t>What is wrong with the idea that “shareholders run the company”?</w:t>
      </w:r>
    </w:p>
    <w:p w14:paraId="2CE59ED8" w14:textId="77777777" w:rsidR="00F973AA" w:rsidRDefault="00250326" w:rsidP="00250326">
      <w:pPr>
        <w:pStyle w:val="Compact"/>
        <w:numPr>
          <w:ilvl w:val="0"/>
          <w:numId w:val="56"/>
        </w:numPr>
      </w:pPr>
      <w:r>
        <w:t>What does “comply or explain” allow a company to do?</w:t>
      </w:r>
    </w:p>
    <w:p w14:paraId="000BA102" w14:textId="77777777" w:rsidR="00F973AA" w:rsidRDefault="00250326" w:rsidP="00250326">
      <w:pPr>
        <w:pStyle w:val="Compact"/>
        <w:numPr>
          <w:ilvl w:val="0"/>
          <w:numId w:val="56"/>
        </w:numPr>
      </w:pPr>
      <w:r>
        <w:t>In the Wirecard case, which checks failed, and what had the regulator been doing instead?</w:t>
      </w:r>
    </w:p>
    <w:p w14:paraId="592C89B7" w14:textId="77777777" w:rsidR="00F973AA" w:rsidRDefault="00250326" w:rsidP="00250326">
      <w:pPr>
        <w:pStyle w:val="Compact"/>
        <w:numPr>
          <w:ilvl w:val="0"/>
          <w:numId w:val="56"/>
        </w:numPr>
      </w:pPr>
      <w:r>
        <w:t>What three changes did Japan’s 2014 and 2015 codes push companies to make?</w:t>
      </w:r>
    </w:p>
    <w:p w14:paraId="1CAC0FF8" w14:textId="77777777" w:rsidR="00F973AA" w:rsidRDefault="00250326" w:rsidP="00250326">
      <w:pPr>
        <w:pStyle w:val="Compact"/>
        <w:numPr>
          <w:ilvl w:val="0"/>
          <w:numId w:val="56"/>
        </w:numPr>
        <w:spacing w:after="0"/>
      </w:pPr>
      <w:r>
        <w:t>How did a fund owning only 0.02% of ExxonMobil win three board seats?</w:t>
      </w:r>
    </w:p>
    <w:p w14:paraId="0FED6015" w14:textId="77777777" w:rsidR="00F973AA" w:rsidRDefault="00250326">
      <w:pPr>
        <w:pStyle w:val="Heading3"/>
      </w:pPr>
      <w:bookmarkStart w:id="137" w:name="discussion-questions-18"/>
      <w:bookmarkEnd w:id="136"/>
      <w:r>
        <w:t>4.4.5. Discussion Questions</w:t>
      </w:r>
    </w:p>
    <w:p w14:paraId="208BC7F1" w14:textId="77777777" w:rsidR="00F973AA" w:rsidRDefault="00250326" w:rsidP="00250326">
      <w:pPr>
        <w:pStyle w:val="Compact"/>
        <w:numPr>
          <w:ilvl w:val="0"/>
          <w:numId w:val="57"/>
        </w:numPr>
      </w:pPr>
      <w:r>
        <w:t>Governance rules have mostly followed scandals rather than prevented them. Is that inevitable, or could rules be more forward-looking?</w:t>
      </w:r>
    </w:p>
    <w:p w14:paraId="2D8238E0" w14:textId="77777777" w:rsidR="00F973AA" w:rsidRDefault="00250326" w:rsidP="00250326">
      <w:pPr>
        <w:pStyle w:val="Compact"/>
        <w:numPr>
          <w:ilvl w:val="0"/>
          <w:numId w:val="57"/>
        </w:numPr>
      </w:pPr>
      <w:r>
        <w:t>The UK uses “comply or explain” codes; the US uses hard law. What are the strengths and weaknesses of each approach?</w:t>
      </w:r>
    </w:p>
    <w:p w14:paraId="77CCB86C" w14:textId="77777777" w:rsidR="00F973AA" w:rsidRDefault="00250326" w:rsidP="00250326">
      <w:pPr>
        <w:pStyle w:val="Compact"/>
        <w:numPr>
          <w:ilvl w:val="0"/>
          <w:numId w:val="57"/>
        </w:numPr>
      </w:pPr>
      <w:r>
        <w:t>Japan’s reforms are credited with helping lift share prices, but critics say disclosing a plan is not the same as delivering results. How would you tell whether the reforms worked?</w:t>
      </w:r>
    </w:p>
    <w:p w14:paraId="03CBF947" w14:textId="77777777" w:rsidR="00F973AA" w:rsidRDefault="00250326" w:rsidP="00250326">
      <w:pPr>
        <w:pStyle w:val="Compact"/>
        <w:numPr>
          <w:ilvl w:val="0"/>
          <w:numId w:val="57"/>
        </w:numPr>
      </w:pPr>
      <w:r>
        <w:t>Should a fund owning a tiny stake be able to reshape a large company’s board? Give reasons for and against.</w:t>
      </w:r>
    </w:p>
    <w:p w14:paraId="4326DDF4" w14:textId="77777777" w:rsidR="00F973AA" w:rsidRDefault="00250326" w:rsidP="00250326">
      <w:pPr>
        <w:pStyle w:val="Compact"/>
        <w:numPr>
          <w:ilvl w:val="0"/>
          <w:numId w:val="57"/>
        </w:numPr>
        <w:spacing w:after="0"/>
      </w:pPr>
      <w:r>
        <w:t>Compare the Cadbury Report (1992), the Wirecard collapse (2020) and the Exxon board vote (2021) as moments in this history. Put them in order of how much each changed corporate governance, and defend your ranking.</w:t>
      </w:r>
    </w:p>
    <w:p w14:paraId="451DA638" w14:textId="77777777" w:rsidR="00F973AA" w:rsidRDefault="00250326">
      <w:pPr>
        <w:pStyle w:val="Heading3"/>
      </w:pPr>
      <w:bookmarkStart w:id="138" w:name="source-notes-18"/>
      <w:bookmarkEnd w:id="137"/>
      <w:r>
        <w:t>4.4.6. Source Notes</w:t>
      </w:r>
    </w:p>
    <w:p w14:paraId="1D7E7E40" w14:textId="35BF3402" w:rsidR="00F973AA" w:rsidRDefault="00250326" w:rsidP="00250326">
      <w:pPr>
        <w:pStyle w:val="Compact"/>
        <w:numPr>
          <w:ilvl w:val="0"/>
          <w:numId w:val="58"/>
        </w:numPr>
      </w:pPr>
      <w:r>
        <w:t>Cambridge Judge Business School — The Cadbury Archive: the Cadbury Report (1992)</w:t>
      </w:r>
      <w:r>
        <w:br/>
      </w:r>
      <w:hyperlink r:id="rId95">
        <w:r>
          <w:rPr>
            <w:rStyle w:val="Hyperlink"/>
          </w:rPr>
          <w:t>https://www.jbs.cam.ac.uk/faculty-research/publications/cadbury-archive/report/</w:t>
        </w:r>
      </w:hyperlink>
    </w:p>
    <w:p w14:paraId="18BE10CE" w14:textId="0881CBD6" w:rsidR="00F973AA" w:rsidRDefault="00250326" w:rsidP="00250326">
      <w:pPr>
        <w:pStyle w:val="Compact"/>
        <w:numPr>
          <w:ilvl w:val="0"/>
          <w:numId w:val="58"/>
        </w:numPr>
      </w:pPr>
      <w:r>
        <w:t>CNBC: “‘The Enron of Germany’: Wirecard scandal casts a shadow on corporate governance” (29 June 2020)</w:t>
      </w:r>
      <w:r>
        <w:br/>
      </w:r>
      <w:hyperlink r:id="rId96">
        <w:r>
          <w:rPr>
            <w:rStyle w:val="Hyperlink"/>
          </w:rPr>
          <w:t>https://www.cnbc.com/2020/06/29/enron-of-germany-wirecard-scandal-casts-a-shadow-on-governance.html</w:t>
        </w:r>
      </w:hyperlink>
    </w:p>
    <w:p w14:paraId="4E97611D" w14:textId="18216133" w:rsidR="00F973AA" w:rsidRDefault="00250326" w:rsidP="00250326">
      <w:pPr>
        <w:pStyle w:val="Compact"/>
        <w:numPr>
          <w:ilvl w:val="0"/>
          <w:numId w:val="58"/>
        </w:numPr>
      </w:pPr>
      <w:r>
        <w:t>Japan Exchange Group: “Corporate Governance Code” (2015; revised 2018, 2021)</w:t>
      </w:r>
      <w:r>
        <w:br/>
      </w:r>
      <w:hyperlink r:id="rId97">
        <w:r>
          <w:rPr>
            <w:rStyle w:val="Hyperlink"/>
          </w:rPr>
          <w:t>https://www.jpx.co.jp/english/equities/listing/cg/</w:t>
        </w:r>
      </w:hyperlink>
    </w:p>
    <w:p w14:paraId="20756ACE" w14:textId="6BEB9DB0" w:rsidR="00F973AA" w:rsidRDefault="00250326" w:rsidP="00250326">
      <w:pPr>
        <w:pStyle w:val="Compact"/>
        <w:numPr>
          <w:ilvl w:val="0"/>
          <w:numId w:val="58"/>
        </w:numPr>
      </w:pPr>
      <w:r>
        <w:t>Harvard Law School Forum on Corporate Governance: “Tokyo Stock Exchange Initiative on Cost of Capital and Stock Price Conscious Management”</w:t>
      </w:r>
      <w:r>
        <w:br/>
      </w:r>
      <w:hyperlink r:id="rId98">
        <w:r>
          <w:rPr>
            <w:rStyle w:val="Hyperlink"/>
          </w:rPr>
          <w:t>https://corpgov.law.harvard.edu/2025/10/21/tokyo-stock-exchange-initiative-on-cost-of-capital-and-stock-price-conscious-management/</w:t>
        </w:r>
      </w:hyperlink>
    </w:p>
    <w:p w14:paraId="538F2F6F" w14:textId="21B2A566" w:rsidR="00F973AA" w:rsidRDefault="00250326" w:rsidP="00250326">
      <w:pPr>
        <w:pStyle w:val="Compact"/>
        <w:numPr>
          <w:ilvl w:val="0"/>
          <w:numId w:val="58"/>
        </w:numPr>
      </w:pPr>
      <w:r>
        <w:t>CNBC: “Engine No. 1 wins at least 2 Exxon board seats as activist pushes for climate strategy change” (26 May 2021)</w:t>
      </w:r>
      <w:r>
        <w:br/>
      </w:r>
      <w:hyperlink r:id="rId99">
        <w:r>
          <w:rPr>
            <w:rStyle w:val="Hyperlink"/>
          </w:rPr>
          <w:t>https://www.cnbc.com/2021/05/26/engine-no-1-gets-at-least-2-candidates-elected-to-exxons-board-in-win-for-the-activist.html</w:t>
        </w:r>
      </w:hyperlink>
    </w:p>
    <w:p w14:paraId="371BA3EB" w14:textId="1077A431" w:rsidR="00F973AA" w:rsidRDefault="00250326" w:rsidP="00250326">
      <w:pPr>
        <w:pStyle w:val="Compact"/>
        <w:numPr>
          <w:ilvl w:val="0"/>
          <w:numId w:val="58"/>
        </w:numPr>
        <w:spacing w:after="0"/>
      </w:pPr>
      <w:r>
        <w:t>Skadden: “What the Exxon Mobil Shareholder Votes Mean” (June 2021)</w:t>
      </w:r>
      <w:r>
        <w:br/>
      </w:r>
      <w:hyperlink r:id="rId100">
        <w:r>
          <w:rPr>
            <w:rStyle w:val="Hyperlink"/>
          </w:rPr>
          <w:t>https://www.skadden.com/insights/publications/2021/06/the-informed-board/what-the-exxon-mobil-shareholder-votes-mean</w:t>
        </w:r>
      </w:hyperlink>
    </w:p>
    <w:p w14:paraId="3A6C4C1B" w14:textId="77777777" w:rsidR="00F973AA" w:rsidRDefault="00250326">
      <w:pPr>
        <w:pStyle w:val="Heading2"/>
      </w:pPr>
      <w:bookmarkStart w:id="139" w:name="Xef20604ba327252e3b1c022b0cd3c5f0a2f9ea3"/>
      <w:bookmarkEnd w:id="132"/>
      <w:bookmarkEnd w:id="138"/>
      <w:r>
        <w:t>4.5. Economic Diplomacy and International Cooperation</w:t>
      </w:r>
    </w:p>
    <w:p w14:paraId="67B08A90" w14:textId="77777777" w:rsidR="00F973AA" w:rsidRDefault="00250326">
      <w:pPr>
        <w:pStyle w:val="Heading3"/>
      </w:pPr>
      <w:bookmarkStart w:id="140" w:name="goal-19"/>
      <w:r>
        <w:t>4.5.1. Goal</w:t>
      </w:r>
    </w:p>
    <w:p w14:paraId="7AC09F95" w14:textId="77777777" w:rsidR="00F973AA" w:rsidRDefault="00250326">
      <w:pPr>
        <w:pStyle w:val="BodyText"/>
      </w:pPr>
      <w:r>
        <w:t>Show how governments use financial and trade ties as foreign-policy tools, and why doing so is costly to the country that tries it.</w:t>
      </w:r>
    </w:p>
    <w:p w14:paraId="4AB71F33" w14:textId="77777777" w:rsidR="00F973AA" w:rsidRDefault="00250326">
      <w:pPr>
        <w:pStyle w:val="Heading3"/>
        <w:sectPr w:rsidR="00F973AA" w:rsidSect="00B75C3E">
          <w:footnotePr>
            <w:numRestart w:val="eachSect"/>
          </w:footnotePr>
          <w:type w:val="continuous"/>
          <w:pgSz w:w="11907" w:h="16840" w:code="9"/>
          <w:pgMar w:top="1134" w:right="1701" w:bottom="1134" w:left="1701" w:header="567" w:footer="454" w:gutter="0"/>
          <w:cols w:space="720"/>
        </w:sectPr>
      </w:pPr>
      <w:bookmarkStart w:id="141" w:name="reading-19"/>
      <w:bookmarkEnd w:id="140"/>
      <w:r>
        <w:t>4.5.2. Reading</w:t>
      </w:r>
    </w:p>
    <w:p w14:paraId="6E34BBF8" w14:textId="77777777" w:rsidR="00F973AA" w:rsidRDefault="00250326">
      <w:pPr>
        <w:pStyle w:val="articlebodytext"/>
      </w:pPr>
      <w:r>
        <w:t>Economic diplomacy is the use of trade, investment, aid and financial ties — including the threat of cutting them off — as tools of foreign policy. It runs on two tracks: coercion, such as sanctions and asset freezes, and cooperation, such as coordinated crisis lending.</w:t>
      </w:r>
    </w:p>
    <w:p w14:paraId="781C0E21" w14:textId="77777777" w:rsidR="00F973AA" w:rsidRDefault="00250326">
      <w:pPr>
        <w:pStyle w:val="articlebodytext"/>
      </w:pPr>
      <w:r>
        <w:t xml:space="preserve">The clearest recent case of coercion is the response to Russia’s invasion of Ukraine in February 2022. A coalition of all G7 economies and the EU froze roughly US$300 billion of the Russian central bank’s reserves, cut major Russian banks out of SWIFT, and capped Russian seaborne oil at US$60 a barrel [1]. It was the largest coordinated use of financial sanctions ever applied to a major economy. About EUR 200 billion of the frozen reserves sit at a single securities depository in Belgium; rather than seize </w:t>
      </w:r>
      <w:r>
        <w:t>the principal, the EU redirects the profits to Ukraine, and in 2024 the G7 agreed a roughly US$50 billion loan, repayable from that future revenue [1].</w:t>
      </w:r>
    </w:p>
    <w:p w14:paraId="6756FDB3" w14:textId="77777777" w:rsidR="00F973AA" w:rsidRDefault="00250326">
      <w:pPr>
        <w:pStyle w:val="articlebodytext"/>
      </w:pPr>
      <w:r>
        <w:t xml:space="preserve">The episode works because deep financial connections are themselves leverage, concentrated in the US dollar. The dollar dominates reserves, trade invoicing and cross-border payments, so the United States can impose “secondary sanctions” </w:t>
      </w:r>
      <w:r>
        <w:t>— penalising firms in third countries for dealing with a sanctioned party. The cooperative track uses the same connections for shared problems: the G20 was raised to leaders’ level during the 2008 financial crisis, and it later worked with the IMF and World Bank to restructure the debts of the poorest countries.</w:t>
      </w:r>
    </w:p>
    <w:p w14:paraId="0F4FA3A8" w14:textId="77777777" w:rsidR="00F973AA" w:rsidRDefault="00250326">
      <w:pPr>
        <w:pStyle w:val="articlebodytext"/>
      </w:pPr>
      <w:r>
        <w:t>Climate finance is the clearest current example of that cooperative track, and of its limits. Rich countries pledged at Copenhagen in 2009 to mobilise US$100 billion a year for developing countries by 2020, a target met only around 2022 [2]. At COP29 in Baku in November 2024 they agreed a new goal — at least US$300 billion a year by 2035, within a broader aspiration of US$1.3 trillion — which many developing countries called far too low [3].</w:t>
      </w:r>
    </w:p>
    <w:p w14:paraId="7D461F85" w14:textId="77777777" w:rsidR="00F973AA" w:rsidRDefault="00250326">
      <w:pPr>
        <w:pStyle w:val="articlebodytext"/>
      </w:pPr>
      <w:r>
        <w:t>Japan’s handling of the 2022 sanctions shows the balancing act involved. It joined the G7 measures despite importing almost all its oil and gas, but drew one line. The trading houses Mitsui and Mitsubishi kept their 12.5% and 10% stakes in Sakhalin-2, a gas project supplying about 9% of Japan’s LNG [4], and Tokyo secured a G7 carve-out exempting it from the price cap [5]. The reasoning was blunt: solidarity with allies matters, but a country that cannot fuel its power stations has no foreign policy at all.</w:t>
      </w:r>
    </w:p>
    <w:p w14:paraId="06343A10" w14:textId="77777777" w:rsidR="00F973AA" w:rsidRDefault="00250326">
      <w:pPr>
        <w:pStyle w:val="articlebodytext"/>
        <w:sectPr w:rsidR="00F973AA" w:rsidSect="00B75C3E">
          <w:footnotePr>
            <w:numRestart w:val="eachSect"/>
          </w:footnotePr>
          <w:type w:val="continuous"/>
          <w:pgSz w:w="11907" w:h="16840" w:code="9"/>
          <w:pgMar w:top="1134" w:right="1701" w:bottom="1134" w:left="1701" w:header="567" w:footer="454" w:gutter="0"/>
          <w:cols w:num="2" w:space="567"/>
        </w:sectPr>
      </w:pPr>
      <w:r>
        <w:t>Every use of leverage has a cost to the side applying it. Europe absorbed a severe energy-price and inflation shock in 2022, and Russian oil was simply re-routed, often sold above the cap. Targets also gain a reason to build alternatives, as China has with the Asian Infrastructure Investment Bank and a growing yuan-based payments network offered as an alternative to dollar clearing [6]. The 2022 sanctions imposed large costs without forcing a change of course — which is why economic diplomacy is best descri</w:t>
      </w:r>
      <w:r>
        <w:t>bed as leverage, not control.</w:t>
      </w:r>
    </w:p>
    <w:p w14:paraId="1CA43E53" w14:textId="77777777" w:rsidR="00F973AA" w:rsidRDefault="00250326">
      <w:pPr>
        <w:pStyle w:val="Heading3"/>
      </w:pPr>
      <w:bookmarkStart w:id="142" w:name="vocabulary-focus-19"/>
      <w:bookmarkEnd w:id="141"/>
      <w:r>
        <w:t>4.5.3. Vocabulary Focus</w:t>
      </w:r>
    </w:p>
    <w:p w14:paraId="63F7A6B4" w14:textId="77777777" w:rsidR="00F973AA" w:rsidRDefault="00250326">
      <w:pPr>
        <w:pStyle w:val="FirstParagraph"/>
      </w:pPr>
      <w:r>
        <w:t>economic diplomacy; sanctions; asset freeze; SWIFT; secondary sanctions; price cap</w:t>
      </w:r>
    </w:p>
    <w:p w14:paraId="2EC33C35" w14:textId="77777777" w:rsidR="00F973AA" w:rsidRDefault="00250326">
      <w:pPr>
        <w:pStyle w:val="Heading3"/>
      </w:pPr>
      <w:bookmarkStart w:id="143" w:name="reading-questions-19"/>
      <w:bookmarkEnd w:id="142"/>
      <w:r>
        <w:t>4.5.4. Reading Questions</w:t>
      </w:r>
    </w:p>
    <w:p w14:paraId="12E9778D" w14:textId="77777777" w:rsidR="00F973AA" w:rsidRDefault="00250326" w:rsidP="00250326">
      <w:pPr>
        <w:pStyle w:val="Compact"/>
        <w:numPr>
          <w:ilvl w:val="0"/>
          <w:numId w:val="59"/>
        </w:numPr>
      </w:pPr>
      <w:r>
        <w:t>What are the two “tracks” of economic diplomacy described in the reading?</w:t>
      </w:r>
    </w:p>
    <w:p w14:paraId="219C1BD7" w14:textId="77777777" w:rsidR="00F973AA" w:rsidRDefault="00250326" w:rsidP="00250326">
      <w:pPr>
        <w:pStyle w:val="Compact"/>
        <w:numPr>
          <w:ilvl w:val="0"/>
          <w:numId w:val="59"/>
        </w:numPr>
      </w:pPr>
      <w:r>
        <w:t>What three main measures did the G7 and EU take against Russia in 2022?</w:t>
      </w:r>
    </w:p>
    <w:p w14:paraId="7CE4C2BF" w14:textId="77777777" w:rsidR="00F973AA" w:rsidRDefault="00250326" w:rsidP="00250326">
      <w:pPr>
        <w:pStyle w:val="Compact"/>
        <w:numPr>
          <w:ilvl w:val="0"/>
          <w:numId w:val="59"/>
        </w:numPr>
      </w:pPr>
      <w:r>
        <w:t>Why does the reading say the leverage behind sanctions is “concentrated in the US dollar”?</w:t>
      </w:r>
    </w:p>
    <w:p w14:paraId="6F1009B4" w14:textId="77777777" w:rsidR="00F973AA" w:rsidRDefault="00250326" w:rsidP="00250326">
      <w:pPr>
        <w:pStyle w:val="Compact"/>
        <w:numPr>
          <w:ilvl w:val="0"/>
          <w:numId w:val="59"/>
        </w:numPr>
      </w:pPr>
      <w:r>
        <w:t>What line did Japan draw when it joined the 2022 sanctions, and why?</w:t>
      </w:r>
    </w:p>
    <w:p w14:paraId="55512305" w14:textId="77777777" w:rsidR="00F973AA" w:rsidRDefault="00250326" w:rsidP="00250326">
      <w:pPr>
        <w:pStyle w:val="Compact"/>
        <w:numPr>
          <w:ilvl w:val="0"/>
          <w:numId w:val="59"/>
        </w:numPr>
        <w:spacing w:after="0"/>
      </w:pPr>
      <w:r>
        <w:t>What costs does the reading say fall on the country that applies sanctions?</w:t>
      </w:r>
    </w:p>
    <w:p w14:paraId="24B94E8F" w14:textId="77777777" w:rsidR="00F973AA" w:rsidRDefault="00250326">
      <w:pPr>
        <w:pStyle w:val="Heading3"/>
      </w:pPr>
      <w:bookmarkStart w:id="144" w:name="discussion-questions-19"/>
      <w:bookmarkEnd w:id="143"/>
      <w:r>
        <w:t>4.5.5. Discussion Questions</w:t>
      </w:r>
    </w:p>
    <w:p w14:paraId="74079252" w14:textId="77777777" w:rsidR="00F973AA" w:rsidRDefault="00250326" w:rsidP="00250326">
      <w:pPr>
        <w:pStyle w:val="Compact"/>
        <w:numPr>
          <w:ilvl w:val="0"/>
          <w:numId w:val="60"/>
        </w:numPr>
      </w:pPr>
      <w:r>
        <w:t>The reading calls economic diplomacy “leverage, not control.” What is the difference, and why does it matter for policy?</w:t>
      </w:r>
    </w:p>
    <w:p w14:paraId="618553D7" w14:textId="77777777" w:rsidR="00F973AA" w:rsidRDefault="00250326" w:rsidP="00250326">
      <w:pPr>
        <w:pStyle w:val="Compact"/>
        <w:numPr>
          <w:ilvl w:val="0"/>
          <w:numId w:val="60"/>
        </w:numPr>
      </w:pPr>
      <w:r>
        <w:t>The EU redirected the earnings on Russia’s frozen reserves rather than seizing the reserves themselves. Why might it have stopped short of seizure?</w:t>
      </w:r>
    </w:p>
    <w:p w14:paraId="52EE4947" w14:textId="77777777" w:rsidR="00F973AA" w:rsidRDefault="00250326" w:rsidP="00250326">
      <w:pPr>
        <w:pStyle w:val="Compact"/>
        <w:numPr>
          <w:ilvl w:val="0"/>
          <w:numId w:val="60"/>
        </w:numPr>
      </w:pPr>
      <w:r>
        <w:t>Sanctions push targets to build alternative institutions and payment systems. Is that an acceptable price, or a reason to use sanctions less?</w:t>
      </w:r>
    </w:p>
    <w:p w14:paraId="1A7E1165" w14:textId="77777777" w:rsidR="00F973AA" w:rsidRDefault="00250326" w:rsidP="00250326">
      <w:pPr>
        <w:pStyle w:val="Compact"/>
        <w:numPr>
          <w:ilvl w:val="0"/>
          <w:numId w:val="60"/>
        </w:numPr>
      </w:pPr>
      <w:r>
        <w:t>Compare the coercive and cooperative tracks. Which do you think does more to advance a country’s foreign-policy aims?</w:t>
      </w:r>
    </w:p>
    <w:p w14:paraId="716E190B" w14:textId="77777777" w:rsidR="00F973AA" w:rsidRDefault="00250326" w:rsidP="00250326">
      <w:pPr>
        <w:pStyle w:val="Compact"/>
        <w:numPr>
          <w:ilvl w:val="0"/>
          <w:numId w:val="60"/>
        </w:numPr>
        <w:spacing w:after="0"/>
      </w:pPr>
      <w:r>
        <w:t>You advise a government deciding whether to join an allied sanctions coalition against a country it depends on for energy. Set out the case for joining, the case against, and the conditions you would attach.</w:t>
      </w:r>
    </w:p>
    <w:p w14:paraId="27C3B488" w14:textId="77777777" w:rsidR="00F973AA" w:rsidRDefault="00250326">
      <w:pPr>
        <w:pStyle w:val="Heading3"/>
      </w:pPr>
      <w:bookmarkStart w:id="145" w:name="source-notes-19"/>
      <w:bookmarkEnd w:id="144"/>
      <w:r>
        <w:t>4.5.6. Source Notes</w:t>
      </w:r>
    </w:p>
    <w:p w14:paraId="19F190DD" w14:textId="0B863BA1" w:rsidR="00F973AA" w:rsidRDefault="00250326" w:rsidP="00250326">
      <w:pPr>
        <w:pStyle w:val="Compact"/>
        <w:numPr>
          <w:ilvl w:val="0"/>
          <w:numId w:val="61"/>
        </w:numPr>
      </w:pPr>
      <w:r>
        <w:t>Council on Foreign Relations: “How to Use Russia’s Frozen Assets”</w:t>
      </w:r>
      <w:r>
        <w:br/>
      </w:r>
      <w:hyperlink r:id="rId101">
        <w:r>
          <w:rPr>
            <w:rStyle w:val="Hyperlink"/>
          </w:rPr>
          <w:t>https://www.cfr.org/articles/how-use-russias-frozen-assets</w:t>
        </w:r>
      </w:hyperlink>
    </w:p>
    <w:p w14:paraId="634F1E63" w14:textId="1A08AD35" w:rsidR="00F973AA" w:rsidRDefault="00250326" w:rsidP="00250326">
      <w:pPr>
        <w:pStyle w:val="Compact"/>
        <w:numPr>
          <w:ilvl w:val="0"/>
          <w:numId w:val="61"/>
        </w:numPr>
      </w:pPr>
      <w:r>
        <w:t>UN News: “COP29 climate talks end with $300 billion annual pledge” (Baku, November 2024)</w:t>
      </w:r>
      <w:r>
        <w:br/>
      </w:r>
      <w:hyperlink r:id="rId102">
        <w:r>
          <w:rPr>
            <w:rStyle w:val="Hyperlink"/>
          </w:rPr>
          <w:t>https://news.un.org/en/story/2024/11/1157416</w:t>
        </w:r>
      </w:hyperlink>
    </w:p>
    <w:p w14:paraId="6D4DAD54" w14:textId="6E77D5DE" w:rsidR="00F973AA" w:rsidRDefault="00250326" w:rsidP="00250326">
      <w:pPr>
        <w:pStyle w:val="Compact"/>
        <w:numPr>
          <w:ilvl w:val="0"/>
          <w:numId w:val="61"/>
        </w:numPr>
      </w:pPr>
      <w:r>
        <w:t>UNCTAD: “Countries agree $300 billion by 2035 for new climate finance goal – what next?”</w:t>
      </w:r>
      <w:r>
        <w:br/>
      </w:r>
      <w:hyperlink r:id="rId103">
        <w:r>
          <w:rPr>
            <w:rStyle w:val="Hyperlink"/>
          </w:rPr>
          <w:t>https://unctad.org/news/countries-agree-300-billion-2035-new-climate-finance-goal-what-next</w:t>
        </w:r>
      </w:hyperlink>
    </w:p>
    <w:p w14:paraId="57FF68E6" w14:textId="78D5C914" w:rsidR="00F973AA" w:rsidRDefault="00250326" w:rsidP="00250326">
      <w:pPr>
        <w:pStyle w:val="Compact"/>
        <w:numPr>
          <w:ilvl w:val="0"/>
          <w:numId w:val="61"/>
        </w:numPr>
      </w:pPr>
      <w:r>
        <w:t>Malay Mail / Reuters: “Japan will not abandon Sakhalin-2 LNG stake, says PM Kishida” (31 March 2022)</w:t>
      </w:r>
      <w:r>
        <w:br/>
      </w:r>
      <w:hyperlink r:id="rId104">
        <w:r>
          <w:rPr>
            <w:rStyle w:val="Hyperlink"/>
          </w:rPr>
          <w:t>https://www.malaymail.com/news/money/2022/03/31/japan-will-not-abandon-sakhalin-2-lng-stake-says-pm-kishida/2050743</w:t>
        </w:r>
      </w:hyperlink>
    </w:p>
    <w:p w14:paraId="7C682348" w14:textId="7C1C6082" w:rsidR="00F973AA" w:rsidRDefault="00250326" w:rsidP="00250326">
      <w:pPr>
        <w:pStyle w:val="Compact"/>
        <w:numPr>
          <w:ilvl w:val="0"/>
          <w:numId w:val="61"/>
        </w:numPr>
      </w:pPr>
      <w:r>
        <w:t>France 24: “Sakhalin exception: the Russian energy Japan can’t quit” (19 January 2023)</w:t>
      </w:r>
      <w:r>
        <w:br/>
      </w:r>
      <w:hyperlink r:id="rId105">
        <w:r>
          <w:rPr>
            <w:rStyle w:val="Hyperlink"/>
          </w:rPr>
          <w:t>https://www.france24.com/en/live-news/20230119-sakhalin-exception-the-russian-energy-japan-can-t-quit</w:t>
        </w:r>
      </w:hyperlink>
    </w:p>
    <w:p w14:paraId="421E784B" w14:textId="4B06174B" w:rsidR="00F973AA" w:rsidRDefault="00250326" w:rsidP="00250326">
      <w:pPr>
        <w:pStyle w:val="Compact"/>
        <w:numPr>
          <w:ilvl w:val="0"/>
          <w:numId w:val="61"/>
        </w:numPr>
        <w:spacing w:after="0"/>
      </w:pPr>
      <w:r>
        <w:t>Asian Infrastructure Investment Bank: “About AIIB”</w:t>
      </w:r>
      <w:r>
        <w:br/>
      </w:r>
      <w:hyperlink r:id="rId106">
        <w:r>
          <w:rPr>
            <w:rStyle w:val="Hyperlink"/>
          </w:rPr>
          <w:t>https://www.aiib.org/en/about-aiib/index.html</w:t>
        </w:r>
      </w:hyperlink>
      <w:bookmarkEnd w:id="110"/>
      <w:bookmarkEnd w:id="139"/>
      <w:bookmarkEnd w:id="145"/>
    </w:p>
    <w:sectPr w:rsidR="00F973AA" w:rsidSect="00B75C3E">
      <w:headerReference w:type="even" r:id="rId107"/>
      <w:headerReference w:type="default" r:id="rId108"/>
      <w:footerReference w:type="even" r:id="rId109"/>
      <w:footerReference w:type="default" r:id="rId110"/>
      <w:headerReference w:type="first" r:id="rId111"/>
      <w:footerReference w:type="first" r:id="rId112"/>
      <w:footnotePr>
        <w:numRestart w:val="eachSect"/>
      </w:footnotePr>
      <w:pgSz w:w="11907" w:h="16840" w:code="9"/>
      <w:pgMar w:top="1134" w:right="1701" w:bottom="1134" w:left="1701" w:header="567" w:footer="45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7B05B" w14:textId="77777777" w:rsidR="00250326" w:rsidRDefault="00250326">
      <w:pPr>
        <w:spacing w:after="0"/>
      </w:pPr>
      <w:r>
        <w:separator/>
      </w:r>
    </w:p>
  </w:endnote>
  <w:endnote w:type="continuationSeparator" w:id="0">
    <w:p w14:paraId="2F658B6F" w14:textId="77777777" w:rsidR="00250326" w:rsidRDefault="0025032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EAA1DA12-4A19-4029-85ED-331D8C3322D3}"/>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embedRegular r:id="rId2" w:fontKey="{5166DB97-6455-4DAC-B13B-BAD3753057E2}"/>
    <w:embedBold r:id="rId3" w:fontKey="{479957A7-6B53-4D43-9B88-C24D582D0BBB}"/>
    <w:embedItalic r:id="rId4" w:fontKey="{772FFCFA-F8DF-4342-9AA8-69F7406AC64F}"/>
    <w:embedBoldItalic r:id="rId5" w:fontKey="{832D5827-D3AA-4BB3-B65F-41B1BB46ED3B}"/>
  </w:font>
  <w:font w:name="Noto Sans">
    <w:panose1 w:val="020B0502040504020204"/>
    <w:charset w:val="00"/>
    <w:family w:val="swiss"/>
    <w:pitch w:val="variable"/>
    <w:sig w:usb0="E00002FF" w:usb1="4000201F" w:usb2="08000029" w:usb3="00000000" w:csb0="0000019F" w:csb1="00000000"/>
    <w:embedRegular r:id="rId6" w:fontKey="{81763D37-D55F-49DB-B965-998B26AD118A}"/>
    <w:embedBold r:id="rId7" w:fontKey="{CEB5BBC9-9FDA-4CB7-874E-467B9812B9B8}"/>
    <w:embedItalic r:id="rId8" w:fontKey="{116970EB-E1CC-49EF-AF7B-35388BABF835}"/>
  </w:font>
  <w:font w:name="Noto Sans Condensed Medium">
    <w:altName w:val="Calibri"/>
    <w:charset w:val="00"/>
    <w:family w:val="swiss"/>
    <w:pitch w:val="variable"/>
    <w:sig w:usb0="E00002FF" w:usb1="4000201F" w:usb2="08000029" w:usb3="00000000" w:csb0="0000019F" w:csb1="00000000"/>
    <w:embedRegular r:id="rId9" w:fontKey="{4C7C952C-9438-4018-8080-D89640DFCB07}"/>
  </w:font>
  <w:font w:name="游ゴシック Light">
    <w:panose1 w:val="020B0300000000000000"/>
    <w:charset w:val="80"/>
    <w:family w:val="modern"/>
    <w:pitch w:val="variable"/>
    <w:sig w:usb0="E00002FF" w:usb1="2AC7FDFF" w:usb2="00000016" w:usb3="00000000" w:csb0="0002009F" w:csb1="00000000"/>
  </w:font>
  <w:font w:name="Noto Sans Condensed">
    <w:charset w:val="00"/>
    <w:family w:val="swiss"/>
    <w:pitch w:val="variable"/>
    <w:sig w:usb0="E00002FF" w:usb1="4000201F" w:usb2="08000029" w:usb3="00000000" w:csb0="0000019F" w:csb1="00000000"/>
    <w:embedRegular r:id="rId10" w:fontKey="{2A07F550-D93B-4E4A-96EF-E8A16D87AA4A}"/>
  </w:font>
  <w:font w:name="Noto Sans SemiBold">
    <w:panose1 w:val="020B0502040504020204"/>
    <w:charset w:val="00"/>
    <w:family w:val="swiss"/>
    <w:pitch w:val="variable"/>
    <w:sig w:usb0="E00002FF" w:usb1="4000201F" w:usb2="08000029" w:usb3="00000000" w:csb0="0000019F" w:csb1="00000000"/>
    <w:embedRegular r:id="rId11" w:fontKey="{20B51595-7DD3-4C79-B1BB-4E3454EEAEDB}"/>
    <w:embedBold r:id="rId12" w:fontKey="{0855B25A-F409-44FD-810B-CB68FC4C6BFB}"/>
  </w:font>
  <w:font w:name="Noto Sans Light">
    <w:panose1 w:val="020B0502040504020204"/>
    <w:charset w:val="00"/>
    <w:family w:val="swiss"/>
    <w:pitch w:val="variable"/>
    <w:sig w:usb0="E00002FF" w:usb1="4000201F" w:usb2="08000029" w:usb3="00000000" w:csb0="0000019F" w:csb1="00000000"/>
    <w:embedRegular r:id="rId13" w:fontKey="{05EAF7AD-6ABC-4928-8DE8-976262236DDF}"/>
  </w:font>
  <w:font w:name="Aptos Display">
    <w:charset w:val="00"/>
    <w:family w:val="swiss"/>
    <w:pitch w:val="variable"/>
    <w:sig w:usb0="20000287" w:usb1="00000003" w:usb2="00000000" w:usb3="00000000" w:csb0="0000019F" w:csb1="00000000"/>
    <w:embedRegular r:id="rId14" w:fontKey="{5A8C0EF1-672C-4888-9674-4E81E3B3F709}"/>
  </w:font>
  <w:font w:name="Consolas">
    <w:panose1 w:val="020B0609020204030204"/>
    <w:charset w:val="00"/>
    <w:family w:val="modern"/>
    <w:pitch w:val="fixed"/>
    <w:sig w:usb0="E00006FF" w:usb1="0000FCFF" w:usb2="00000001" w:usb3="00000000" w:csb0="0000019F" w:csb1="00000000"/>
    <w:embedRegular r:id="rId15" w:fontKey="{80F88A61-730A-4257-B9A6-AFE9CB565ACF}"/>
    <w:embedBold r:id="rId16" w:fontKey="{90BFD521-5F68-4879-8E74-588A9F8B39D8}"/>
    <w:embedItalic r:id="rId17" w:fontKey="{047C47CA-A9C8-498A-B72F-CCC303549C79}"/>
    <w:embedBoldItalic r:id="rId18" w:fontKey="{F5EC53C5-4CEF-4B48-BBB3-D92963408D8B}"/>
  </w:font>
  <w:font w:name="Noto Serif">
    <w:panose1 w:val="02020502060505020204"/>
    <w:charset w:val="00"/>
    <w:family w:val="roman"/>
    <w:pitch w:val="variable"/>
    <w:sig w:usb0="E00002FF" w:usb1="4000201F" w:usb2="08000029" w:usb3="00000000" w:csb0="0000019F" w:csb1="00000000"/>
    <w:embedRegular r:id="rId19" w:fontKey="{9A03ECA1-C280-4291-984C-3B589CAB5706}"/>
  </w:font>
  <w:font w:name="Noto Serif Light">
    <w:panose1 w:val="02020502060505020204"/>
    <w:charset w:val="00"/>
    <w:family w:val="roman"/>
    <w:pitch w:val="variable"/>
    <w:sig w:usb0="E00002FF" w:usb1="4000201F" w:usb2="08000029" w:usb3="00000000" w:csb0="0000019F" w:csb1="00000000"/>
    <w:embedRegular r:id="rId20" w:fontKey="{3F023299-D8DD-40B8-BFE5-39C7EBF35F0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7F4EF" w14:textId="77777777" w:rsidR="00F973AA" w:rsidRDefault="00250326">
    <w:pPr>
      <w:pStyle w:val="Footer"/>
      <w:jc w:val="center"/>
    </w:pPr>
    <w:r>
      <w:t xml:space="preserve">p. </w:t>
    </w:r>
    <w:r>
      <w:fldChar w:fldCharType="begin"/>
    </w:r>
    <w:r>
      <w:instrText>PAGE</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88C38" w14:textId="77777777" w:rsidR="00F973AA" w:rsidRDefault="00F973A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0C7F7" w14:textId="77777777" w:rsidR="00F973AA" w:rsidRDefault="00F973A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3BFC2" w14:textId="77777777" w:rsidR="00F973AA" w:rsidRDefault="00F973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C4A79" w14:textId="77777777" w:rsidR="00250326" w:rsidRDefault="00250326">
      <w:pPr>
        <w:spacing w:after="0"/>
      </w:pPr>
      <w:r>
        <w:separator/>
      </w:r>
    </w:p>
  </w:footnote>
  <w:footnote w:type="continuationSeparator" w:id="0">
    <w:p w14:paraId="5DF42EA1" w14:textId="77777777" w:rsidR="00250326" w:rsidRDefault="0025032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0CADF" w14:textId="77777777" w:rsidR="00F973AA" w:rsidRDefault="00F973A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AB61E" w14:textId="77777777" w:rsidR="00F973AA" w:rsidRDefault="00F973A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65EFA" w14:textId="77777777" w:rsidR="00F973AA" w:rsidRDefault="00F973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87D21744"/>
    <w:lvl w:ilvl="0">
      <w:start w:val="1"/>
      <w:numFmt w:val="decimal"/>
      <w:pStyle w:val="Compact"/>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787676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078386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005865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335450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735106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5829616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238323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572198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558880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494685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33080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6056294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2058614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7216537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116855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905495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211495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2689443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7112354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9329373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5981296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731235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8707398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2977949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4790291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551062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5027436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3468220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517406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33526126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36575700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8583939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6771455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3796724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092664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890759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3238950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9086071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90800156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53584535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85330020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8526451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180318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305411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8438589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73481204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4817914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0953231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4171648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9070354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9172768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20913475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645159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1815034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6029112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9063775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7751742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44449957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6144122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89742554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20218287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tylePaneFormatFilter w:val="0008" w:allStyles="0" w:customStyles="0" w:latentStyles="0" w:stylesInUse="1"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autoHyphenation/>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doNotExpandShiftReturn/>
    <w:suppressTop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0"/>
  </w:compat>
  <w:rsids>
    <w:rsidRoot w:val="001C2CB1"/>
    <w:rsid w:val="000013BF"/>
    <w:rsid w:val="00030618"/>
    <w:rsid w:val="000606AF"/>
    <w:rsid w:val="00083AA8"/>
    <w:rsid w:val="000A494D"/>
    <w:rsid w:val="000E1670"/>
    <w:rsid w:val="000E7DB6"/>
    <w:rsid w:val="00141582"/>
    <w:rsid w:val="0017535D"/>
    <w:rsid w:val="00180B44"/>
    <w:rsid w:val="001C1E80"/>
    <w:rsid w:val="001C2CB1"/>
    <w:rsid w:val="00250326"/>
    <w:rsid w:val="00251A48"/>
    <w:rsid w:val="00252517"/>
    <w:rsid w:val="00261CEB"/>
    <w:rsid w:val="00290EC5"/>
    <w:rsid w:val="0029418A"/>
    <w:rsid w:val="002D2C7A"/>
    <w:rsid w:val="00321E9D"/>
    <w:rsid w:val="00362DA6"/>
    <w:rsid w:val="00383396"/>
    <w:rsid w:val="003A49D9"/>
    <w:rsid w:val="003B18A2"/>
    <w:rsid w:val="003D3734"/>
    <w:rsid w:val="003E6CA1"/>
    <w:rsid w:val="00441C68"/>
    <w:rsid w:val="00462FA2"/>
    <w:rsid w:val="004630A7"/>
    <w:rsid w:val="004C2D33"/>
    <w:rsid w:val="00523AD5"/>
    <w:rsid w:val="0054028B"/>
    <w:rsid w:val="00542110"/>
    <w:rsid w:val="00550075"/>
    <w:rsid w:val="00556806"/>
    <w:rsid w:val="005968F8"/>
    <w:rsid w:val="005B22E7"/>
    <w:rsid w:val="006A313C"/>
    <w:rsid w:val="006A656D"/>
    <w:rsid w:val="006B18BD"/>
    <w:rsid w:val="006D58AA"/>
    <w:rsid w:val="006D63A4"/>
    <w:rsid w:val="00724919"/>
    <w:rsid w:val="007316A3"/>
    <w:rsid w:val="00734B84"/>
    <w:rsid w:val="007631BB"/>
    <w:rsid w:val="00765905"/>
    <w:rsid w:val="007918E8"/>
    <w:rsid w:val="007A07C8"/>
    <w:rsid w:val="008577E8"/>
    <w:rsid w:val="0086267A"/>
    <w:rsid w:val="008970DB"/>
    <w:rsid w:val="008A0C2B"/>
    <w:rsid w:val="008C5AF5"/>
    <w:rsid w:val="008D7992"/>
    <w:rsid w:val="008E68C4"/>
    <w:rsid w:val="009027FE"/>
    <w:rsid w:val="00953907"/>
    <w:rsid w:val="009607F6"/>
    <w:rsid w:val="0096232B"/>
    <w:rsid w:val="009863FC"/>
    <w:rsid w:val="009B488A"/>
    <w:rsid w:val="009E1544"/>
    <w:rsid w:val="009F487F"/>
    <w:rsid w:val="00A33568"/>
    <w:rsid w:val="00AA04C7"/>
    <w:rsid w:val="00AD239B"/>
    <w:rsid w:val="00AF1970"/>
    <w:rsid w:val="00AF6B07"/>
    <w:rsid w:val="00B174DE"/>
    <w:rsid w:val="00B41970"/>
    <w:rsid w:val="00B75C3E"/>
    <w:rsid w:val="00B96A60"/>
    <w:rsid w:val="00BA173B"/>
    <w:rsid w:val="00BC44BF"/>
    <w:rsid w:val="00BE110C"/>
    <w:rsid w:val="00BF3F39"/>
    <w:rsid w:val="00C211D6"/>
    <w:rsid w:val="00C26839"/>
    <w:rsid w:val="00C54B24"/>
    <w:rsid w:val="00C80EEC"/>
    <w:rsid w:val="00C95BDD"/>
    <w:rsid w:val="00CB0268"/>
    <w:rsid w:val="00CE4947"/>
    <w:rsid w:val="00CF37A2"/>
    <w:rsid w:val="00D13634"/>
    <w:rsid w:val="00D307BF"/>
    <w:rsid w:val="00D52261"/>
    <w:rsid w:val="00D775DC"/>
    <w:rsid w:val="00D96158"/>
    <w:rsid w:val="00DC5D9A"/>
    <w:rsid w:val="00DD01DD"/>
    <w:rsid w:val="00DE61E5"/>
    <w:rsid w:val="00DE632D"/>
    <w:rsid w:val="00E64A4E"/>
    <w:rsid w:val="00E65585"/>
    <w:rsid w:val="00E81FB3"/>
    <w:rsid w:val="00EA64C6"/>
    <w:rsid w:val="00EB0AB8"/>
    <w:rsid w:val="00EE1025"/>
    <w:rsid w:val="00EF011A"/>
    <w:rsid w:val="00F254BC"/>
    <w:rsid w:val="00F4751F"/>
    <w:rsid w:val="00F50FC8"/>
    <w:rsid w:val="00F865B8"/>
    <w:rsid w:val="00F973AA"/>
    <w:rsid w:val="00FB0C53"/>
    <w:rsid w:val="00FD08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3D7846"/>
  <w15:docId w15:val="{9912A15C-7FC6-498D-AE21-B8BDA09AD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F011A"/>
    <w:rPr>
      <w:rFonts w:ascii="Noto Sans" w:hAnsi="Noto Sans"/>
      <w:sz w:val="20"/>
    </w:rPr>
  </w:style>
  <w:style w:type="paragraph" w:styleId="Heading1">
    <w:name w:val="heading 1"/>
    <w:basedOn w:val="Normal"/>
    <w:next w:val="BodyText"/>
    <w:link w:val="Heading1Char"/>
    <w:uiPriority w:val="9"/>
    <w:qFormat/>
    <w:rsid w:val="00FB0C53"/>
    <w:pPr>
      <w:keepNext/>
      <w:keepLines/>
      <w:pageBreakBefore/>
      <w:suppressAutoHyphens/>
      <w:snapToGrid w:val="0"/>
      <w:spacing w:after="800"/>
      <w:outlineLvl w:val="0"/>
    </w:pPr>
    <w:rPr>
      <w:rFonts w:ascii="Noto Sans Condensed Medium" w:eastAsiaTheme="majorEastAsia" w:hAnsi="Noto Sans Condensed Medium" w:cs="Noto Sans Condensed Medium"/>
      <w:color w:val="0070C0"/>
      <w:sz w:val="72"/>
      <w:szCs w:val="72"/>
    </w:rPr>
  </w:style>
  <w:style w:type="paragraph" w:styleId="Heading2">
    <w:name w:val="heading 2"/>
    <w:basedOn w:val="Normal"/>
    <w:next w:val="BodyText"/>
    <w:link w:val="Heading2Char"/>
    <w:uiPriority w:val="9"/>
    <w:unhideWhenUsed/>
    <w:qFormat/>
    <w:rsid w:val="008577E8"/>
    <w:pPr>
      <w:keepNext/>
      <w:keepLines/>
      <w:pageBreakBefore/>
      <w:pBdr>
        <w:bottom w:val="single" w:sz="18" w:space="4" w:color="E97132" w:themeColor="accent2"/>
      </w:pBdr>
      <w:spacing w:after="320"/>
      <w:outlineLvl w:val="1"/>
    </w:pPr>
    <w:rPr>
      <w:rFonts w:ascii="Noto Sans Condensed Medium" w:eastAsiaTheme="majorEastAsia" w:hAnsi="Noto Sans Condensed Medium" w:cs="Noto Sans Condensed Medium"/>
      <w:color w:val="0070C0"/>
      <w:sz w:val="32"/>
      <w:szCs w:val="32"/>
    </w:rPr>
  </w:style>
  <w:style w:type="paragraph" w:styleId="Heading3">
    <w:name w:val="heading 3"/>
    <w:basedOn w:val="Normal"/>
    <w:next w:val="BodyText"/>
    <w:link w:val="Heading3Char"/>
    <w:uiPriority w:val="9"/>
    <w:unhideWhenUsed/>
    <w:qFormat/>
    <w:rsid w:val="00D52261"/>
    <w:pPr>
      <w:keepNext/>
      <w:keepLines/>
      <w:spacing w:before="360" w:after="160"/>
      <w:outlineLvl w:val="2"/>
    </w:pPr>
    <w:rPr>
      <w:rFonts w:ascii="Noto Sans Condensed" w:eastAsiaTheme="majorEastAsia" w:hAnsi="Noto Sans Condensed" w:cs="Noto Sans Condensed"/>
      <w:color w:val="E97132" w:themeColor="accent2"/>
      <w:sz w:val="24"/>
      <w:shd w:val="clear" w:color="auto" w:fill="CCFFFF"/>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BE110C"/>
    <w:pPr>
      <w:spacing w:after="240" w:line="336" w:lineRule="auto"/>
    </w:pPr>
  </w:style>
  <w:style w:type="paragraph" w:customStyle="1" w:styleId="FirstParagraph">
    <w:name w:val="First Paragraph"/>
    <w:basedOn w:val="BodyText"/>
    <w:next w:val="BodyText"/>
    <w:qFormat/>
    <w:rsid w:val="00141582"/>
    <w:pPr>
      <w:suppressAutoHyphens/>
      <w:snapToGrid w:val="0"/>
      <w:spacing w:line="264" w:lineRule="auto"/>
    </w:pPr>
    <w:rPr>
      <w:rFonts w:cs="Noto Sans SemiBold"/>
    </w:rPr>
  </w:style>
  <w:style w:type="paragraph" w:customStyle="1" w:styleId="Compact">
    <w:name w:val="Compact"/>
    <w:basedOn w:val="BodyText"/>
    <w:qFormat/>
    <w:rsid w:val="00D96158"/>
    <w:pPr>
      <w:numPr>
        <w:numId w:val="1"/>
      </w:numPr>
      <w:suppressAutoHyphens/>
      <w:snapToGrid w:val="0"/>
      <w:spacing w:after="160" w:line="264" w:lineRule="auto"/>
      <w:ind w:left="714" w:hanging="357"/>
    </w:pPr>
    <w:rPr>
      <w:rFonts w:cs="Noto Sans Light"/>
      <w:color w:val="000000" w:themeColor="text1"/>
    </w:r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Cs w:val="20"/>
    </w:rPr>
  </w:style>
  <w:style w:type="paragraph" w:customStyle="1" w:styleId="Abstract">
    <w:name w:val="Abstract"/>
    <w:basedOn w:val="Normal"/>
    <w:next w:val="BodyText"/>
    <w:qFormat/>
    <w:pPr>
      <w:keepNext/>
      <w:keepLines/>
      <w:spacing w:before="100" w:after="300"/>
    </w:pPr>
    <w:rPr>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FB0C53"/>
    <w:rPr>
      <w:rFonts w:ascii="Noto Sans Condensed Medium" w:eastAsiaTheme="majorEastAsia" w:hAnsi="Noto Sans Condensed Medium" w:cs="Noto Sans Condensed Medium"/>
      <w:color w:val="0070C0"/>
      <w:sz w:val="72"/>
      <w:szCs w:val="72"/>
    </w:rPr>
  </w:style>
  <w:style w:type="character" w:customStyle="1" w:styleId="Heading2Char">
    <w:name w:val="Heading 2 Char"/>
    <w:basedOn w:val="DefaultParagraphFont"/>
    <w:link w:val="Heading2"/>
    <w:uiPriority w:val="9"/>
    <w:rsid w:val="008577E8"/>
    <w:rPr>
      <w:rFonts w:ascii="Noto Sans Condensed Medium" w:eastAsiaTheme="majorEastAsia" w:hAnsi="Noto Sans Condensed Medium" w:cs="Noto Sans Condensed Medium"/>
      <w:color w:val="0070C0"/>
      <w:sz w:val="32"/>
      <w:szCs w:val="32"/>
    </w:rPr>
  </w:style>
  <w:style w:type="character" w:customStyle="1" w:styleId="Heading3Char">
    <w:name w:val="Heading 3 Char"/>
    <w:basedOn w:val="DefaultParagraphFont"/>
    <w:link w:val="Heading3"/>
    <w:uiPriority w:val="9"/>
    <w:rsid w:val="00D52261"/>
    <w:rPr>
      <w:rFonts w:ascii="Noto Sans Condensed" w:eastAsiaTheme="majorEastAsia" w:hAnsi="Noto Sans Condensed" w:cs="Noto Sans Condensed"/>
      <w:color w:val="E97132" w:themeColor="accent2"/>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sid w:val="00AA04C7"/>
    <w:rPr>
      <w:color w:val="156082" w:themeColor="accent1"/>
      <w:sz w:val="18"/>
      <w:szCs w:val="2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articlebodytext">
    <w:name w:val="article_body_text"/>
    <w:basedOn w:val="Normal"/>
    <w:link w:val="articlebodytextChar"/>
    <w:rsid w:val="00D96158"/>
    <w:pPr>
      <w:adjustRightInd w:val="0"/>
      <w:snapToGrid w:val="0"/>
      <w:spacing w:after="0" w:line="259" w:lineRule="auto"/>
      <w:ind w:firstLine="357"/>
      <w:jc w:val="both"/>
    </w:pPr>
    <w:rPr>
      <w:rFonts w:ascii="Noto Serif" w:eastAsiaTheme="majorEastAsia" w:hAnsi="Noto Serif" w:cs="Noto Serif Light"/>
      <w:snapToGrid w:val="0"/>
      <w:szCs w:val="36"/>
    </w:rPr>
  </w:style>
  <w:style w:type="character" w:customStyle="1" w:styleId="articlebodytextChar">
    <w:name w:val="article_body_text Char"/>
    <w:basedOn w:val="Heading1Char"/>
    <w:link w:val="articlebodytext"/>
    <w:rsid w:val="00D96158"/>
    <w:rPr>
      <w:rFonts w:ascii="Noto Serif" w:eastAsiaTheme="majorEastAsia" w:hAnsi="Noto Serif" w:cs="Noto Serif Light"/>
      <w:snapToGrid w:val="0"/>
      <w:color w:val="0F4761" w:themeColor="accent1" w:themeShade="BF"/>
      <w:sz w:val="20"/>
      <w:szCs w:val="36"/>
    </w:rPr>
  </w:style>
  <w:style w:type="paragraph" w:styleId="TOC1">
    <w:name w:val="toc 1"/>
    <w:basedOn w:val="Normal"/>
    <w:next w:val="Normal"/>
    <w:autoRedefine/>
    <w:uiPriority w:val="39"/>
    <w:rsid w:val="00B41970"/>
    <w:pPr>
      <w:tabs>
        <w:tab w:val="right" w:leader="dot" w:pos="8495"/>
      </w:tabs>
      <w:spacing w:after="180"/>
    </w:pPr>
    <w:rPr>
      <w:noProof/>
      <w:color w:val="0070C0"/>
    </w:rPr>
  </w:style>
  <w:style w:type="paragraph" w:styleId="TOC2">
    <w:name w:val="toc 2"/>
    <w:basedOn w:val="Normal"/>
    <w:next w:val="Normal"/>
    <w:autoRedefine/>
    <w:uiPriority w:val="39"/>
    <w:rsid w:val="00734B84"/>
    <w:pPr>
      <w:tabs>
        <w:tab w:val="right" w:leader="dot" w:pos="8495"/>
      </w:tabs>
      <w:snapToGrid w:val="0"/>
      <w:spacing w:after="180"/>
      <w:ind w:left="221"/>
    </w:pPr>
    <w:rPr>
      <w:noProof/>
      <w:color w:val="BF4E14" w:themeColor="accent2" w:themeShade="BF"/>
    </w:rPr>
  </w:style>
  <w:style w:type="paragraph" w:styleId="TOC3">
    <w:name w:val="toc 3"/>
    <w:basedOn w:val="Normal"/>
    <w:next w:val="Normal"/>
    <w:autoRedefine/>
    <w:uiPriority w:val="39"/>
    <w:rsid w:val="009E1544"/>
    <w:pPr>
      <w:spacing w:after="100"/>
      <w:ind w:left="440"/>
    </w:pPr>
  </w:style>
  <w:style w:type="paragraph" w:styleId="TOC4">
    <w:name w:val="toc 4"/>
    <w:basedOn w:val="Normal"/>
    <w:next w:val="Normal"/>
    <w:autoRedefine/>
    <w:uiPriority w:val="39"/>
    <w:unhideWhenUsed/>
    <w:rsid w:val="009E1544"/>
    <w:pPr>
      <w:spacing w:after="100" w:line="278" w:lineRule="auto"/>
      <w:ind w:left="720"/>
    </w:pPr>
    <w:rPr>
      <w:rFonts w:asciiTheme="minorHAnsi" w:hAnsiTheme="minorHAnsi"/>
      <w:kern w:val="2"/>
      <w:sz w:val="24"/>
      <w:lang w:val="en-GB" w:eastAsia="ja-JP"/>
      <w14:ligatures w14:val="standardContextual"/>
    </w:rPr>
  </w:style>
  <w:style w:type="paragraph" w:styleId="TOC5">
    <w:name w:val="toc 5"/>
    <w:basedOn w:val="Normal"/>
    <w:next w:val="Normal"/>
    <w:autoRedefine/>
    <w:uiPriority w:val="39"/>
    <w:unhideWhenUsed/>
    <w:rsid w:val="009E1544"/>
    <w:pPr>
      <w:spacing w:after="100" w:line="278" w:lineRule="auto"/>
      <w:ind w:left="960"/>
    </w:pPr>
    <w:rPr>
      <w:rFonts w:asciiTheme="minorHAnsi" w:hAnsiTheme="minorHAnsi"/>
      <w:kern w:val="2"/>
      <w:sz w:val="24"/>
      <w:lang w:val="en-GB" w:eastAsia="ja-JP"/>
      <w14:ligatures w14:val="standardContextual"/>
    </w:rPr>
  </w:style>
  <w:style w:type="paragraph" w:styleId="TOC6">
    <w:name w:val="toc 6"/>
    <w:basedOn w:val="Normal"/>
    <w:next w:val="Normal"/>
    <w:autoRedefine/>
    <w:uiPriority w:val="39"/>
    <w:unhideWhenUsed/>
    <w:rsid w:val="009E1544"/>
    <w:pPr>
      <w:spacing w:after="100" w:line="278" w:lineRule="auto"/>
      <w:ind w:left="1200"/>
    </w:pPr>
    <w:rPr>
      <w:rFonts w:asciiTheme="minorHAnsi" w:hAnsiTheme="minorHAnsi"/>
      <w:kern w:val="2"/>
      <w:sz w:val="24"/>
      <w:lang w:val="en-GB" w:eastAsia="ja-JP"/>
      <w14:ligatures w14:val="standardContextual"/>
    </w:rPr>
  </w:style>
  <w:style w:type="paragraph" w:styleId="TOC7">
    <w:name w:val="toc 7"/>
    <w:basedOn w:val="Normal"/>
    <w:next w:val="Normal"/>
    <w:autoRedefine/>
    <w:uiPriority w:val="39"/>
    <w:unhideWhenUsed/>
    <w:rsid w:val="009E1544"/>
    <w:pPr>
      <w:spacing w:after="100" w:line="278" w:lineRule="auto"/>
      <w:ind w:left="1440"/>
    </w:pPr>
    <w:rPr>
      <w:rFonts w:asciiTheme="minorHAnsi" w:hAnsiTheme="minorHAnsi"/>
      <w:kern w:val="2"/>
      <w:sz w:val="24"/>
      <w:lang w:val="en-GB" w:eastAsia="ja-JP"/>
      <w14:ligatures w14:val="standardContextual"/>
    </w:rPr>
  </w:style>
  <w:style w:type="paragraph" w:styleId="TOC8">
    <w:name w:val="toc 8"/>
    <w:basedOn w:val="Normal"/>
    <w:next w:val="Normal"/>
    <w:autoRedefine/>
    <w:uiPriority w:val="39"/>
    <w:unhideWhenUsed/>
    <w:rsid w:val="009E1544"/>
    <w:pPr>
      <w:spacing w:after="100" w:line="278" w:lineRule="auto"/>
      <w:ind w:left="1680"/>
    </w:pPr>
    <w:rPr>
      <w:rFonts w:asciiTheme="minorHAnsi" w:hAnsiTheme="minorHAnsi"/>
      <w:kern w:val="2"/>
      <w:sz w:val="24"/>
      <w:lang w:val="en-GB" w:eastAsia="ja-JP"/>
      <w14:ligatures w14:val="standardContextual"/>
    </w:rPr>
  </w:style>
  <w:style w:type="paragraph" w:styleId="TOC9">
    <w:name w:val="toc 9"/>
    <w:basedOn w:val="Normal"/>
    <w:next w:val="Normal"/>
    <w:autoRedefine/>
    <w:uiPriority w:val="39"/>
    <w:unhideWhenUsed/>
    <w:rsid w:val="009E1544"/>
    <w:pPr>
      <w:spacing w:after="100" w:line="278" w:lineRule="auto"/>
      <w:ind w:left="1920"/>
    </w:pPr>
    <w:rPr>
      <w:rFonts w:asciiTheme="minorHAnsi" w:hAnsiTheme="minorHAnsi"/>
      <w:kern w:val="2"/>
      <w:sz w:val="24"/>
      <w:lang w:val="en-GB" w:eastAsia="ja-JP"/>
      <w14:ligatures w14:val="standardContextual"/>
    </w:rPr>
  </w:style>
  <w:style w:type="character" w:styleId="UnresolvedMention">
    <w:name w:val="Unresolved Mention"/>
    <w:basedOn w:val="DefaultParagraphFont"/>
    <w:uiPriority w:val="99"/>
    <w:semiHidden/>
    <w:unhideWhenUsed/>
    <w:rsid w:val="009E1544"/>
    <w:rPr>
      <w:color w:val="605E5C"/>
      <w:shd w:val="clear" w:color="auto" w:fill="E1DFDD"/>
    </w:rPr>
  </w:style>
  <w:style w:type="paragraph" w:styleId="Header">
    <w:name w:val="header"/>
    <w:basedOn w:val="Normal"/>
    <w:link w:val="HeaderChar"/>
    <w:rsid w:val="00B75C3E"/>
    <w:pPr>
      <w:tabs>
        <w:tab w:val="center" w:pos="4513"/>
        <w:tab w:val="right" w:pos="9026"/>
      </w:tabs>
      <w:spacing w:after="0"/>
    </w:pPr>
  </w:style>
  <w:style w:type="character" w:customStyle="1" w:styleId="HeaderChar">
    <w:name w:val="Header Char"/>
    <w:basedOn w:val="DefaultParagraphFont"/>
    <w:link w:val="Header"/>
    <w:rsid w:val="00B75C3E"/>
    <w:rPr>
      <w:rFonts w:ascii="Noto Sans" w:hAnsi="Noto Sans"/>
      <w:sz w:val="22"/>
    </w:rPr>
  </w:style>
  <w:style w:type="paragraph" w:styleId="Footer">
    <w:name w:val="footer"/>
    <w:basedOn w:val="Normal"/>
    <w:link w:val="FooterChar"/>
    <w:uiPriority w:val="99"/>
    <w:rsid w:val="00B75C3E"/>
    <w:pPr>
      <w:tabs>
        <w:tab w:val="center" w:pos="4513"/>
        <w:tab w:val="right" w:pos="9026"/>
      </w:tabs>
      <w:spacing w:after="0"/>
    </w:pPr>
  </w:style>
  <w:style w:type="character" w:customStyle="1" w:styleId="FooterChar">
    <w:name w:val="Footer Char"/>
    <w:basedOn w:val="DefaultParagraphFont"/>
    <w:link w:val="Footer"/>
    <w:uiPriority w:val="99"/>
    <w:rsid w:val="00B75C3E"/>
    <w:rPr>
      <w:rFonts w:ascii="Noto Sans" w:hAnsi="Noto Sans"/>
      <w:sz w:val="22"/>
    </w:rPr>
  </w:style>
  <w:style w:type="character" w:styleId="FollowedHyperlink">
    <w:name w:val="FollowedHyperlink"/>
    <w:basedOn w:val="DefaultParagraphFont"/>
    <w:rsid w:val="0029418A"/>
    <w:rPr>
      <w:color w:val="96607D" w:themeColor="followedHyperlink"/>
      <w:u w:val="single"/>
    </w:rPr>
  </w:style>
  <w:style w:type="paragraph" w:customStyle="1" w:styleId="glossarypara">
    <w:name w:val="glossary_para"/>
    <w:basedOn w:val="BodyText"/>
    <w:qFormat/>
    <w:rsid w:val="008970DB"/>
    <w:pPr>
      <w:snapToGrid w:val="0"/>
      <w:spacing w:after="120" w:line="240" w:lineRule="auto"/>
      <w:jc w:val="both"/>
    </w:pPr>
    <w:rPr>
      <w:rFonts w:ascii="Noto Serif Light" w:hAnsi="Noto Serif Light" w:cs="Noto Serif Light"/>
      <w:sz w:val="18"/>
      <w:szCs w:val="18"/>
    </w:rPr>
  </w:style>
  <w:style w:type="character" w:customStyle="1" w:styleId="glossarydescriptionchar">
    <w:name w:val="glossary_description_char"/>
    <w:basedOn w:val="DefaultParagraphFont"/>
    <w:uiPriority w:val="1"/>
    <w:qFormat/>
    <w:rsid w:val="00CF37A2"/>
    <w:rPr>
      <w:rFonts w:ascii="Noto Serif Light" w:hAnsi="Noto Serif Light"/>
      <w:sz w:val="18"/>
    </w:rPr>
  </w:style>
  <w:style w:type="character" w:customStyle="1" w:styleId="glossarytermchar">
    <w:name w:val="glossary_term_char"/>
    <w:basedOn w:val="DefaultParagraphFont"/>
    <w:uiPriority w:val="1"/>
    <w:qFormat/>
    <w:rsid w:val="00CF37A2"/>
    <w:rPr>
      <w:rFonts w:ascii="Noto Sans SemiBold" w:hAnsi="Noto Sans SemiBold" w:cs="Noto Sans SemiBold"/>
      <w:bCs/>
      <w:color w:val="BF4E14" w:themeColor="accent2" w:themeShade="B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centralbank.go.ke/2024/12/13/10960/" TargetMode="External"/><Relationship Id="rId21" Type="http://schemas.openxmlformats.org/officeDocument/2006/relationships/hyperlink" Target="https://www.dlapiper.com/en/insights/publications/2025/01/dla-piper-gdpr-fines-and-data-breach-survey-january-2025" TargetMode="External"/><Relationship Id="rId42" Type="http://schemas.openxmlformats.org/officeDocument/2006/relationships/hyperlink" Target="https://www.imf.org/external/datamapper/GGXWDG_NGDP@WEO" TargetMode="External"/><Relationship Id="rId47" Type="http://schemas.openxmlformats.org/officeDocument/2006/relationships/hyperlink" Target="https://www.eib.org/en/press/all/2022-308-15-years-of-eib-green-bonds-leading-sustainable-investment-from-niche-to-mainstream" TargetMode="External"/><Relationship Id="rId63" Type="http://schemas.openxmlformats.org/officeDocument/2006/relationships/hyperlink" Target="https://www.aljazeera.com/news/2025/8/27/us-imposes-50-percent-tariff-on-india-over-russian-oil-purchases" TargetMode="External"/><Relationship Id="rId68" Type="http://schemas.openxmlformats.org/officeDocument/2006/relationships/hyperlink" Target="https://www.japantimes.co.jp/news/2024/07/03/japan/society/pension-funds/" TargetMode="External"/><Relationship Id="rId84" Type="http://schemas.openxmlformats.org/officeDocument/2006/relationships/hyperlink" Target="https://www.sciencedirect.com/science/article/abs/pii/S0304405X21004281" TargetMode="External"/><Relationship Id="rId89" Type="http://schemas.openxmlformats.org/officeDocument/2006/relationships/hyperlink" Target="https://wir2022.wid.world/executive-summary/" TargetMode="External"/><Relationship Id="rId112" Type="http://schemas.openxmlformats.org/officeDocument/2006/relationships/footer" Target="footer4.xml"/><Relationship Id="rId16" Type="http://schemas.openxmlformats.org/officeDocument/2006/relationships/hyperlink" Target="https://www.fca.org.uk/news/press-releases/financial-conduct-authority%E2%80%99s-regulatory-sandbox-opens-applications" TargetMode="External"/><Relationship Id="rId107" Type="http://schemas.openxmlformats.org/officeDocument/2006/relationships/header" Target="header1.xml"/><Relationship Id="rId11" Type="http://schemas.openxmlformats.org/officeDocument/2006/relationships/hyperlink" Target="https://www.whitehouse.gov/fact-sheets/2025/07/fact-sheet-president-donald-j-trump-signs-genius-act-into-law/" TargetMode="External"/><Relationship Id="rId32" Type="http://schemas.openxmlformats.org/officeDocument/2006/relationships/hyperlink" Target="https://www.sec.gov/ocr/ocr-reports-and-studies" TargetMode="External"/><Relationship Id="rId37" Type="http://schemas.openxmlformats.org/officeDocument/2006/relationships/hyperlink" Target="https://content.naic.org/cipr-topics/risk-based-capital" TargetMode="External"/><Relationship Id="rId53" Type="http://schemas.openxmlformats.org/officeDocument/2006/relationships/hyperlink" Target="https://www.asce.org/publications-and-news/civil-engineering-source/society-news/article/2025/03/25/asce-report-card-gives-us-infrastructure-highest-ever-c-grade" TargetMode="External"/><Relationship Id="rId58" Type="http://schemas.openxmlformats.org/officeDocument/2006/relationships/hyperlink" Target="https://libertystreeteconomics.newyorkfed.org/2026/02/who-is-paying-for-the-2025-u-s-tariffs/" TargetMode="External"/><Relationship Id="rId74" Type="http://schemas.openxmlformats.org/officeDocument/2006/relationships/hyperlink" Target="https://www.worldbank.org/en/news/press-release/2026/01/13/global-economic-prospects-january-2026-press-release" TargetMode="External"/><Relationship Id="rId79" Type="http://schemas.openxmlformats.org/officeDocument/2006/relationships/hyperlink" Target="https://www.fsa.go.jp/en/news/2021/20211221/20211221.html" TargetMode="External"/><Relationship Id="rId102" Type="http://schemas.openxmlformats.org/officeDocument/2006/relationships/hyperlink" Target="https://news.un.org/en/story/2024/11/1157416" TargetMode="External"/><Relationship Id="rId5" Type="http://schemas.openxmlformats.org/officeDocument/2006/relationships/footnotes" Target="footnotes.xml"/><Relationship Id="rId90" Type="http://schemas.openxmlformats.org/officeDocument/2006/relationships/hyperlink" Target="https://www.stlouisfed.org/community-development/publications/the-state-of-us-household-wealth" TargetMode="External"/><Relationship Id="rId95" Type="http://schemas.openxmlformats.org/officeDocument/2006/relationships/hyperlink" Target="https://www.jbs.cam.ac.uk/faculty-research/publications/cadbury-archive/report/" TargetMode="External"/><Relationship Id="rId22" Type="http://schemas.openxmlformats.org/officeDocument/2006/relationships/hyperlink" Target="https://www.consumerfinance.gov/archive/newsroom/cfpb-ftc-states-announce-settlement-with-equifax-over-2017-data-breach/" TargetMode="External"/><Relationship Id="rId27" Type="http://schemas.openxmlformats.org/officeDocument/2006/relationships/hyperlink" Target="https://www.bis.org/publ/bisbull52.htm" TargetMode="External"/><Relationship Id="rId43" Type="http://schemas.openxmlformats.org/officeDocument/2006/relationships/hyperlink" Target="https://www.mof.go.jp/english/policy/jgbs/reference/Others/holdings01.pdf" TargetMode="External"/><Relationship Id="rId48" Type="http://schemas.openxmlformats.org/officeDocument/2006/relationships/hyperlink" Target="https://www.bis.org/publ/qtrpdf/r_qt2503d.htm" TargetMode="External"/><Relationship Id="rId64" Type="http://schemas.openxmlformats.org/officeDocument/2006/relationships/hyperlink" Target="https://www.customs.go.jp/english/c-answer_e/keizairenkei/4052_e.htm" TargetMode="External"/><Relationship Id="rId69" Type="http://schemas.openxmlformats.org/officeDocument/2006/relationships/hyperlink" Target="https://www.mhlw.go.jp/english/policy/pension/pension/dl/act_250926a.pdf" TargetMode="External"/><Relationship Id="rId113" Type="http://schemas.openxmlformats.org/officeDocument/2006/relationships/fontTable" Target="fontTable.xml"/><Relationship Id="rId80" Type="http://schemas.openxmlformats.org/officeDocument/2006/relationships/hyperlink" Target="https://www.justice.gov/archives/opa/pr/danske-bank-pleads-guilty-fraud-us-banks-multi-billion-dollar-scheme-access-us-financial" TargetMode="External"/><Relationship Id="rId85" Type="http://schemas.openxmlformats.org/officeDocument/2006/relationships/hyperlink" Target="https://www.ngpf.org/state-of-financial-education-report" TargetMode="External"/><Relationship Id="rId12" Type="http://schemas.openxmlformats.org/officeDocument/2006/relationships/hyperlink" Target="https://www.bis.org/publ/bppdf/bispap159.htm" TargetMode="External"/><Relationship Id="rId17" Type="http://schemas.openxmlformats.org/officeDocument/2006/relationships/hyperlink" Target="https://documents1.worldbank.org/curated/en/912001605241080935/txt/Global-Experiences-from-Regulatory-Sandboxes.txt" TargetMode="External"/><Relationship Id="rId33" Type="http://schemas.openxmlformats.org/officeDocument/2006/relationships/hyperlink" Target="https://www.justice.gov/archives/opa/pr/justice-department-and-state-partners-secure-1375-billion-settlement-sp-defrauding-investors" TargetMode="External"/><Relationship Id="rId38" Type="http://schemas.openxmlformats.org/officeDocument/2006/relationships/hyperlink" Target="https://www.federalreserve.gov/newsevents/pressreleases/bcreg20090507a.htm" TargetMode="External"/><Relationship Id="rId59" Type="http://schemas.openxmlformats.org/officeDocument/2006/relationships/hyperlink" Target="https://cepr.org/voxeu/columns/foreign-exporters-absorbed-nearly-half-2025-us-tariff-shock" TargetMode="External"/><Relationship Id="rId103" Type="http://schemas.openxmlformats.org/officeDocument/2006/relationships/hyperlink" Target="https://unctad.org/news/countries-agree-300-billion-2035-new-climate-finance-goal-what-next" TargetMode="External"/><Relationship Id="rId108" Type="http://schemas.openxmlformats.org/officeDocument/2006/relationships/header" Target="header2.xml"/><Relationship Id="rId54" Type="http://schemas.openxmlformats.org/officeDocument/2006/relationships/hyperlink" Target="https://www.bloomberg.com/news/articles/2024-01-23/eu-faces-481-billion-annual-shortfall-on-strategic-investments" TargetMode="External"/><Relationship Id="rId70" Type="http://schemas.openxmlformats.org/officeDocument/2006/relationships/hyperlink" Target="https://www.oecd.org/en/publications/2025/11/pensions-at-a-glance-2025_76510fe4/full-report/demographic-old-age-to-working-age-ratio_25476b96.html" TargetMode="External"/><Relationship Id="rId75" Type="http://schemas.openxmlformats.org/officeDocument/2006/relationships/hyperlink" Target="https://www.bls.gov/opub/ted/2022/consumer-prices-up-9-1-percent-over-the-year-ended-june-2022-largest-increase-in-40-years.htm" TargetMode="External"/><Relationship Id="rId91" Type="http://schemas.openxmlformats.org/officeDocument/2006/relationships/hyperlink" Target="https://www.oecd.org/en/publications/the-role-and-design-of-net-wealth-taxes-in-the-oecd_9789264290303-en.html" TargetMode="External"/><Relationship Id="rId96" Type="http://schemas.openxmlformats.org/officeDocument/2006/relationships/hyperlink" Target="https://www.cnbc.com/2020/06/29/enron-of-germany-wirecard-scandal-casts-a-shadow-on-governance.html"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ecb.europa.eu/press/pr/date/2025/html/ecb.pr251030~8c5b5beef0.en.html" TargetMode="External"/><Relationship Id="rId23" Type="http://schemas.openxmlformats.org/officeDocument/2006/relationships/hyperlink" Target="https://eur-lex.europa.eu/legal-content/EN/TXT/?uri=CELEX%3A32019D0419" TargetMode="External"/><Relationship Id="rId28" Type="http://schemas.openxmlformats.org/officeDocument/2006/relationships/hyperlink" Target="https://www.meti.go.jp/english/press/2025/0331_001.html" TargetMode="External"/><Relationship Id="rId36" Type="http://schemas.openxmlformats.org/officeDocument/2006/relationships/hyperlink" Target="https://www.eiopa.europa.eu/browse/regulation-and-policy/solvency-ii_en" TargetMode="External"/><Relationship Id="rId49" Type="http://schemas.openxmlformats.org/officeDocument/2006/relationships/hyperlink" Target="https://eur-lex.europa.eu/EN/legal-content/summary/european-green-bond-standard.html" TargetMode="External"/><Relationship Id="rId57" Type="http://schemas.openxmlformats.org/officeDocument/2006/relationships/hyperlink" Target="https://www.worldbank.org/en/about/annual-report/financial-summary" TargetMode="External"/><Relationship Id="rId106" Type="http://schemas.openxmlformats.org/officeDocument/2006/relationships/hyperlink" Target="https://www.aiib.org/en/about-aiib/index.html" TargetMode="External"/><Relationship Id="rId114" Type="http://schemas.openxmlformats.org/officeDocument/2006/relationships/theme" Target="theme/theme1.xml"/><Relationship Id="rId10" Type="http://schemas.openxmlformats.org/officeDocument/2006/relationships/hyperlink" Target="https://www.esma.europa.eu/esmas-activities/digital-finance-and-innovation/markets-crypto-assets-regulation-mica" TargetMode="External"/><Relationship Id="rId31" Type="http://schemas.openxmlformats.org/officeDocument/2006/relationships/hyperlink" Target="https://www.investor.gov/introduction-investing/investing-basics/glossary/stock-market-circuit-breakers" TargetMode="External"/><Relationship Id="rId44" Type="http://schemas.openxmlformats.org/officeDocument/2006/relationships/hyperlink" Target="https://www.dmo.gov.uk/media/dmgaetip/gar2025a.pdf" TargetMode="External"/><Relationship Id="rId52" Type="http://schemas.openxmlformats.org/officeDocument/2006/relationships/hyperlink" Target="https://www.gihub.org/media/global-infrastructure-investment-need-to-reach-usd97-trillion-by-2040/" TargetMode="External"/><Relationship Id="rId60" Type="http://schemas.openxmlformats.org/officeDocument/2006/relationships/hyperlink" Target="https://budgetlab.yale.edu/research/state-us-tariffs-october-17-2025" TargetMode="External"/><Relationship Id="rId65" Type="http://schemas.openxmlformats.org/officeDocument/2006/relationships/hyperlink" Target="https://www.ssa.gov/policy/docs/progdesc/intl_update/2023-06/index.html" TargetMode="External"/><Relationship Id="rId73" Type="http://schemas.openxmlformats.org/officeDocument/2006/relationships/hyperlink" Target="https://www.ecb.europa.eu/mopo/implement/pepp/html/index.en.html" TargetMode="External"/><Relationship Id="rId78" Type="http://schemas.openxmlformats.org/officeDocument/2006/relationships/hyperlink" Target="https://www.fatf-gafi.org/en/the-fatf/history-of-the-fatf.html" TargetMode="External"/><Relationship Id="rId81" Type="http://schemas.openxmlformats.org/officeDocument/2006/relationships/hyperlink" Target="https://www.justice.gov/archives/opa/gallery/td-bank-pleads-guilty-bank-secrecy-act-and-money-laundering-conspiracy-violations-18b" TargetMode="External"/><Relationship Id="rId86" Type="http://schemas.openxmlformats.org/officeDocument/2006/relationships/hyperlink" Target="https://www.nefe.org/news/2024/08/2024-legislative-review.aspx" TargetMode="External"/><Relationship Id="rId94" Type="http://schemas.openxmlformats.org/officeDocument/2006/relationships/hyperlink" Target="https://www.npr.org/2024/08/04/nx-s1-5060344/at-the-g20-a-billionaire-tax-is-being-proposed-but-is-it-feasible" TargetMode="External"/><Relationship Id="rId99" Type="http://schemas.openxmlformats.org/officeDocument/2006/relationships/hyperlink" Target="https://www.cnbc.com/2021/05/26/engine-no-1-gets-at-least-2-candidates-elected-to-exxons-board-in-win-for-the-activist.html" TargetMode="External"/><Relationship Id="rId101" Type="http://schemas.openxmlformats.org/officeDocument/2006/relationships/hyperlink" Target="https://www.cfr.org/articles/how-use-russias-frozen-assets" TargetMode="External"/><Relationship Id="rId4" Type="http://schemas.openxmlformats.org/officeDocument/2006/relationships/webSettings" Target="webSettings.xml"/><Relationship Id="rId9" Type="http://schemas.openxmlformats.org/officeDocument/2006/relationships/hyperlink" Target="https://www.pbs.org/newshour/show/bankman-fried-sentenced-to-25-years-in-prison-for-massive-ftx-fraud" TargetMode="External"/><Relationship Id="rId13" Type="http://schemas.openxmlformats.org/officeDocument/2006/relationships/hyperlink" Target="https://www.imf.org/-/media/files/publications/ftn063/2024/english/ftnea2024005.pdf" TargetMode="External"/><Relationship Id="rId18" Type="http://schemas.openxmlformats.org/officeDocument/2006/relationships/hyperlink" Target="https://finance.ec.europa.eu/consumer-finance-and-payments/payment-services/payment-services_en" TargetMode="External"/><Relationship Id="rId39" Type="http://schemas.openxmlformats.org/officeDocument/2006/relationships/hyperlink" Target="https://www.eba.europa.eu/publications-and-media/press-releases/eba-publishes-results-its-2025-eu-wide-stress-test" TargetMode="External"/><Relationship Id="rId109" Type="http://schemas.openxmlformats.org/officeDocument/2006/relationships/footer" Target="footer2.xml"/><Relationship Id="rId34" Type="http://schemas.openxmlformats.org/officeDocument/2006/relationships/hyperlink" Target="https://www.esma.europa.eu/esmas-activities/investors-and-issuers/credit-rating-agencies" TargetMode="External"/><Relationship Id="rId50" Type="http://schemas.openxmlformats.org/officeDocument/2006/relationships/hyperlink" Target="https://www.mof.go.jp/english/policy/jgbs/topics/JapanClimateTransitionBonds/index.html" TargetMode="External"/><Relationship Id="rId55" Type="http://schemas.openxmlformats.org/officeDocument/2006/relationships/hyperlink" Target="https://asia.nikkei.com/spotlight/datawatch/aging-infrastructure-a-major-roadblock-to-japan-s-future" TargetMode="External"/><Relationship Id="rId76" Type="http://schemas.openxmlformats.org/officeDocument/2006/relationships/hyperlink" Target="https://www.japantimes.co.jp/news/2023/02/24/business/inflation-record-high/" TargetMode="External"/><Relationship Id="rId97" Type="http://schemas.openxmlformats.org/officeDocument/2006/relationships/hyperlink" Target="https://www.jpx.co.jp/english/equities/listing/cg/" TargetMode="External"/><Relationship Id="rId104" Type="http://schemas.openxmlformats.org/officeDocument/2006/relationships/hyperlink" Target="https://www.malaymail.com/news/money/2022/03/31/japan-will-not-abandon-sakhalin-2-lng-stake-says-pm-kishida/2050743" TargetMode="External"/><Relationship Id="rId7" Type="http://schemas.openxmlformats.org/officeDocument/2006/relationships/footer" Target="footer1.xml"/><Relationship Id="rId71" Type="http://schemas.openxmlformats.org/officeDocument/2006/relationships/hyperlink" Target="https://www.imf.org/en/publications/weo/issues/2020/04/14/weo-april-2020" TargetMode="External"/><Relationship Id="rId92" Type="http://schemas.openxmlformats.org/officeDocument/2006/relationships/hyperlink" Target="https://www.dir.co.jp/english/research/report/law-research/20230113_023550.html" TargetMode="External"/><Relationship Id="rId2" Type="http://schemas.openxmlformats.org/officeDocument/2006/relationships/styles" Target="styles.xml"/><Relationship Id="rId29" Type="http://schemas.openxmlformats.org/officeDocument/2006/relationships/hyperlink" Target="https://www.jpx.co.jp/english/derivatives/rules/price-limit-cb/" TargetMode="External"/><Relationship Id="rId24" Type="http://schemas.openxmlformats.org/officeDocument/2006/relationships/hyperlink" Target="https://fpf.org/blog/the-digital-personal-data-protection-act-of-india-explained/" TargetMode="External"/><Relationship Id="rId40" Type="http://schemas.openxmlformats.org/officeDocument/2006/relationships/hyperlink" Target="https://www.fdic.gov/news/speeches/2023/spmar2723.html" TargetMode="External"/><Relationship Id="rId45" Type="http://schemas.openxmlformats.org/officeDocument/2006/relationships/hyperlink" Target="https://www.congress.gov/crs-product/RS22331" TargetMode="External"/><Relationship Id="rId66" Type="http://schemas.openxmlformats.org/officeDocument/2006/relationships/hyperlink" Target="https://www.ssa.gov/news/en/press/releases/2026-06-09.html" TargetMode="External"/><Relationship Id="rId87" Type="http://schemas.openxmlformats.org/officeDocument/2006/relationships/hyperlink" Target="https://maps.org.uk/en/our-work/uk-strategy-for-financial-wellbeing" TargetMode="External"/><Relationship Id="rId110" Type="http://schemas.openxmlformats.org/officeDocument/2006/relationships/footer" Target="footer3.xml"/><Relationship Id="rId61" Type="http://schemas.openxmlformats.org/officeDocument/2006/relationships/hyperlink" Target="https://www.congress.gov/crs-product/LSB11398" TargetMode="External"/><Relationship Id="rId82" Type="http://schemas.openxmlformats.org/officeDocument/2006/relationships/hyperlink" Target="https://www.amla.europa.eu/system/files/2026-02/AMLA%20SPD%202026-2028.pdf" TargetMode="External"/><Relationship Id="rId19" Type="http://schemas.openxmlformats.org/officeDocument/2006/relationships/hyperlink" Target="https://www.business-standard.com/finance/news/upi-completes-10-years-clocks-nearly-13k-fold-rise-in-transaction-volume-126082400604_1.html" TargetMode="External"/><Relationship Id="rId14" Type="http://schemas.openxmlformats.org/officeDocument/2006/relationships/hyperlink" Target="https://english.www.gov.cn/archive/statistics/202409/05/content_WS66d9ab78c6d0868f4e8eaa27.html" TargetMode="External"/><Relationship Id="rId30" Type="http://schemas.openxmlformats.org/officeDocument/2006/relationships/hyperlink" Target="https://www.sechistorical.org/collection/papers/1980/1988_0101_BradyReport.pdf" TargetMode="External"/><Relationship Id="rId35" Type="http://schemas.openxmlformats.org/officeDocument/2006/relationships/hyperlink" Target="https://www.fsa.go.jp/en/refer/ins/capital.html" TargetMode="External"/><Relationship Id="rId56" Type="http://schemas.openxmlformats.org/officeDocument/2006/relationships/hyperlink" Target="https://www.scmp.com/news/china/diplomacy/article/3187354/china-backed-nairobi-expressway-opens-kenya-paving-way-more" TargetMode="External"/><Relationship Id="rId77" Type="http://schemas.openxmlformats.org/officeDocument/2006/relationships/hyperlink" Target="https://www.unodc.org/unodc/en/money-laundering/overview.html" TargetMode="External"/><Relationship Id="rId100" Type="http://schemas.openxmlformats.org/officeDocument/2006/relationships/hyperlink" Target="https://www.skadden.com/insights/publications/2021/06/the-informed-board/what-the-exxon-mobil-shareholder-votes-mean" TargetMode="External"/><Relationship Id="rId105" Type="http://schemas.openxmlformats.org/officeDocument/2006/relationships/hyperlink" Target="https://www.france24.com/en/live-news/20230119-sakhalin-exception-the-russian-energy-japan-can-t-quit" TargetMode="External"/><Relationship Id="rId8" Type="http://schemas.openxmlformats.org/officeDocument/2006/relationships/hyperlink" Target="https://www.fsa.go.jp/en/news/2022/20221207/01.pdf" TargetMode="External"/><Relationship Id="rId51" Type="http://schemas.openxmlformats.org/officeDocument/2006/relationships/hyperlink" Target="https://thedocs.worldbank.org/en/doc/0cbf29fe7e18a8d8a64b67ad2d0a6a7c-0340012026/original/WBG-TRE-Labeled-Sustainable-Bonds-Market-Update-2025-Q4.pdf" TargetMode="External"/><Relationship Id="rId72" Type="http://schemas.openxmlformats.org/officeDocument/2006/relationships/hyperlink" Target="https://ec.europa.eu/eurostat/documents/portlet_file_entry/2995521/2-02022021-AP-EN.pdf" TargetMode="External"/><Relationship Id="rId93" Type="http://schemas.openxmlformats.org/officeDocument/2006/relationships/hyperlink" Target="https://gabriel-zucman.eu/files/report-g20.pdf" TargetMode="External"/><Relationship Id="rId98" Type="http://schemas.openxmlformats.org/officeDocument/2006/relationships/hyperlink" Target="https://corpgov.law.harvard.edu/2025/10/21/tokyo-stock-exchange-initiative-on-cost-of-capital-and-stock-price-conscious-management/" TargetMode="External"/><Relationship Id="rId3" Type="http://schemas.openxmlformats.org/officeDocument/2006/relationships/settings" Target="settings.xml"/><Relationship Id="rId25" Type="http://schemas.openxmlformats.org/officeDocument/2006/relationships/hyperlink" Target="https://www.worldbank.org/en/news/press-release/2025/07/16/mobile-phone-technology-powers-saving-surge-in-developing-economies" TargetMode="External"/><Relationship Id="rId46" Type="http://schemas.openxmlformats.org/officeDocument/2006/relationships/hyperlink" Target="https://www.icmagroup.org/sustainable-finance/the-principles-guidelines-and-handbooks/green-bond-principles-gbp/" TargetMode="External"/><Relationship Id="rId67" Type="http://schemas.openxmlformats.org/officeDocument/2006/relationships/hyperlink" Target="https://www.koreaherald.com/article/10446290" TargetMode="External"/><Relationship Id="rId20" Type="http://schemas.openxmlformats.org/officeDocument/2006/relationships/hyperlink" Target="https://www.dataprotection.ie/en/news-media/press-releases/Data-Protection-Commission-announces-conclusion-of-inquiry-into-Meta-Ireland" TargetMode="External"/><Relationship Id="rId41" Type="http://schemas.openxmlformats.org/officeDocument/2006/relationships/hyperlink" Target="https://www.boj.or.jp/en/research/brp/fsr/index.htm" TargetMode="External"/><Relationship Id="rId62" Type="http://schemas.openxmlformats.org/officeDocument/2006/relationships/hyperlink" Target="https://www.congress.gov/crs-product/IN12608" TargetMode="External"/><Relationship Id="rId83" Type="http://schemas.openxmlformats.org/officeDocument/2006/relationships/hyperlink" Target="https://www.oecd.org/en/publications/oecd-infe-2023-international-survey-of-adult-financial-literacy_56003a32-en.html" TargetMode="External"/><Relationship Id="rId88" Type="http://schemas.openxmlformats.org/officeDocument/2006/relationships/hyperlink" Target="https://japan.kantei.go.jp/101_kishida/actions/202408/02j-flec.html" TargetMode="External"/><Relationship Id="rId111"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352</TotalTime>
  <Pages>2</Pages>
  <Words>17443</Words>
  <Characters>99429</Characters>
  <Application>Microsoft Office Word</Application>
  <DocSecurity>0</DocSecurity>
  <Lines>828</Lines>
  <Paragraphs>233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David Dobson</cp:lastModifiedBy>
  <cp:revision>2</cp:revision>
  <cp:lastPrinted>2026-09-14T05:07:00Z</cp:lastPrinted>
  <dcterms:created xsi:type="dcterms:W3CDTF">2026-09-14T05:02:00Z</dcterms:created>
  <dcterms:modified xsi:type="dcterms:W3CDTF">2026-09-14T05:07:00Z</dcterms:modified>
</cp:coreProperties>
</file>