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FEDC" w14:textId="77777777" w:rsidR="006E5D1B" w:rsidRPr="006E5D1B" w:rsidRDefault="006E5D1B" w:rsidP="006B684B">
      <w:pPr>
        <w:snapToGrid w:val="0"/>
        <w:spacing w:after="240" w:line="240" w:lineRule="auto"/>
        <w:outlineLvl w:val="0"/>
        <w:rPr>
          <w:rFonts w:ascii="Segoe UI" w:eastAsia="Times New Roman" w:hAnsi="Segoe UI" w:cs="Segoe UI"/>
          <w:b/>
          <w:bCs/>
          <w:color w:val="202020"/>
          <w:kern w:val="36"/>
          <w:sz w:val="48"/>
          <w:szCs w:val="48"/>
          <w14:ligatures w14:val="none"/>
        </w:rPr>
      </w:pPr>
      <w:r w:rsidRPr="006E5D1B">
        <w:rPr>
          <w:rFonts w:ascii="Segoe UI" w:eastAsia="Times New Roman" w:hAnsi="Segoe UI" w:cs="Segoe UI"/>
          <w:b/>
          <w:bCs/>
          <w:color w:val="202020"/>
          <w:kern w:val="36"/>
          <w:sz w:val="48"/>
          <w:szCs w:val="48"/>
          <w14:ligatures w14:val="none"/>
        </w:rPr>
        <w:t>Plan 3: Presentation Skills 2026 Rebuild</w:t>
      </w:r>
    </w:p>
    <w:p w14:paraId="74430D91" w14:textId="77777777" w:rsidR="006E5D1B" w:rsidRPr="006E5D1B" w:rsidRDefault="006E5D1B" w:rsidP="006B684B">
      <w:pPr>
        <w:snapToGrid w:val="0"/>
        <w:spacing w:before="360" w:after="240" w:line="240" w:lineRule="auto"/>
        <w:outlineLvl w:val="1"/>
        <w:rPr>
          <w:rFonts w:ascii="Segoe UI" w:eastAsia="Times New Roman" w:hAnsi="Segoe UI" w:cs="Segoe UI"/>
          <w:b/>
          <w:bCs/>
          <w:color w:val="202020"/>
          <w:kern w:val="0"/>
          <w:sz w:val="36"/>
          <w:szCs w:val="36"/>
          <w14:ligatures w14:val="none"/>
        </w:rPr>
      </w:pPr>
      <w:r w:rsidRPr="006E5D1B">
        <w:rPr>
          <w:rFonts w:ascii="Segoe UI" w:eastAsia="Times New Roman" w:hAnsi="Segoe UI" w:cs="Segoe UI"/>
          <w:b/>
          <w:bCs/>
          <w:color w:val="202020"/>
          <w:kern w:val="0"/>
          <w:sz w:val="36"/>
          <w:szCs w:val="36"/>
          <w14:ligatures w14:val="none"/>
        </w:rPr>
        <w:t>Summary</w:t>
      </w:r>
    </w:p>
    <w:p w14:paraId="4B6C771A"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Rebuild </w:t>
      </w:r>
      <w:r w:rsidRPr="006E5D1B">
        <w:rPr>
          <w:rFonts w:ascii="Segoe UI" w:eastAsia="Times New Roman" w:hAnsi="Segoe UI" w:cs="Segoe UI"/>
          <w:i/>
          <w:iCs/>
          <w:color w:val="202020"/>
          <w:kern w:val="0"/>
          <w:sz w:val="20"/>
          <w:szCs w:val="20"/>
          <w14:ligatures w14:val="none"/>
        </w:rPr>
        <w:t>Speaking with PowerPoint</w:t>
      </w:r>
      <w:r w:rsidRPr="006E5D1B">
        <w:rPr>
          <w:rFonts w:ascii="Segoe UI" w:eastAsia="Times New Roman" w:hAnsi="Segoe UI" w:cs="Segoe UI"/>
          <w:color w:val="202020"/>
          <w:kern w:val="0"/>
          <w:sz w:val="20"/>
          <w:szCs w:val="20"/>
          <w14:ligatures w14:val="none"/>
        </w:rPr>
        <w:t> into a 2026 business presentation-skills series, not a PowerPoint-specific textbook. The target product is a three-tier </w:t>
      </w:r>
      <w:r w:rsidRPr="006E5D1B">
        <w:rPr>
          <w:rFonts w:ascii="Segoe UI" w:eastAsia="Times New Roman" w:hAnsi="Segoe UI" w:cs="Segoe UI"/>
          <w:i/>
          <w:iCs/>
          <w:color w:val="202020"/>
          <w:kern w:val="0"/>
          <w:sz w:val="20"/>
          <w:szCs w:val="20"/>
          <w14:ligatures w14:val="none"/>
        </w:rPr>
        <w:t>Presentation Skills</w:t>
      </w:r>
      <w:r w:rsidRPr="006E5D1B">
        <w:rPr>
          <w:rFonts w:ascii="Segoe UI" w:eastAsia="Times New Roman" w:hAnsi="Segoe UI" w:cs="Segoe UI"/>
          <w:color w:val="202020"/>
          <w:kern w:val="0"/>
          <w:sz w:val="20"/>
          <w:szCs w:val="20"/>
          <w14:ligatures w14:val="none"/>
        </w:rPr>
        <w:t> series for B1-B2 business English learners, with tool-neutral guidance for live, online, hybrid, and short asynchronous presentations.</w:t>
      </w:r>
    </w:p>
    <w:p w14:paraId="1B21EB00"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This plan assumes the project has moved beyond a two-day surface revision into a fuller series rebuild. The working title remains provisional until the final content structure is approved.</w:t>
      </w:r>
    </w:p>
    <w:p w14:paraId="7F412E92"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AI will be mentioned only as a critical-literacy topic, not promoted as a presentation shortcut. Learners must develop their own English, message structure, delivery, and interaction skills; any AI examples are used for checking, critique, rewriting, ethics, confidentiality, and limitations. :codex-annotation{index="1"}</w:t>
      </w:r>
    </w:p>
    <w:p w14:paraId="02A49380" w14:textId="77777777" w:rsidR="006E5D1B" w:rsidRPr="006E5D1B" w:rsidRDefault="006E5D1B" w:rsidP="006B684B">
      <w:pPr>
        <w:snapToGrid w:val="0"/>
        <w:spacing w:before="360" w:after="240" w:line="240" w:lineRule="auto"/>
        <w:outlineLvl w:val="1"/>
        <w:rPr>
          <w:rFonts w:ascii="Segoe UI" w:eastAsia="Times New Roman" w:hAnsi="Segoe UI" w:cs="Segoe UI"/>
          <w:b/>
          <w:bCs/>
          <w:color w:val="202020"/>
          <w:kern w:val="0"/>
          <w:sz w:val="36"/>
          <w:szCs w:val="36"/>
          <w14:ligatures w14:val="none"/>
        </w:rPr>
      </w:pPr>
      <w:r w:rsidRPr="006E5D1B">
        <w:rPr>
          <w:rFonts w:ascii="Segoe UI" w:eastAsia="Times New Roman" w:hAnsi="Segoe UI" w:cs="Segoe UI"/>
          <w:b/>
          <w:bCs/>
          <w:color w:val="202020"/>
          <w:kern w:val="0"/>
          <w:sz w:val="36"/>
          <w:szCs w:val="36"/>
          <w14:ligatures w14:val="none"/>
        </w:rPr>
        <w:t>Curriculum Architecture</w:t>
      </w:r>
    </w:p>
    <w:p w14:paraId="7EBB3DBC"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Use the Standard course as the master curriculum: 12 lessons, each producing one part of a cumulative business presentation portfolio.</w:t>
      </w:r>
    </w:p>
    <w:tbl>
      <w:tblPr>
        <w:tblW w:w="0" w:type="auto"/>
        <w:tblCellMar>
          <w:top w:w="15" w:type="dxa"/>
          <w:left w:w="15" w:type="dxa"/>
          <w:bottom w:w="15" w:type="dxa"/>
          <w:right w:w="15" w:type="dxa"/>
        </w:tblCellMar>
        <w:tblLook w:val="04A0" w:firstRow="1" w:lastRow="0" w:firstColumn="1" w:lastColumn="0" w:noHBand="0" w:noVBand="1"/>
      </w:tblPr>
      <w:tblGrid>
        <w:gridCol w:w="521"/>
        <w:gridCol w:w="3970"/>
        <w:gridCol w:w="3721"/>
      </w:tblGrid>
      <w:tr w:rsidR="006E5D1B" w:rsidRPr="006E5D1B" w14:paraId="48538DA5" w14:textId="77777777" w:rsidTr="006E5D1B">
        <w:trPr>
          <w:tblHeader/>
        </w:trPr>
        <w:tc>
          <w:tcPr>
            <w:tcW w:w="0" w:type="auto"/>
            <w:tcMar>
              <w:top w:w="75" w:type="dxa"/>
              <w:left w:w="150" w:type="dxa"/>
              <w:bottom w:w="75" w:type="dxa"/>
              <w:right w:w="150" w:type="dxa"/>
            </w:tcMar>
            <w:vAlign w:val="center"/>
            <w:hideMark/>
          </w:tcPr>
          <w:p w14:paraId="703C43E4" w14:textId="64DF478A" w:rsidR="006E5D1B" w:rsidRPr="006E5D1B" w:rsidRDefault="006E5D1B" w:rsidP="006B684B">
            <w:pPr>
              <w:snapToGrid w:val="0"/>
              <w:spacing w:after="0" w:line="240" w:lineRule="auto"/>
              <w:rPr>
                <w:rFonts w:ascii="Segoe UI" w:hAnsi="Segoe UI" w:cs="Segoe UI" w:hint="eastAsia"/>
                <w:b/>
                <w:bCs/>
                <w:color w:val="202020"/>
                <w:kern w:val="0"/>
                <w:sz w:val="20"/>
                <w:szCs w:val="20"/>
                <w14:ligatures w14:val="none"/>
              </w:rPr>
            </w:pPr>
            <w:r>
              <w:rPr>
                <w:rFonts w:ascii="Segoe UI" w:hAnsi="Segoe UI" w:cs="Segoe UI" w:hint="eastAsia"/>
                <w:b/>
                <w:bCs/>
                <w:color w:val="202020"/>
                <w:kern w:val="0"/>
                <w:sz w:val="20"/>
                <w:szCs w:val="20"/>
                <w14:ligatures w14:val="none"/>
              </w:rPr>
              <w:t>L#</w:t>
            </w:r>
          </w:p>
        </w:tc>
        <w:tc>
          <w:tcPr>
            <w:tcW w:w="0" w:type="auto"/>
            <w:tcMar>
              <w:top w:w="75" w:type="dxa"/>
              <w:left w:w="150" w:type="dxa"/>
              <w:bottom w:w="75" w:type="dxa"/>
              <w:right w:w="150" w:type="dxa"/>
            </w:tcMar>
            <w:vAlign w:val="center"/>
            <w:hideMark/>
          </w:tcPr>
          <w:p w14:paraId="530576A4" w14:textId="77777777" w:rsidR="006E5D1B" w:rsidRPr="006E5D1B" w:rsidRDefault="006E5D1B" w:rsidP="006B684B">
            <w:pPr>
              <w:snapToGrid w:val="0"/>
              <w:spacing w:after="0" w:line="240" w:lineRule="auto"/>
              <w:rPr>
                <w:rFonts w:ascii="Segoe UI" w:eastAsia="Times New Roman" w:hAnsi="Segoe UI" w:cs="Segoe UI"/>
                <w:b/>
                <w:bCs/>
                <w:color w:val="202020"/>
                <w:kern w:val="0"/>
                <w:sz w:val="20"/>
                <w:szCs w:val="20"/>
                <w14:ligatures w14:val="none"/>
              </w:rPr>
            </w:pPr>
            <w:r w:rsidRPr="006E5D1B">
              <w:rPr>
                <w:rFonts w:ascii="Segoe UI" w:eastAsia="Times New Roman" w:hAnsi="Segoe UI" w:cs="Segoe UI"/>
                <w:b/>
                <w:bCs/>
                <w:color w:val="202020"/>
                <w:kern w:val="0"/>
                <w:sz w:val="20"/>
                <w:szCs w:val="20"/>
                <w14:ligatures w14:val="none"/>
              </w:rPr>
              <w:t>Main Focus</w:t>
            </w:r>
          </w:p>
        </w:tc>
        <w:tc>
          <w:tcPr>
            <w:tcW w:w="0" w:type="auto"/>
            <w:tcMar>
              <w:top w:w="75" w:type="dxa"/>
              <w:left w:w="150" w:type="dxa"/>
              <w:bottom w:w="75" w:type="dxa"/>
              <w:right w:w="150" w:type="dxa"/>
            </w:tcMar>
            <w:vAlign w:val="center"/>
            <w:hideMark/>
          </w:tcPr>
          <w:p w14:paraId="13A55250" w14:textId="77777777" w:rsidR="006E5D1B" w:rsidRPr="006E5D1B" w:rsidRDefault="006E5D1B" w:rsidP="006B684B">
            <w:pPr>
              <w:snapToGrid w:val="0"/>
              <w:spacing w:after="0" w:line="240" w:lineRule="auto"/>
              <w:rPr>
                <w:rFonts w:ascii="Segoe UI" w:eastAsia="Times New Roman" w:hAnsi="Segoe UI" w:cs="Segoe UI"/>
                <w:b/>
                <w:bCs/>
                <w:color w:val="202020"/>
                <w:kern w:val="0"/>
                <w:sz w:val="20"/>
                <w:szCs w:val="20"/>
                <w14:ligatures w14:val="none"/>
              </w:rPr>
            </w:pPr>
            <w:r w:rsidRPr="006E5D1B">
              <w:rPr>
                <w:rFonts w:ascii="Segoe UI" w:eastAsia="Times New Roman" w:hAnsi="Segoe UI" w:cs="Segoe UI"/>
                <w:b/>
                <w:bCs/>
                <w:color w:val="202020"/>
                <w:kern w:val="0"/>
                <w:sz w:val="20"/>
                <w:szCs w:val="20"/>
                <w14:ligatures w14:val="none"/>
              </w:rPr>
              <w:t>Cumulative Output</w:t>
            </w:r>
          </w:p>
        </w:tc>
      </w:tr>
      <w:tr w:rsidR="006E5D1B" w:rsidRPr="006E5D1B" w14:paraId="633F6674" w14:textId="77777777" w:rsidTr="006E5D1B">
        <w:tc>
          <w:tcPr>
            <w:tcW w:w="0" w:type="auto"/>
            <w:tcMar>
              <w:top w:w="75" w:type="dxa"/>
              <w:left w:w="150" w:type="dxa"/>
              <w:bottom w:w="75" w:type="dxa"/>
              <w:right w:w="150" w:type="dxa"/>
            </w:tcMar>
            <w:vAlign w:val="center"/>
            <w:hideMark/>
          </w:tcPr>
          <w:p w14:paraId="486DD0D4"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1</w:t>
            </w:r>
          </w:p>
        </w:tc>
        <w:tc>
          <w:tcPr>
            <w:tcW w:w="0" w:type="auto"/>
            <w:tcMar>
              <w:top w:w="75" w:type="dxa"/>
              <w:left w:w="150" w:type="dxa"/>
              <w:bottom w:w="75" w:type="dxa"/>
              <w:right w:w="150" w:type="dxa"/>
            </w:tcMar>
            <w:vAlign w:val="center"/>
            <w:hideMark/>
          </w:tcPr>
          <w:p w14:paraId="37F11F58"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Audience, purpose, business context</w:t>
            </w:r>
          </w:p>
        </w:tc>
        <w:tc>
          <w:tcPr>
            <w:tcW w:w="0" w:type="auto"/>
            <w:tcMar>
              <w:top w:w="75" w:type="dxa"/>
              <w:left w:w="150" w:type="dxa"/>
              <w:bottom w:w="75" w:type="dxa"/>
              <w:right w:w="150" w:type="dxa"/>
            </w:tcMar>
            <w:vAlign w:val="center"/>
            <w:hideMark/>
          </w:tcPr>
          <w:p w14:paraId="384C5400"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Presentation brief</w:t>
            </w:r>
          </w:p>
        </w:tc>
      </w:tr>
      <w:tr w:rsidR="006E5D1B" w:rsidRPr="006E5D1B" w14:paraId="6E722BA8" w14:textId="77777777" w:rsidTr="006E5D1B">
        <w:tc>
          <w:tcPr>
            <w:tcW w:w="0" w:type="auto"/>
            <w:tcMar>
              <w:top w:w="75" w:type="dxa"/>
              <w:left w:w="150" w:type="dxa"/>
              <w:bottom w:w="75" w:type="dxa"/>
              <w:right w:w="150" w:type="dxa"/>
            </w:tcMar>
            <w:vAlign w:val="center"/>
            <w:hideMark/>
          </w:tcPr>
          <w:p w14:paraId="124A63E8"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2</w:t>
            </w:r>
          </w:p>
        </w:tc>
        <w:tc>
          <w:tcPr>
            <w:tcW w:w="0" w:type="auto"/>
            <w:tcMar>
              <w:top w:w="75" w:type="dxa"/>
              <w:left w:w="150" w:type="dxa"/>
              <w:bottom w:w="75" w:type="dxa"/>
              <w:right w:w="150" w:type="dxa"/>
            </w:tcMar>
            <w:vAlign w:val="center"/>
            <w:hideMark/>
          </w:tcPr>
          <w:p w14:paraId="4AE7871C"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Message, objective, relevance</w:t>
            </w:r>
          </w:p>
        </w:tc>
        <w:tc>
          <w:tcPr>
            <w:tcW w:w="0" w:type="auto"/>
            <w:tcMar>
              <w:top w:w="75" w:type="dxa"/>
              <w:left w:w="150" w:type="dxa"/>
              <w:bottom w:w="75" w:type="dxa"/>
              <w:right w:w="150" w:type="dxa"/>
            </w:tcMar>
            <w:vAlign w:val="center"/>
            <w:hideMark/>
          </w:tcPr>
          <w:p w14:paraId="2F37101E"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Core message and opening</w:t>
            </w:r>
          </w:p>
        </w:tc>
      </w:tr>
      <w:tr w:rsidR="006E5D1B" w:rsidRPr="006E5D1B" w14:paraId="58D2D547" w14:textId="77777777" w:rsidTr="006E5D1B">
        <w:tc>
          <w:tcPr>
            <w:tcW w:w="0" w:type="auto"/>
            <w:tcMar>
              <w:top w:w="75" w:type="dxa"/>
              <w:left w:w="150" w:type="dxa"/>
              <w:bottom w:w="75" w:type="dxa"/>
              <w:right w:w="150" w:type="dxa"/>
            </w:tcMar>
            <w:vAlign w:val="center"/>
            <w:hideMark/>
          </w:tcPr>
          <w:p w14:paraId="2D01C74A"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3</w:t>
            </w:r>
          </w:p>
        </w:tc>
        <w:tc>
          <w:tcPr>
            <w:tcW w:w="0" w:type="auto"/>
            <w:tcMar>
              <w:top w:w="75" w:type="dxa"/>
              <w:left w:w="150" w:type="dxa"/>
              <w:bottom w:w="75" w:type="dxa"/>
              <w:right w:w="150" w:type="dxa"/>
            </w:tcMar>
            <w:vAlign w:val="center"/>
            <w:hideMark/>
          </w:tcPr>
          <w:p w14:paraId="38473414"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Structure and flow</w:t>
            </w:r>
          </w:p>
        </w:tc>
        <w:tc>
          <w:tcPr>
            <w:tcW w:w="0" w:type="auto"/>
            <w:tcMar>
              <w:top w:w="75" w:type="dxa"/>
              <w:left w:w="150" w:type="dxa"/>
              <w:bottom w:w="75" w:type="dxa"/>
              <w:right w:w="150" w:type="dxa"/>
            </w:tcMar>
            <w:vAlign w:val="center"/>
            <w:hideMark/>
          </w:tcPr>
          <w:p w14:paraId="1EA5C713"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Full presentation outline</w:t>
            </w:r>
          </w:p>
        </w:tc>
      </w:tr>
      <w:tr w:rsidR="006E5D1B" w:rsidRPr="006E5D1B" w14:paraId="74269D8E" w14:textId="77777777" w:rsidTr="006E5D1B">
        <w:tc>
          <w:tcPr>
            <w:tcW w:w="0" w:type="auto"/>
            <w:tcMar>
              <w:top w:w="75" w:type="dxa"/>
              <w:left w:w="150" w:type="dxa"/>
              <w:bottom w:w="75" w:type="dxa"/>
              <w:right w:w="150" w:type="dxa"/>
            </w:tcMar>
            <w:vAlign w:val="center"/>
            <w:hideMark/>
          </w:tcPr>
          <w:p w14:paraId="2B4CF988"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4</w:t>
            </w:r>
          </w:p>
        </w:tc>
        <w:tc>
          <w:tcPr>
            <w:tcW w:w="0" w:type="auto"/>
            <w:tcMar>
              <w:top w:w="75" w:type="dxa"/>
              <w:left w:w="150" w:type="dxa"/>
              <w:bottom w:w="75" w:type="dxa"/>
              <w:right w:w="150" w:type="dxa"/>
            </w:tcMar>
            <w:vAlign w:val="center"/>
            <w:hideMark/>
          </w:tcPr>
          <w:p w14:paraId="430DB018"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Business English for signposting</w:t>
            </w:r>
          </w:p>
        </w:tc>
        <w:tc>
          <w:tcPr>
            <w:tcW w:w="0" w:type="auto"/>
            <w:tcMar>
              <w:top w:w="75" w:type="dxa"/>
              <w:left w:w="150" w:type="dxa"/>
              <w:bottom w:w="75" w:type="dxa"/>
              <w:right w:w="150" w:type="dxa"/>
            </w:tcMar>
            <w:vAlign w:val="center"/>
            <w:hideMark/>
          </w:tcPr>
          <w:p w14:paraId="7F2972D0"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Preview, transitions, references</w:t>
            </w:r>
          </w:p>
        </w:tc>
      </w:tr>
      <w:tr w:rsidR="006E5D1B" w:rsidRPr="006E5D1B" w14:paraId="1780A82F" w14:textId="77777777" w:rsidTr="006E5D1B">
        <w:tc>
          <w:tcPr>
            <w:tcW w:w="0" w:type="auto"/>
            <w:tcMar>
              <w:top w:w="75" w:type="dxa"/>
              <w:left w:w="150" w:type="dxa"/>
              <w:bottom w:w="75" w:type="dxa"/>
              <w:right w:w="150" w:type="dxa"/>
            </w:tcMar>
            <w:vAlign w:val="center"/>
            <w:hideMark/>
          </w:tcPr>
          <w:p w14:paraId="08774481"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5</w:t>
            </w:r>
          </w:p>
        </w:tc>
        <w:tc>
          <w:tcPr>
            <w:tcW w:w="0" w:type="auto"/>
            <w:tcMar>
              <w:top w:w="75" w:type="dxa"/>
              <w:left w:w="150" w:type="dxa"/>
              <w:bottom w:w="75" w:type="dxa"/>
              <w:right w:w="150" w:type="dxa"/>
            </w:tcMar>
            <w:vAlign w:val="center"/>
            <w:hideMark/>
          </w:tcPr>
          <w:p w14:paraId="628BBC56"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Clear visual communication</w:t>
            </w:r>
          </w:p>
        </w:tc>
        <w:tc>
          <w:tcPr>
            <w:tcW w:w="0" w:type="auto"/>
            <w:tcMar>
              <w:top w:w="75" w:type="dxa"/>
              <w:left w:w="150" w:type="dxa"/>
              <w:bottom w:w="75" w:type="dxa"/>
              <w:right w:w="150" w:type="dxa"/>
            </w:tcMar>
            <w:vAlign w:val="center"/>
            <w:hideMark/>
          </w:tcPr>
          <w:p w14:paraId="25C52747"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Accessible slide or visual draft</w:t>
            </w:r>
          </w:p>
        </w:tc>
      </w:tr>
      <w:tr w:rsidR="006E5D1B" w:rsidRPr="006E5D1B" w14:paraId="01B21CBF" w14:textId="77777777" w:rsidTr="006E5D1B">
        <w:tc>
          <w:tcPr>
            <w:tcW w:w="0" w:type="auto"/>
            <w:tcMar>
              <w:top w:w="75" w:type="dxa"/>
              <w:left w:w="150" w:type="dxa"/>
              <w:bottom w:w="75" w:type="dxa"/>
              <w:right w:w="150" w:type="dxa"/>
            </w:tcMar>
            <w:vAlign w:val="center"/>
            <w:hideMark/>
          </w:tcPr>
          <w:p w14:paraId="3DC0E14D"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6</w:t>
            </w:r>
          </w:p>
        </w:tc>
        <w:tc>
          <w:tcPr>
            <w:tcW w:w="0" w:type="auto"/>
            <w:tcMar>
              <w:top w:w="75" w:type="dxa"/>
              <w:left w:w="150" w:type="dxa"/>
              <w:bottom w:w="75" w:type="dxa"/>
              <w:right w:w="150" w:type="dxa"/>
            </w:tcMar>
            <w:vAlign w:val="center"/>
            <w:hideMark/>
          </w:tcPr>
          <w:p w14:paraId="2B9012BA"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Data, charts, and evidence</w:t>
            </w:r>
          </w:p>
        </w:tc>
        <w:tc>
          <w:tcPr>
            <w:tcW w:w="0" w:type="auto"/>
            <w:tcMar>
              <w:top w:w="75" w:type="dxa"/>
              <w:left w:w="150" w:type="dxa"/>
              <w:bottom w:w="75" w:type="dxa"/>
              <w:right w:w="150" w:type="dxa"/>
            </w:tcMar>
            <w:vAlign w:val="center"/>
            <w:hideMark/>
          </w:tcPr>
          <w:p w14:paraId="512B358C"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One chart explanation</w:t>
            </w:r>
          </w:p>
        </w:tc>
      </w:tr>
      <w:tr w:rsidR="006E5D1B" w:rsidRPr="006E5D1B" w14:paraId="73D497D0" w14:textId="77777777" w:rsidTr="006E5D1B">
        <w:tc>
          <w:tcPr>
            <w:tcW w:w="0" w:type="auto"/>
            <w:tcMar>
              <w:top w:w="75" w:type="dxa"/>
              <w:left w:w="150" w:type="dxa"/>
              <w:bottom w:w="75" w:type="dxa"/>
              <w:right w:w="150" w:type="dxa"/>
            </w:tcMar>
            <w:vAlign w:val="center"/>
            <w:hideMark/>
          </w:tcPr>
          <w:p w14:paraId="2905798B"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7</w:t>
            </w:r>
          </w:p>
        </w:tc>
        <w:tc>
          <w:tcPr>
            <w:tcW w:w="0" w:type="auto"/>
            <w:tcMar>
              <w:top w:w="75" w:type="dxa"/>
              <w:left w:w="150" w:type="dxa"/>
              <w:bottom w:w="75" w:type="dxa"/>
              <w:right w:w="150" w:type="dxa"/>
            </w:tcMar>
            <w:vAlign w:val="center"/>
            <w:hideMark/>
          </w:tcPr>
          <w:p w14:paraId="52149F24"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Tool-neutral slide/document workflow</w:t>
            </w:r>
          </w:p>
        </w:tc>
        <w:tc>
          <w:tcPr>
            <w:tcW w:w="0" w:type="auto"/>
            <w:tcMar>
              <w:top w:w="75" w:type="dxa"/>
              <w:left w:w="150" w:type="dxa"/>
              <w:bottom w:w="75" w:type="dxa"/>
              <w:right w:w="150" w:type="dxa"/>
            </w:tcMar>
            <w:vAlign w:val="center"/>
            <w:hideMark/>
          </w:tcPr>
          <w:p w14:paraId="7C2A0A28"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Visual pack plus notes</w:t>
            </w:r>
          </w:p>
        </w:tc>
      </w:tr>
      <w:tr w:rsidR="006E5D1B" w:rsidRPr="006E5D1B" w14:paraId="2C99792A" w14:textId="77777777" w:rsidTr="006E5D1B">
        <w:tc>
          <w:tcPr>
            <w:tcW w:w="0" w:type="auto"/>
            <w:tcMar>
              <w:top w:w="75" w:type="dxa"/>
              <w:left w:w="150" w:type="dxa"/>
              <w:bottom w:w="75" w:type="dxa"/>
              <w:right w:w="150" w:type="dxa"/>
            </w:tcMar>
            <w:vAlign w:val="center"/>
            <w:hideMark/>
          </w:tcPr>
          <w:p w14:paraId="3DD10D5C"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8</w:t>
            </w:r>
          </w:p>
        </w:tc>
        <w:tc>
          <w:tcPr>
            <w:tcW w:w="0" w:type="auto"/>
            <w:tcMar>
              <w:top w:w="75" w:type="dxa"/>
              <w:left w:w="150" w:type="dxa"/>
              <w:bottom w:w="75" w:type="dxa"/>
              <w:right w:w="150" w:type="dxa"/>
            </w:tcMar>
            <w:vAlign w:val="center"/>
            <w:hideMark/>
          </w:tcPr>
          <w:p w14:paraId="17FA5392"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Delivery: voice, posture, movement, notes</w:t>
            </w:r>
          </w:p>
        </w:tc>
        <w:tc>
          <w:tcPr>
            <w:tcW w:w="0" w:type="auto"/>
            <w:tcMar>
              <w:top w:w="75" w:type="dxa"/>
              <w:left w:w="150" w:type="dxa"/>
              <w:bottom w:w="75" w:type="dxa"/>
              <w:right w:w="150" w:type="dxa"/>
            </w:tcMar>
            <w:vAlign w:val="center"/>
            <w:hideMark/>
          </w:tcPr>
          <w:p w14:paraId="7964D703"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Rehearsed 3-minute segment</w:t>
            </w:r>
          </w:p>
        </w:tc>
      </w:tr>
      <w:tr w:rsidR="006E5D1B" w:rsidRPr="006E5D1B" w14:paraId="7EF0B912" w14:textId="77777777" w:rsidTr="006E5D1B">
        <w:tc>
          <w:tcPr>
            <w:tcW w:w="0" w:type="auto"/>
            <w:tcMar>
              <w:top w:w="75" w:type="dxa"/>
              <w:left w:w="150" w:type="dxa"/>
              <w:bottom w:w="75" w:type="dxa"/>
              <w:right w:w="150" w:type="dxa"/>
            </w:tcMar>
            <w:vAlign w:val="center"/>
            <w:hideMark/>
          </w:tcPr>
          <w:p w14:paraId="16CA0977"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9</w:t>
            </w:r>
          </w:p>
        </w:tc>
        <w:tc>
          <w:tcPr>
            <w:tcW w:w="0" w:type="auto"/>
            <w:tcMar>
              <w:top w:w="75" w:type="dxa"/>
              <w:left w:w="150" w:type="dxa"/>
              <w:bottom w:w="75" w:type="dxa"/>
              <w:right w:w="150" w:type="dxa"/>
            </w:tcMar>
            <w:vAlign w:val="center"/>
            <w:hideMark/>
          </w:tcPr>
          <w:p w14:paraId="5FD9DF76"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Online, hybrid, and async delivery</w:t>
            </w:r>
          </w:p>
        </w:tc>
        <w:tc>
          <w:tcPr>
            <w:tcW w:w="0" w:type="auto"/>
            <w:tcMar>
              <w:top w:w="75" w:type="dxa"/>
              <w:left w:w="150" w:type="dxa"/>
              <w:bottom w:w="75" w:type="dxa"/>
              <w:right w:w="150" w:type="dxa"/>
            </w:tcMar>
            <w:vAlign w:val="center"/>
            <w:hideMark/>
          </w:tcPr>
          <w:p w14:paraId="445EABC7"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Adapted online or recorded version</w:t>
            </w:r>
          </w:p>
        </w:tc>
      </w:tr>
      <w:tr w:rsidR="006E5D1B" w:rsidRPr="006E5D1B" w14:paraId="7AC35D49" w14:textId="77777777" w:rsidTr="006E5D1B">
        <w:tc>
          <w:tcPr>
            <w:tcW w:w="0" w:type="auto"/>
            <w:tcMar>
              <w:top w:w="75" w:type="dxa"/>
              <w:left w:w="150" w:type="dxa"/>
              <w:bottom w:w="75" w:type="dxa"/>
              <w:right w:w="150" w:type="dxa"/>
            </w:tcMar>
            <w:vAlign w:val="center"/>
            <w:hideMark/>
          </w:tcPr>
          <w:p w14:paraId="73F8E830"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10</w:t>
            </w:r>
          </w:p>
        </w:tc>
        <w:tc>
          <w:tcPr>
            <w:tcW w:w="0" w:type="auto"/>
            <w:tcMar>
              <w:top w:w="75" w:type="dxa"/>
              <w:left w:w="150" w:type="dxa"/>
              <w:bottom w:w="75" w:type="dxa"/>
              <w:right w:w="150" w:type="dxa"/>
            </w:tcMar>
            <w:vAlign w:val="center"/>
            <w:hideMark/>
          </w:tcPr>
          <w:p w14:paraId="2EF074FF"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Q&amp;A, challenge handling, and interaction</w:t>
            </w:r>
          </w:p>
        </w:tc>
        <w:tc>
          <w:tcPr>
            <w:tcW w:w="0" w:type="auto"/>
            <w:tcMar>
              <w:top w:w="75" w:type="dxa"/>
              <w:left w:w="150" w:type="dxa"/>
              <w:bottom w:w="75" w:type="dxa"/>
              <w:right w:w="150" w:type="dxa"/>
            </w:tcMar>
            <w:vAlign w:val="center"/>
            <w:hideMark/>
          </w:tcPr>
          <w:p w14:paraId="59C52258"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Q&amp;A response bank</w:t>
            </w:r>
          </w:p>
        </w:tc>
      </w:tr>
      <w:tr w:rsidR="006E5D1B" w:rsidRPr="006E5D1B" w14:paraId="6DFE4C7B" w14:textId="77777777" w:rsidTr="006E5D1B">
        <w:tc>
          <w:tcPr>
            <w:tcW w:w="0" w:type="auto"/>
            <w:tcMar>
              <w:top w:w="75" w:type="dxa"/>
              <w:left w:w="150" w:type="dxa"/>
              <w:bottom w:w="75" w:type="dxa"/>
              <w:right w:w="150" w:type="dxa"/>
            </w:tcMar>
            <w:vAlign w:val="center"/>
            <w:hideMark/>
          </w:tcPr>
          <w:p w14:paraId="33DEB920"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11</w:t>
            </w:r>
          </w:p>
        </w:tc>
        <w:tc>
          <w:tcPr>
            <w:tcW w:w="0" w:type="auto"/>
            <w:tcMar>
              <w:top w:w="75" w:type="dxa"/>
              <w:left w:w="150" w:type="dxa"/>
              <w:bottom w:w="75" w:type="dxa"/>
              <w:right w:w="150" w:type="dxa"/>
            </w:tcMar>
            <w:vAlign w:val="center"/>
            <w:hideMark/>
          </w:tcPr>
          <w:p w14:paraId="0270C0FE"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Final rehearsal and peer feedback</w:t>
            </w:r>
          </w:p>
        </w:tc>
        <w:tc>
          <w:tcPr>
            <w:tcW w:w="0" w:type="auto"/>
            <w:tcMar>
              <w:top w:w="75" w:type="dxa"/>
              <w:left w:w="150" w:type="dxa"/>
              <w:bottom w:w="75" w:type="dxa"/>
              <w:right w:w="150" w:type="dxa"/>
            </w:tcMar>
            <w:vAlign w:val="center"/>
            <w:hideMark/>
          </w:tcPr>
          <w:p w14:paraId="3AA884E0"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Revised full presentation</w:t>
            </w:r>
          </w:p>
        </w:tc>
      </w:tr>
      <w:tr w:rsidR="006E5D1B" w:rsidRPr="006E5D1B" w14:paraId="596771A4" w14:textId="77777777" w:rsidTr="006E5D1B">
        <w:tc>
          <w:tcPr>
            <w:tcW w:w="0" w:type="auto"/>
            <w:tcMar>
              <w:top w:w="75" w:type="dxa"/>
              <w:left w:w="150" w:type="dxa"/>
              <w:bottom w:w="75" w:type="dxa"/>
              <w:right w:w="150" w:type="dxa"/>
            </w:tcMar>
            <w:vAlign w:val="center"/>
            <w:hideMark/>
          </w:tcPr>
          <w:p w14:paraId="4FC909FC"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12</w:t>
            </w:r>
          </w:p>
        </w:tc>
        <w:tc>
          <w:tcPr>
            <w:tcW w:w="0" w:type="auto"/>
            <w:tcMar>
              <w:top w:w="75" w:type="dxa"/>
              <w:left w:w="150" w:type="dxa"/>
              <w:bottom w:w="75" w:type="dxa"/>
              <w:right w:w="150" w:type="dxa"/>
            </w:tcMar>
            <w:vAlign w:val="center"/>
            <w:hideMark/>
          </w:tcPr>
          <w:p w14:paraId="6E90F9C3"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Final presentation and reflection</w:t>
            </w:r>
          </w:p>
        </w:tc>
        <w:tc>
          <w:tcPr>
            <w:tcW w:w="0" w:type="auto"/>
            <w:tcMar>
              <w:top w:w="75" w:type="dxa"/>
              <w:left w:w="150" w:type="dxa"/>
              <w:bottom w:w="75" w:type="dxa"/>
              <w:right w:w="150" w:type="dxa"/>
            </w:tcMar>
            <w:vAlign w:val="center"/>
            <w:hideMark/>
          </w:tcPr>
          <w:p w14:paraId="4ACA9949" w14:textId="77777777" w:rsidR="006E5D1B" w:rsidRPr="006E5D1B" w:rsidRDefault="006E5D1B" w:rsidP="006B684B">
            <w:pPr>
              <w:snapToGrid w:val="0"/>
              <w:spacing w:after="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Delivered presentation plus self-review</w:t>
            </w:r>
          </w:p>
        </w:tc>
      </w:tr>
    </w:tbl>
    <w:p w14:paraId="707F7E89" w14:textId="77777777" w:rsidR="006E5D1B" w:rsidRPr="006E5D1B" w:rsidRDefault="006E5D1B" w:rsidP="006B684B">
      <w:pPr>
        <w:snapToGrid w:val="0"/>
        <w:spacing w:before="240"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lastRenderedPageBreak/>
        <w:t>The language syllabus must be explicit, not incidental. Include opening, relevance statements, previews, transitions, backward and forward references, emphasis, summarizing, recommendation language, decision/action closes, Q&amp;A phrases, clarification, disagreement, pronunciation, chunking, stress, and intelligibility. Add Japanese-learner notes where they are useful, especially directness, article/plural use in slide text, katakana pronunciation risk, and over-reliance on written scripts.</w:t>
      </w:r>
    </w:p>
    <w:p w14:paraId="6626456E" w14:textId="406E1E36"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Include in-person delivery as real learner content: eye contact, stance, natural gesture, movement, notes, pointer/curso</w:t>
      </w:r>
      <w:r w:rsidR="006B684B">
        <w:rPr>
          <w:rFonts w:ascii="Segoe UI" w:hAnsi="Segoe UI" w:cs="Segoe UI" w:hint="eastAsia"/>
          <w:color w:val="202020"/>
          <w:kern w:val="0"/>
          <w:sz w:val="20"/>
          <w:szCs w:val="20"/>
          <w14:ligatures w14:val="none"/>
        </w:rPr>
        <w:t>]</w:t>
      </w:r>
      <w:r w:rsidRPr="006E5D1B">
        <w:rPr>
          <w:rFonts w:ascii="Segoe UI" w:eastAsia="Times New Roman" w:hAnsi="Segoe UI" w:cs="Segoe UI"/>
          <w:color w:val="202020"/>
          <w:kern w:val="0"/>
          <w:sz w:val="20"/>
          <w:szCs w:val="20"/>
          <w14:ligatures w14:val="none"/>
        </w:rPr>
        <w:t>r discipline, slide interaction, room setup, cultural expectations, and safe handling of technical interruptions.</w:t>
      </w:r>
    </w:p>
    <w:p w14:paraId="654269F2"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Include document roles and contingency planning: live slides, presenter notes, pre-reads, worksheets, leave-behinds, appendix/backup slides, PDF fallback, offline copy, font/media/link checks, venue/platform testing, export checks, company security, confidentiality, and copyright.</w:t>
      </w:r>
    </w:p>
    <w:p w14:paraId="3FE752B7" w14:textId="77777777" w:rsidR="006E5D1B" w:rsidRPr="006E5D1B" w:rsidRDefault="006E5D1B" w:rsidP="006B684B">
      <w:pPr>
        <w:snapToGrid w:val="0"/>
        <w:spacing w:before="360" w:after="240" w:line="240" w:lineRule="auto"/>
        <w:outlineLvl w:val="1"/>
        <w:rPr>
          <w:rFonts w:ascii="Segoe UI" w:eastAsia="Times New Roman" w:hAnsi="Segoe UI" w:cs="Segoe UI"/>
          <w:b/>
          <w:bCs/>
          <w:color w:val="202020"/>
          <w:kern w:val="0"/>
          <w:sz w:val="36"/>
          <w:szCs w:val="36"/>
          <w14:ligatures w14:val="none"/>
        </w:rPr>
      </w:pPr>
      <w:r w:rsidRPr="006E5D1B">
        <w:rPr>
          <w:rFonts w:ascii="Segoe UI" w:eastAsia="Times New Roman" w:hAnsi="Segoe UI" w:cs="Segoe UI"/>
          <w:b/>
          <w:bCs/>
          <w:color w:val="202020"/>
          <w:kern w:val="0"/>
          <w:sz w:val="36"/>
          <w:szCs w:val="36"/>
          <w14:ligatures w14:val="none"/>
        </w:rPr>
        <w:t>Tier Strategy</w:t>
      </w:r>
    </w:p>
    <w:p w14:paraId="285CFC3E"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Create all three books from the Standard 12-lesson spine.</w:t>
      </w:r>
    </w:p>
    <w:p w14:paraId="12458E20"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Essentials: 8 lessons. Keep audience, message, structure, basic visuals, chart explanation, delivery, Q&amp;A, and final presentation. Remove or compress async delivery, advanced document roles, deeper data critique, and extended rehearsal cycles.</w:t>
      </w:r>
    </w:p>
    <w:p w14:paraId="116A0C90"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Standard: 12 lessons. This is the canonical course and source of truth for objectives, rubrics, examples, and teacher notes.</w:t>
      </w:r>
    </w:p>
    <w:p w14:paraId="2C70A6DD"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Long: 15 lessons. Add extended units for advanced data storytelling, executive summaries and decision decks, facilitation and stakeholder management, recorded/async presentations, and a second assessed presentation cycle.</w:t>
      </w:r>
    </w:p>
    <w:p w14:paraId="78BE28C0"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Use three recurring business cases across the series:</w:t>
      </w:r>
    </w:p>
    <w:p w14:paraId="322E3DFE" w14:textId="77777777" w:rsidR="006E5D1B" w:rsidRPr="006E5D1B" w:rsidRDefault="006E5D1B" w:rsidP="006B684B">
      <w:pPr>
        <w:numPr>
          <w:ilvl w:val="0"/>
          <w:numId w:val="9"/>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Process improvement briefing</w:t>
      </w:r>
    </w:p>
    <w:p w14:paraId="330D1703" w14:textId="77777777" w:rsidR="006E5D1B" w:rsidRPr="006E5D1B" w:rsidRDefault="006E5D1B" w:rsidP="006B684B">
      <w:pPr>
        <w:numPr>
          <w:ilvl w:val="0"/>
          <w:numId w:val="9"/>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Product or service launch</w:t>
      </w:r>
    </w:p>
    <w:p w14:paraId="18388A7C" w14:textId="77777777" w:rsidR="006E5D1B" w:rsidRPr="006E5D1B" w:rsidRDefault="006E5D1B" w:rsidP="006B684B">
      <w:pPr>
        <w:numPr>
          <w:ilvl w:val="0"/>
          <w:numId w:val="9"/>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Project results or status briefing</w:t>
      </w:r>
    </w:p>
    <w:p w14:paraId="4C2579F5"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Each model presentation must be mapped to specific lessons, language points, visual-design points, delivery behaviors, and assessment criteria. Do not include a generic list of presentation tools in the learner-facing summary; tools appear only where a task requires a practical choice.</w:t>
      </w:r>
    </w:p>
    <w:p w14:paraId="54C48DB6" w14:textId="77777777" w:rsidR="006E5D1B" w:rsidRPr="006E5D1B" w:rsidRDefault="006E5D1B" w:rsidP="006B684B">
      <w:pPr>
        <w:snapToGrid w:val="0"/>
        <w:spacing w:before="360" w:after="240" w:line="240" w:lineRule="auto"/>
        <w:outlineLvl w:val="1"/>
        <w:rPr>
          <w:rFonts w:ascii="Segoe UI" w:eastAsia="Times New Roman" w:hAnsi="Segoe UI" w:cs="Segoe UI"/>
          <w:b/>
          <w:bCs/>
          <w:color w:val="202020"/>
          <w:kern w:val="0"/>
          <w:sz w:val="36"/>
          <w:szCs w:val="36"/>
          <w14:ligatures w14:val="none"/>
        </w:rPr>
      </w:pPr>
      <w:r w:rsidRPr="006E5D1B">
        <w:rPr>
          <w:rFonts w:ascii="Segoe UI" w:eastAsia="Times New Roman" w:hAnsi="Segoe UI" w:cs="Segoe UI"/>
          <w:b/>
          <w:bCs/>
          <w:color w:val="202020"/>
          <w:kern w:val="0"/>
          <w:sz w:val="36"/>
          <w:szCs w:val="36"/>
          <w14:ligatures w14:val="none"/>
        </w:rPr>
        <w:t>Production Workflow</w:t>
      </w:r>
    </w:p>
    <w:p w14:paraId="137D5390"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Use a lean multi-agent workflow with four roles.</w:t>
      </w:r>
    </w:p>
    <w:p w14:paraId="49FB89FD"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Content Architect: Owns the lesson map, tier mapping, traceability matrix, assessment model, and approval gates.</w:t>
      </w:r>
    </w:p>
    <w:p w14:paraId="51E97E1C"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lastRenderedPageBreak/>
        <w:t>Language Editor: Owns B1-B2 level control, ESL pedagogy, Japanese-learner notes, speaking phrases, pronunciation/intelligibility tasks, and workbook-style exercises.</w:t>
      </w:r>
    </w:p>
    <w:p w14:paraId="0597D1CA"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Business Presentation Specialist: Owns business realism, cases, data examples, tool-neutral workflows, slide/document roles, delivery guidance, Q&amp;A, and contingency practices.</w:t>
      </w:r>
    </w:p>
    <w:p w14:paraId="2C57EF27"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Asset and QA Specialist: Owns image register, alt text, captions, permissions, accessibility checks, factual checks, export tests, and consistency across Essentials, Standard, and Long.</w:t>
      </w:r>
    </w:p>
    <w:p w14:paraId="447E6A8F"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Use this phase order:</w:t>
      </w:r>
    </w:p>
    <w:p w14:paraId="40CABD0D" w14:textId="77777777" w:rsidR="006E5D1B" w:rsidRPr="006E5D1B" w:rsidRDefault="006E5D1B" w:rsidP="006B684B">
      <w:pPr>
        <w:numPr>
          <w:ilvl w:val="0"/>
          <w:numId w:val="10"/>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Snapshot current files and create a rollback/version note before changing unit JSON or manuscripts.</w:t>
      </w:r>
    </w:p>
    <w:p w14:paraId="3CC3720A" w14:textId="77777777" w:rsidR="006E5D1B" w:rsidRPr="006E5D1B" w:rsidRDefault="006E5D1B" w:rsidP="006B684B">
      <w:pPr>
        <w:numPr>
          <w:ilvl w:val="0"/>
          <w:numId w:val="10"/>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Build a traceability matrix from the consolidated revision task list to lessons, deliverables, QA checks, and deferred items.</w:t>
      </w:r>
    </w:p>
    <w:p w14:paraId="30FACD10" w14:textId="77777777" w:rsidR="006E5D1B" w:rsidRPr="006E5D1B" w:rsidRDefault="006E5D1B" w:rsidP="006B684B">
      <w:pPr>
        <w:numPr>
          <w:ilvl w:val="0"/>
          <w:numId w:val="10"/>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Approve the Standard 12-lesson spine before rewriting units.</w:t>
      </w:r>
    </w:p>
    <w:p w14:paraId="2099BA14" w14:textId="77777777" w:rsidR="006E5D1B" w:rsidRPr="006E5D1B" w:rsidRDefault="006E5D1B" w:rsidP="006B684B">
      <w:pPr>
        <w:numPr>
          <w:ilvl w:val="0"/>
          <w:numId w:val="10"/>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Rewrite Standard first, then derive Essentials and Long.</w:t>
      </w:r>
    </w:p>
    <w:p w14:paraId="44844DE2" w14:textId="77777777" w:rsidR="006E5D1B" w:rsidRPr="006E5D1B" w:rsidRDefault="006E5D1B" w:rsidP="006B684B">
      <w:pPr>
        <w:numPr>
          <w:ilvl w:val="0"/>
          <w:numId w:val="10"/>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Create or replace assets only after lesson content is stable.</w:t>
      </w:r>
    </w:p>
    <w:p w14:paraId="22ACAEEB" w14:textId="77777777" w:rsidR="006E5D1B" w:rsidRPr="006E5D1B" w:rsidRDefault="006E5D1B" w:rsidP="006B684B">
      <w:pPr>
        <w:numPr>
          <w:ilvl w:val="0"/>
          <w:numId w:val="10"/>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Run QA, repair, and final consistency passes.</w:t>
      </w:r>
    </w:p>
    <w:p w14:paraId="55BF42B7"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Suggested effort budget:</w:t>
      </w:r>
    </w:p>
    <w:p w14:paraId="256F3C0D" w14:textId="77777777" w:rsidR="006E5D1B" w:rsidRPr="006E5D1B" w:rsidRDefault="006E5D1B" w:rsidP="006B684B">
      <w:pPr>
        <w:numPr>
          <w:ilvl w:val="0"/>
          <w:numId w:val="11"/>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Planning, traceability, and style sheet: 1-2 working days</w:t>
      </w:r>
    </w:p>
    <w:p w14:paraId="375F82D5" w14:textId="77777777" w:rsidR="006E5D1B" w:rsidRPr="006E5D1B" w:rsidRDefault="006E5D1B" w:rsidP="006B684B">
      <w:pPr>
        <w:numPr>
          <w:ilvl w:val="0"/>
          <w:numId w:val="11"/>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Standard curriculum rewrite: 4-6 working days</w:t>
      </w:r>
    </w:p>
    <w:p w14:paraId="662B037D" w14:textId="77777777" w:rsidR="006E5D1B" w:rsidRPr="006E5D1B" w:rsidRDefault="006E5D1B" w:rsidP="006B684B">
      <w:pPr>
        <w:numPr>
          <w:ilvl w:val="0"/>
          <w:numId w:val="11"/>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Essentials and Long adaptation: 3-5 working days</w:t>
      </w:r>
    </w:p>
    <w:p w14:paraId="1B31B1A6" w14:textId="77777777" w:rsidR="006E5D1B" w:rsidRPr="006E5D1B" w:rsidRDefault="006E5D1B" w:rsidP="006B684B">
      <w:pPr>
        <w:numPr>
          <w:ilvl w:val="0"/>
          <w:numId w:val="11"/>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Assets and accessibility pass: 3-5 working days</w:t>
      </w:r>
    </w:p>
    <w:p w14:paraId="5C78DB9C" w14:textId="77777777" w:rsidR="006E5D1B" w:rsidRPr="006E5D1B" w:rsidRDefault="006E5D1B" w:rsidP="006B684B">
      <w:pPr>
        <w:numPr>
          <w:ilvl w:val="0"/>
          <w:numId w:val="11"/>
        </w:numPr>
        <w:snapToGrid w:val="0"/>
        <w:spacing w:before="100" w:beforeAutospacing="1" w:after="100" w:afterAutospacing="1"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QA, build checks, and external review repair: 2-4 working days</w:t>
      </w:r>
    </w:p>
    <w:p w14:paraId="238DD341"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Use OpenAI image generation API for custom business visuals when original assets are needed and licensing clarity matters. Prefer editable diagrams, generated screenshots/mockups, or simple original charts over stock imagery. Canva can be considered only if the user wants a GUI design workflow; otherwise avoid adding platform dependency. Every asset must have a source, license/status, alt text, and replacement rationale in the image register.</w:t>
      </w:r>
    </w:p>
    <w:p w14:paraId="12EE2774" w14:textId="2B7EC188" w:rsidR="006E5D1B" w:rsidRPr="006E5D1B" w:rsidRDefault="006E5D1B" w:rsidP="006B684B">
      <w:pPr>
        <w:snapToGrid w:val="0"/>
        <w:spacing w:before="360" w:after="240" w:line="240" w:lineRule="auto"/>
        <w:outlineLvl w:val="1"/>
        <w:rPr>
          <w:rFonts w:ascii="Segoe UI" w:eastAsia="Times New Roman" w:hAnsi="Segoe UI" w:cs="Segoe UI"/>
          <w:b/>
          <w:bCs/>
          <w:color w:val="202020"/>
          <w:kern w:val="0"/>
          <w:sz w:val="36"/>
          <w:szCs w:val="36"/>
          <w14:ligatures w14:val="none"/>
        </w:rPr>
      </w:pPr>
      <w:r w:rsidRPr="006E5D1B">
        <w:rPr>
          <w:rFonts w:ascii="Segoe UI" w:eastAsia="Times New Roman" w:hAnsi="Segoe UI" w:cs="Segoe UI"/>
          <w:b/>
          <w:bCs/>
          <w:color w:val="202020"/>
          <w:kern w:val="0"/>
          <w:sz w:val="36"/>
          <w:szCs w:val="36"/>
          <w14:ligatures w14:val="none"/>
        </w:rPr>
        <w:t>QA And Acceptance</w:t>
      </w:r>
    </w:p>
    <w:p w14:paraId="556C4184"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Create a style sheet before drafting. It must define title conventions, level targets, terminology, slide/tool vocabulary, AI-use policy, accessibility rules, citation/source handling, file naming, tone, and recurring case names.</w:t>
      </w:r>
    </w:p>
    <w:p w14:paraId="351A3D85"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Assessment must include rubric categories for message clarity, audience fit, structure, visual effectiveness, spoken English, delivery, Q&amp;A, and professionalism. Use B1/B2 descriptors where language is assessed. Q&amp;A is compulsory in Standard and Long. Separate peer feedback from formal assessment.</w:t>
      </w:r>
    </w:p>
    <w:p w14:paraId="4AB6E59E"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 xml:space="preserve">Accessibility is both curriculum and QA. Learners must study readable text, contrast, chart clarity, color dependence, alt-text awareness, cognitive load, and inclusive delivery. QA must include a </w:t>
      </w:r>
      <w:r w:rsidRPr="006E5D1B">
        <w:rPr>
          <w:rFonts w:ascii="Segoe UI" w:eastAsia="Times New Roman" w:hAnsi="Segoe UI" w:cs="Segoe UI"/>
          <w:color w:val="202020"/>
          <w:kern w:val="0"/>
          <w:sz w:val="20"/>
          <w:szCs w:val="20"/>
          <w14:ligatures w14:val="none"/>
        </w:rPr>
        <w:lastRenderedPageBreak/>
        <w:t>minimum PDF/accessibility check, documented limitations, and manual review where tooling cannot verify.</w:t>
      </w:r>
    </w:p>
    <w:p w14:paraId="6593B11E"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Factual/source QA is required for business data, case examples, tool references, accessibility guidance, and any 2026 workplace claims. Use official or stable sources where possible. Mark invented teaching data clearly as fictional.</w:t>
      </w:r>
    </w:p>
    <w:p w14:paraId="6DFEBA1E"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External review gate: After Plan 3 implementation, if Claude.ai or ChatGPT identifies a significant issue that affects scope, pedagogy, factual accuracy, accessibility, or assessment validity, pause production, classify the issue, update the traceability matrix, and revise the affected lesson or plan section before continuing.</w:t>
      </w:r>
    </w:p>
    <w:p w14:paraId="6036F227" w14:textId="5B89E04C" w:rsidR="006E5D1B" w:rsidRPr="006E5D1B" w:rsidRDefault="006E5D1B" w:rsidP="006B684B">
      <w:pPr>
        <w:snapToGrid w:val="0"/>
        <w:spacing w:before="360" w:after="240" w:line="240" w:lineRule="auto"/>
        <w:outlineLvl w:val="1"/>
        <w:rPr>
          <w:rFonts w:ascii="Segoe UI" w:eastAsia="Times New Roman" w:hAnsi="Segoe UI" w:cs="Segoe UI"/>
          <w:b/>
          <w:bCs/>
          <w:color w:val="202020"/>
          <w:kern w:val="0"/>
          <w:sz w:val="36"/>
          <w:szCs w:val="36"/>
          <w14:ligatures w14:val="none"/>
        </w:rPr>
      </w:pPr>
      <w:r w:rsidRPr="006E5D1B">
        <w:rPr>
          <w:rFonts w:ascii="Segoe UI" w:eastAsia="Times New Roman" w:hAnsi="Segoe UI" w:cs="Segoe UI"/>
          <w:b/>
          <w:bCs/>
          <w:color w:val="202020"/>
          <w:kern w:val="0"/>
          <w:sz w:val="36"/>
          <w:szCs w:val="36"/>
          <w14:ligatures w14:val="none"/>
        </w:rPr>
        <w:t>Assumptions</w:t>
      </w:r>
    </w:p>
    <w:p w14:paraId="36F4B9AE"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The project priority is English language development through presentation tasks, not automation.</w:t>
      </w:r>
    </w:p>
    <w:p w14:paraId="6584172F"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The series should remain tool-neutral while still teaching practical workflows for common workplace tools.</w:t>
      </w:r>
    </w:p>
    <w:p w14:paraId="177A5126" w14:textId="77777777" w:rsidR="006E5D1B" w:rsidRPr="006E5D1B" w:rsidRDefault="006E5D1B" w:rsidP="006B684B">
      <w:pPr>
        <w:snapToGrid w:val="0"/>
        <w:spacing w:after="240" w:line="240" w:lineRule="auto"/>
        <w:rPr>
          <w:rFonts w:ascii="Segoe UI" w:eastAsia="Times New Roman" w:hAnsi="Segoe UI" w:cs="Segoe UI"/>
          <w:color w:val="202020"/>
          <w:kern w:val="0"/>
          <w:sz w:val="20"/>
          <w:szCs w:val="20"/>
          <w14:ligatures w14:val="none"/>
        </w:rPr>
      </w:pPr>
      <w:r w:rsidRPr="006E5D1B">
        <w:rPr>
          <w:rFonts w:ascii="Segoe UI" w:eastAsia="Times New Roman" w:hAnsi="Segoe UI" w:cs="Segoe UI"/>
          <w:color w:val="202020"/>
          <w:kern w:val="0"/>
          <w:sz w:val="20"/>
          <w:szCs w:val="20"/>
          <w14:ligatures w14:val="none"/>
        </w:rPr>
        <w:t>The user will save this plan manually, so this response does not write files.</w:t>
      </w:r>
    </w:p>
    <w:p w14:paraId="06C96477" w14:textId="7D3E63F6" w:rsidR="006F6913" w:rsidRPr="006B684B" w:rsidRDefault="006E5D1B" w:rsidP="006B684B">
      <w:pPr>
        <w:snapToGrid w:val="0"/>
        <w:spacing w:after="240" w:line="240" w:lineRule="auto"/>
        <w:rPr>
          <w:rFonts w:ascii="Segoe UI" w:hAnsi="Segoe UI" w:cs="Segoe UI" w:hint="eastAsia"/>
          <w:color w:val="202020"/>
          <w:kern w:val="0"/>
          <w:sz w:val="20"/>
          <w:szCs w:val="20"/>
          <w14:ligatures w14:val="none"/>
        </w:rPr>
      </w:pPr>
      <w:r w:rsidRPr="006E5D1B">
        <w:rPr>
          <w:rFonts w:ascii="Segoe UI" w:eastAsia="Times New Roman" w:hAnsi="Segoe UI" w:cs="Segoe UI"/>
          <w:color w:val="202020"/>
          <w:kern w:val="0"/>
          <w:sz w:val="20"/>
          <w:szCs w:val="20"/>
          <w14:ligatures w14:val="none"/>
        </w:rPr>
        <w:t>The implementer must preserve existing user-created files and avoid destructive rewrites without a rollback snapshot.</w:t>
      </w:r>
    </w:p>
    <w:sectPr w:rsidR="006F6913" w:rsidRPr="006B684B" w:rsidSect="00393F6E">
      <w:footerReference w:type="default" r:id="rId7"/>
      <w:pgSz w:w="11906" w:h="16838" w:code="9"/>
      <w:pgMar w:top="1985" w:right="1701" w:bottom="1701" w:left="170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3B2EA" w14:textId="77777777" w:rsidR="00C2089D" w:rsidRDefault="00C2089D" w:rsidP="006E5D1B">
      <w:pPr>
        <w:spacing w:after="0" w:line="240" w:lineRule="auto"/>
      </w:pPr>
      <w:r>
        <w:separator/>
      </w:r>
    </w:p>
  </w:endnote>
  <w:endnote w:type="continuationSeparator" w:id="0">
    <w:p w14:paraId="73EFD1F7" w14:textId="77777777" w:rsidR="00C2089D" w:rsidRDefault="00C2089D" w:rsidP="006E5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Segoe UI Semibold">
    <w:panose1 w:val="020B07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510261"/>
      <w:docPartObj>
        <w:docPartGallery w:val="Page Numbers (Bottom of Page)"/>
        <w:docPartUnique/>
      </w:docPartObj>
    </w:sdtPr>
    <w:sdtEndPr>
      <w:rPr>
        <w:noProof/>
      </w:rPr>
    </w:sdtEndPr>
    <w:sdtContent>
      <w:p w14:paraId="04F1AB80" w14:textId="457AE82F" w:rsidR="006E5D1B" w:rsidRDefault="006E5D1B" w:rsidP="006E5D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B5D5" w14:textId="77777777" w:rsidR="00C2089D" w:rsidRDefault="00C2089D" w:rsidP="006E5D1B">
      <w:pPr>
        <w:spacing w:after="0" w:line="240" w:lineRule="auto"/>
      </w:pPr>
      <w:r>
        <w:separator/>
      </w:r>
    </w:p>
  </w:footnote>
  <w:footnote w:type="continuationSeparator" w:id="0">
    <w:p w14:paraId="62DF51CC" w14:textId="77777777" w:rsidR="00C2089D" w:rsidRDefault="00C2089D" w:rsidP="006E5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4576F3"/>
    <w:multiLevelType w:val="multilevel"/>
    <w:tmpl w:val="50EE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C307A"/>
    <w:multiLevelType w:val="multilevel"/>
    <w:tmpl w:val="FABE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4384F"/>
    <w:multiLevelType w:val="multilevel"/>
    <w:tmpl w:val="D2F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1352">
    <w:abstractNumId w:val="3"/>
  </w:num>
  <w:num w:numId="2" w16cid:durableId="1236477952">
    <w:abstractNumId w:val="3"/>
  </w:num>
  <w:num w:numId="3" w16cid:durableId="1684815771">
    <w:abstractNumId w:val="1"/>
  </w:num>
  <w:num w:numId="4" w16cid:durableId="1114860476">
    <w:abstractNumId w:val="1"/>
  </w:num>
  <w:num w:numId="5" w16cid:durableId="1174345365">
    <w:abstractNumId w:val="2"/>
  </w:num>
  <w:num w:numId="6" w16cid:durableId="677779046">
    <w:abstractNumId w:val="2"/>
  </w:num>
  <w:num w:numId="7" w16cid:durableId="1394817995">
    <w:abstractNumId w:val="0"/>
  </w:num>
  <w:num w:numId="8" w16cid:durableId="2033338373">
    <w:abstractNumId w:val="0"/>
  </w:num>
  <w:num w:numId="9" w16cid:durableId="1939022964">
    <w:abstractNumId w:val="4"/>
  </w:num>
  <w:num w:numId="10" w16cid:durableId="598101058">
    <w:abstractNumId w:val="5"/>
  </w:num>
  <w:num w:numId="11" w16cid:durableId="12041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CF"/>
    <w:rsid w:val="00055A5A"/>
    <w:rsid w:val="00082354"/>
    <w:rsid w:val="00115BDC"/>
    <w:rsid w:val="001B7C57"/>
    <w:rsid w:val="001D21E9"/>
    <w:rsid w:val="001E1DCF"/>
    <w:rsid w:val="002C3324"/>
    <w:rsid w:val="00393F6E"/>
    <w:rsid w:val="004A470A"/>
    <w:rsid w:val="004D1BE4"/>
    <w:rsid w:val="004E54EC"/>
    <w:rsid w:val="004F15F7"/>
    <w:rsid w:val="004F742C"/>
    <w:rsid w:val="00527E24"/>
    <w:rsid w:val="005970CC"/>
    <w:rsid w:val="005B0514"/>
    <w:rsid w:val="005D69CB"/>
    <w:rsid w:val="006A3B18"/>
    <w:rsid w:val="006B684B"/>
    <w:rsid w:val="006E5D1B"/>
    <w:rsid w:val="006F6913"/>
    <w:rsid w:val="00726616"/>
    <w:rsid w:val="007B60EB"/>
    <w:rsid w:val="0090155A"/>
    <w:rsid w:val="00922296"/>
    <w:rsid w:val="00AA502A"/>
    <w:rsid w:val="00AE25F9"/>
    <w:rsid w:val="00B370D1"/>
    <w:rsid w:val="00B631F5"/>
    <w:rsid w:val="00BC67B4"/>
    <w:rsid w:val="00C2089D"/>
    <w:rsid w:val="00C4523D"/>
    <w:rsid w:val="00CB1D08"/>
    <w:rsid w:val="00CD5AA0"/>
    <w:rsid w:val="00D65086"/>
    <w:rsid w:val="00D670E3"/>
    <w:rsid w:val="00DE5F1E"/>
    <w:rsid w:val="00E21466"/>
    <w:rsid w:val="00ED7D21"/>
    <w:rsid w:val="00FA0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2B25"/>
  <w15:chartTrackingRefBased/>
  <w15:docId w15:val="{4530094E-92C7-4A08-BF10-EBBEFD75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18"/>
    <w:pPr>
      <w:keepNext/>
      <w:keepLines/>
      <w:pBdr>
        <w:bottom w:val="single" w:sz="6" w:space="2" w:color="D0D7DE"/>
      </w:pBdr>
      <w:snapToGrid w:val="0"/>
      <w:spacing w:after="240" w:line="560" w:lineRule="exact"/>
      <w:outlineLvl w:val="0"/>
    </w:pPr>
    <w:rPr>
      <w:rFonts w:ascii="Segoe UI Semibold" w:eastAsiaTheme="majorEastAsia" w:hAnsi="Segoe UI Semibold" w:cs="Segoe UI Semibold"/>
      <w:noProof/>
      <w:color w:val="000000"/>
      <w:kern w:val="0"/>
      <w:sz w:val="40"/>
      <w:szCs w:val="22"/>
      <w:lang w:eastAsia="en-US"/>
      <w14:ligatures w14:val="none"/>
    </w:rPr>
  </w:style>
  <w:style w:type="paragraph" w:styleId="Heading2">
    <w:name w:val="heading 2"/>
    <w:basedOn w:val="Normal"/>
    <w:next w:val="Normal"/>
    <w:link w:val="Heading2Char"/>
    <w:uiPriority w:val="9"/>
    <w:unhideWhenUsed/>
    <w:qFormat/>
    <w:rsid w:val="006A3B18"/>
    <w:pPr>
      <w:keepNext/>
      <w:keepLines/>
      <w:pBdr>
        <w:bottom w:val="single" w:sz="6" w:space="2" w:color="auto"/>
      </w:pBdr>
      <w:snapToGrid w:val="0"/>
      <w:spacing w:before="480" w:after="240" w:line="440" w:lineRule="exact"/>
      <w:outlineLvl w:val="1"/>
    </w:pPr>
    <w:rPr>
      <w:rFonts w:ascii="Segoe UI Semibold" w:eastAsiaTheme="majorEastAsia" w:hAnsi="Segoe UI Semibold" w:cs="Segoe UI Semibold"/>
      <w:noProof/>
      <w:color w:val="000000"/>
      <w:kern w:val="0"/>
      <w:sz w:val="32"/>
      <w:lang w:eastAsia="en-US"/>
      <w14:ligatures w14:val="none"/>
    </w:rPr>
  </w:style>
  <w:style w:type="paragraph" w:styleId="Heading3">
    <w:name w:val="heading 3"/>
    <w:basedOn w:val="Normal"/>
    <w:next w:val="Normal"/>
    <w:link w:val="Heading3Char"/>
    <w:uiPriority w:val="9"/>
    <w:unhideWhenUsed/>
    <w:qFormat/>
    <w:rsid w:val="006A3B18"/>
    <w:pPr>
      <w:keepNext/>
      <w:keepLines/>
      <w:snapToGrid w:val="0"/>
      <w:spacing w:before="360" w:after="120" w:line="192" w:lineRule="auto"/>
      <w:outlineLvl w:val="2"/>
    </w:pPr>
    <w:rPr>
      <w:rFonts w:ascii="Segoe UI Semibold" w:eastAsiaTheme="majorEastAsia" w:hAnsi="Segoe UI Semibold" w:cs="Segoe UI Semibold"/>
      <w:noProof/>
      <w:color w:val="000000"/>
      <w:kern w:val="0"/>
      <w:lang w:eastAsia="en-US"/>
      <w14:ligatures w14:val="none"/>
    </w:rPr>
  </w:style>
  <w:style w:type="paragraph" w:styleId="Heading4">
    <w:name w:val="heading 4"/>
    <w:basedOn w:val="Normal"/>
    <w:next w:val="Normal"/>
    <w:link w:val="Heading4Char"/>
    <w:uiPriority w:val="9"/>
    <w:unhideWhenUsed/>
    <w:qFormat/>
    <w:rsid w:val="006A3B18"/>
    <w:pPr>
      <w:keepNext/>
      <w:keepLines/>
      <w:snapToGrid w:val="0"/>
      <w:spacing w:before="280" w:line="192" w:lineRule="auto"/>
      <w:outlineLvl w:val="3"/>
    </w:pPr>
    <w:rPr>
      <w:rFonts w:ascii="Segoe UI Semibold" w:eastAsiaTheme="majorEastAsia" w:hAnsi="Segoe UI Semibold" w:cs="Segoe UI Semibold"/>
      <w:noProof/>
      <w:color w:val="000000"/>
      <w:kern w:val="0"/>
      <w:sz w:val="22"/>
      <w:szCs w:val="21"/>
      <w:shd w:val="clear" w:color="auto" w:fill="F2CEED" w:themeFill="accent5" w:themeFillTint="33"/>
      <w:lang w:eastAsia="en-US"/>
      <w14:ligatures w14:val="none"/>
    </w:rPr>
  </w:style>
  <w:style w:type="paragraph" w:styleId="Heading5">
    <w:name w:val="heading 5"/>
    <w:basedOn w:val="Normal"/>
    <w:next w:val="Normal"/>
    <w:link w:val="Heading5Char"/>
    <w:uiPriority w:val="9"/>
    <w:semiHidden/>
    <w:unhideWhenUsed/>
    <w:qFormat/>
    <w:rsid w:val="006A3B18"/>
    <w:pPr>
      <w:keepNext/>
      <w:keepLines/>
      <w:snapToGrid w:val="0"/>
      <w:spacing w:before="360" w:after="240" w:line="300" w:lineRule="auto"/>
      <w:outlineLvl w:val="4"/>
    </w:pPr>
    <w:rPr>
      <w:rFonts w:ascii="Segoe UI Semibold" w:eastAsiaTheme="majorEastAsia" w:hAnsi="Segoe UI Semibold" w:cs="Segoe UI Semibold"/>
      <w:b/>
      <w:noProof/>
      <w:color w:val="000000"/>
      <w:kern w:val="0"/>
      <w:sz w:val="21"/>
      <w:szCs w:val="22"/>
      <w:lang w:eastAsia="en-US"/>
      <w14:ligatures w14:val="none"/>
    </w:rPr>
  </w:style>
  <w:style w:type="paragraph" w:styleId="Heading6">
    <w:name w:val="heading 6"/>
    <w:basedOn w:val="Normal"/>
    <w:next w:val="Normal"/>
    <w:link w:val="Heading6Char"/>
    <w:uiPriority w:val="9"/>
    <w:semiHidden/>
    <w:unhideWhenUsed/>
    <w:qFormat/>
    <w:rsid w:val="001E1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18"/>
    <w:rPr>
      <w:rFonts w:ascii="Segoe UI Semibold" w:eastAsiaTheme="majorEastAsia" w:hAnsi="Segoe UI Semibold" w:cs="Segoe UI Semibold"/>
      <w:noProof/>
      <w:color w:val="000000"/>
      <w:kern w:val="0"/>
      <w:sz w:val="40"/>
      <w:szCs w:val="22"/>
      <w:lang w:eastAsia="en-US"/>
      <w14:ligatures w14:val="none"/>
    </w:rPr>
  </w:style>
  <w:style w:type="character" w:customStyle="1" w:styleId="Heading2Char">
    <w:name w:val="Heading 2 Char"/>
    <w:basedOn w:val="DefaultParagraphFont"/>
    <w:link w:val="Heading2"/>
    <w:uiPriority w:val="9"/>
    <w:rsid w:val="006A3B18"/>
    <w:rPr>
      <w:rFonts w:ascii="Segoe UI Semibold" w:eastAsiaTheme="majorEastAsia" w:hAnsi="Segoe UI Semibold" w:cs="Segoe UI Semibold"/>
      <w:noProof/>
      <w:color w:val="000000"/>
      <w:kern w:val="0"/>
      <w:sz w:val="32"/>
      <w:lang w:eastAsia="en-US"/>
      <w14:ligatures w14:val="none"/>
    </w:rPr>
  </w:style>
  <w:style w:type="character" w:customStyle="1" w:styleId="Heading3Char">
    <w:name w:val="Heading 3 Char"/>
    <w:basedOn w:val="DefaultParagraphFont"/>
    <w:link w:val="Heading3"/>
    <w:uiPriority w:val="9"/>
    <w:rsid w:val="006A3B18"/>
    <w:rPr>
      <w:rFonts w:ascii="Segoe UI Semibold" w:eastAsiaTheme="majorEastAsia" w:hAnsi="Segoe UI Semibold" w:cs="Segoe UI Semibold"/>
      <w:noProof/>
      <w:color w:val="000000"/>
      <w:kern w:val="0"/>
      <w:lang w:eastAsia="en-US"/>
      <w14:ligatures w14:val="none"/>
    </w:rPr>
  </w:style>
  <w:style w:type="character" w:customStyle="1" w:styleId="Heading4Char">
    <w:name w:val="Heading 4 Char"/>
    <w:basedOn w:val="DefaultParagraphFont"/>
    <w:link w:val="Heading4"/>
    <w:uiPriority w:val="9"/>
    <w:rsid w:val="006A3B18"/>
    <w:rPr>
      <w:rFonts w:ascii="Segoe UI Semibold" w:eastAsiaTheme="majorEastAsia" w:hAnsi="Segoe UI Semibold" w:cs="Segoe UI Semibold"/>
      <w:noProof/>
      <w:color w:val="000000"/>
      <w:kern w:val="0"/>
      <w:sz w:val="22"/>
      <w:szCs w:val="21"/>
      <w:lang w:eastAsia="en-US"/>
      <w14:ligatures w14:val="none"/>
    </w:rPr>
  </w:style>
  <w:style w:type="character" w:customStyle="1" w:styleId="Heading5Char">
    <w:name w:val="Heading 5 Char"/>
    <w:basedOn w:val="DefaultParagraphFont"/>
    <w:link w:val="Heading5"/>
    <w:uiPriority w:val="9"/>
    <w:semiHidden/>
    <w:rsid w:val="006A3B18"/>
    <w:rPr>
      <w:rFonts w:ascii="Segoe UI Semibold" w:eastAsiaTheme="majorEastAsia" w:hAnsi="Segoe UI Semibold" w:cs="Segoe UI Semibold"/>
      <w:b/>
      <w:noProof/>
      <w:color w:val="000000"/>
      <w:kern w:val="0"/>
      <w:sz w:val="21"/>
      <w:szCs w:val="22"/>
      <w:lang w:eastAsia="en-US"/>
      <w14:ligatures w14:val="none"/>
    </w:rPr>
  </w:style>
  <w:style w:type="character" w:customStyle="1" w:styleId="Heading6Char">
    <w:name w:val="Heading 6 Char"/>
    <w:basedOn w:val="DefaultParagraphFont"/>
    <w:link w:val="Heading6"/>
    <w:uiPriority w:val="9"/>
    <w:semiHidden/>
    <w:rsid w:val="001E1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DCF"/>
    <w:rPr>
      <w:rFonts w:eastAsiaTheme="majorEastAsia" w:cstheme="majorBidi"/>
      <w:color w:val="272727" w:themeColor="text1" w:themeTint="D8"/>
    </w:rPr>
  </w:style>
  <w:style w:type="paragraph" w:styleId="Title">
    <w:name w:val="Title"/>
    <w:basedOn w:val="Normal"/>
    <w:next w:val="Normal"/>
    <w:link w:val="TitleChar"/>
    <w:uiPriority w:val="10"/>
    <w:qFormat/>
    <w:rsid w:val="001E1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CF"/>
    <w:pPr>
      <w:spacing w:before="160"/>
      <w:jc w:val="center"/>
    </w:pPr>
    <w:rPr>
      <w:i/>
      <w:iCs/>
      <w:color w:val="404040" w:themeColor="text1" w:themeTint="BF"/>
    </w:rPr>
  </w:style>
  <w:style w:type="character" w:customStyle="1" w:styleId="QuoteChar">
    <w:name w:val="Quote Char"/>
    <w:basedOn w:val="DefaultParagraphFont"/>
    <w:link w:val="Quote"/>
    <w:uiPriority w:val="29"/>
    <w:rsid w:val="001E1DCF"/>
    <w:rPr>
      <w:i/>
      <w:iCs/>
      <w:color w:val="404040" w:themeColor="text1" w:themeTint="BF"/>
    </w:rPr>
  </w:style>
  <w:style w:type="paragraph" w:styleId="ListParagraph">
    <w:name w:val="List Paragraph"/>
    <w:basedOn w:val="Normal"/>
    <w:uiPriority w:val="34"/>
    <w:qFormat/>
    <w:rsid w:val="001E1DCF"/>
    <w:pPr>
      <w:ind w:left="720"/>
      <w:contextualSpacing/>
    </w:pPr>
  </w:style>
  <w:style w:type="character" w:styleId="IntenseEmphasis">
    <w:name w:val="Intense Emphasis"/>
    <w:basedOn w:val="DefaultParagraphFont"/>
    <w:uiPriority w:val="21"/>
    <w:qFormat/>
    <w:rsid w:val="001E1DCF"/>
    <w:rPr>
      <w:i/>
      <w:iCs/>
      <w:color w:val="0F4761" w:themeColor="accent1" w:themeShade="BF"/>
    </w:rPr>
  </w:style>
  <w:style w:type="paragraph" w:styleId="IntenseQuote">
    <w:name w:val="Intense Quote"/>
    <w:basedOn w:val="Normal"/>
    <w:next w:val="Normal"/>
    <w:link w:val="IntenseQuoteChar"/>
    <w:uiPriority w:val="30"/>
    <w:qFormat/>
    <w:rsid w:val="001E1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DCF"/>
    <w:rPr>
      <w:i/>
      <w:iCs/>
      <w:color w:val="0F4761" w:themeColor="accent1" w:themeShade="BF"/>
    </w:rPr>
  </w:style>
  <w:style w:type="character" w:styleId="IntenseReference">
    <w:name w:val="Intense Reference"/>
    <w:basedOn w:val="DefaultParagraphFont"/>
    <w:uiPriority w:val="32"/>
    <w:qFormat/>
    <w:rsid w:val="001E1DCF"/>
    <w:rPr>
      <w:b/>
      <w:bCs/>
      <w:smallCaps/>
      <w:color w:val="0F4761" w:themeColor="accent1" w:themeShade="BF"/>
      <w:spacing w:val="5"/>
    </w:rPr>
  </w:style>
  <w:style w:type="paragraph" w:customStyle="1" w:styleId="code-line">
    <w:name w:val="code-line"/>
    <w:basedOn w:val="Normal"/>
    <w:rsid w:val="006E5D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E5D1B"/>
    <w:rPr>
      <w:i/>
      <w:iCs/>
    </w:rPr>
  </w:style>
  <w:style w:type="paragraph" w:styleId="Header">
    <w:name w:val="header"/>
    <w:basedOn w:val="Normal"/>
    <w:link w:val="HeaderChar"/>
    <w:uiPriority w:val="99"/>
    <w:unhideWhenUsed/>
    <w:rsid w:val="006E5D1B"/>
    <w:pPr>
      <w:tabs>
        <w:tab w:val="center" w:pos="4419"/>
        <w:tab w:val="right" w:pos="8838"/>
      </w:tabs>
      <w:spacing w:after="0" w:line="240" w:lineRule="auto"/>
    </w:pPr>
  </w:style>
  <w:style w:type="character" w:customStyle="1" w:styleId="HeaderChar">
    <w:name w:val="Header Char"/>
    <w:basedOn w:val="DefaultParagraphFont"/>
    <w:link w:val="Header"/>
    <w:uiPriority w:val="99"/>
    <w:rsid w:val="006E5D1B"/>
  </w:style>
  <w:style w:type="paragraph" w:styleId="Footer">
    <w:name w:val="footer"/>
    <w:basedOn w:val="Normal"/>
    <w:link w:val="FooterChar"/>
    <w:uiPriority w:val="99"/>
    <w:unhideWhenUsed/>
    <w:rsid w:val="006E5D1B"/>
    <w:pPr>
      <w:tabs>
        <w:tab w:val="center" w:pos="4419"/>
        <w:tab w:val="right" w:pos="8838"/>
      </w:tabs>
      <w:spacing w:after="0" w:line="240" w:lineRule="auto"/>
    </w:pPr>
  </w:style>
  <w:style w:type="character" w:customStyle="1" w:styleId="FooterChar">
    <w:name w:val="Footer Char"/>
    <w:basedOn w:val="DefaultParagraphFont"/>
    <w:link w:val="Footer"/>
    <w:uiPriority w:val="99"/>
    <w:rsid w:val="006E5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1144</Words>
  <Characters>6523</Characters>
  <Application>Microsoft Office Word</Application>
  <DocSecurity>0</DocSecurity>
  <Lines>54</Lines>
  <Paragraphs>15</Paragraphs>
  <ScaleCrop>false</ScaleCrop>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Dobson</dc:creator>
  <cp:keywords/>
  <dc:description/>
  <cp:lastModifiedBy>David Dobson</cp:lastModifiedBy>
  <cp:revision>4</cp:revision>
  <dcterms:created xsi:type="dcterms:W3CDTF">2026-08-12T04:11:00Z</dcterms:created>
  <dcterms:modified xsi:type="dcterms:W3CDTF">2026-08-12T04:15:00Z</dcterms:modified>
</cp:coreProperties>
</file>