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F03F" w14:textId="77777777" w:rsidR="00224C02" w:rsidRPr="00224C02" w:rsidRDefault="00224C02" w:rsidP="00224C02">
      <w:pPr>
        <w:pStyle w:val="NormalWeb"/>
        <w:spacing w:before="0" w:beforeAutospacing="0" w:after="0" w:afterAutospacing="0"/>
        <w:jc w:val="center"/>
        <w:rPr>
          <w:rFonts w:ascii="Palatino Linotype" w:hAnsi="Palatino Linotype"/>
          <w:sz w:val="20"/>
          <w:szCs w:val="20"/>
        </w:rPr>
      </w:pPr>
      <w:r w:rsidRPr="00224C02">
        <w:rPr>
          <w:rFonts w:ascii="Palatino Linotype" w:hAnsi="Palatino Linotype"/>
          <w:color w:val="000000"/>
          <w:sz w:val="20"/>
          <w:szCs w:val="20"/>
        </w:rPr>
        <w:t>BIVALVE Project Summary</w:t>
      </w:r>
    </w:p>
    <w:p w14:paraId="56A4A249" w14:textId="77777777" w:rsidR="00224C02" w:rsidRPr="00224C02" w:rsidRDefault="00224C02" w:rsidP="00224C02">
      <w:pPr>
        <w:pStyle w:val="NormalWeb"/>
        <w:spacing w:before="240" w:beforeAutospacing="0" w:after="0" w:afterAutospacing="0"/>
        <w:jc w:val="both"/>
        <w:rPr>
          <w:rFonts w:ascii="Palatino Linotype" w:hAnsi="Palatino Linotype"/>
          <w:sz w:val="20"/>
          <w:szCs w:val="20"/>
        </w:rPr>
      </w:pPr>
      <w:r w:rsidRPr="00224C02">
        <w:rPr>
          <w:rFonts w:ascii="Palatino Linotype" w:hAnsi="Palatino Linotype"/>
          <w:b/>
          <w:bCs/>
          <w:color w:val="000000"/>
          <w:sz w:val="20"/>
          <w:szCs w:val="20"/>
        </w:rPr>
        <w:t>Overview</w:t>
      </w:r>
    </w:p>
    <w:p w14:paraId="04F2BF09" w14:textId="77777777" w:rsidR="00224C02" w:rsidRPr="00224C02" w:rsidRDefault="00224C02" w:rsidP="00224C02">
      <w:pPr>
        <w:pStyle w:val="NormalWeb"/>
        <w:spacing w:before="120" w:beforeAutospacing="0" w:after="0" w:afterAutospacing="0" w:line="240" w:lineRule="exact"/>
        <w:ind w:firstLine="720"/>
        <w:jc w:val="both"/>
        <w:rPr>
          <w:rFonts w:ascii="Palatino Linotype" w:hAnsi="Palatino Linotype"/>
          <w:sz w:val="20"/>
          <w:szCs w:val="20"/>
        </w:rPr>
      </w:pPr>
      <w:r w:rsidRPr="00224C02">
        <w:rPr>
          <w:rFonts w:ascii="Palatino Linotype" w:hAnsi="Palatino Linotype"/>
          <w:color w:val="000000"/>
          <w:sz w:val="20"/>
          <w:szCs w:val="20"/>
        </w:rPr>
        <w:t xml:space="preserve">Decadal variability of </w:t>
      </w:r>
      <w:proofErr w:type="gramStart"/>
      <w:r w:rsidRPr="00224C02">
        <w:rPr>
          <w:rFonts w:ascii="Palatino Linotype" w:hAnsi="Palatino Linotype"/>
          <w:color w:val="000000"/>
          <w:sz w:val="20"/>
          <w:szCs w:val="20"/>
        </w:rPr>
        <w:t>Pacific sea</w:t>
      </w:r>
      <w:proofErr w:type="gramEnd"/>
      <w:r w:rsidRPr="00224C02">
        <w:rPr>
          <w:rFonts w:ascii="Palatino Linotype" w:hAnsi="Palatino Linotype"/>
          <w:color w:val="000000"/>
          <w:sz w:val="20"/>
          <w:szCs w:val="20"/>
        </w:rPr>
        <w:t xml:space="preserve"> surface temperatures (SSTs) plays an important role in terrestrial climate anomalies as well as global temperature trends. Unfortunately, the spectral character and magnitude of this variability is poorly constrained by instrumental or paleoclimate data, which is particularly sparse in the South Pacific. However, a type of marine bivalve, called geoducks, demonstrate a new pathway for generating annual data in regions of the Pacific critical to defining decadal variability. Recent work has used Pacific geoducks (</w:t>
      </w:r>
      <w:r w:rsidRPr="00224C02">
        <w:rPr>
          <w:rFonts w:ascii="Palatino Linotype" w:hAnsi="Palatino Linotype"/>
          <w:i/>
          <w:iCs/>
          <w:color w:val="000000"/>
          <w:sz w:val="20"/>
          <w:szCs w:val="20"/>
        </w:rPr>
        <w:t>P. generosa</w:t>
      </w:r>
      <w:r w:rsidRPr="00224C02">
        <w:rPr>
          <w:rFonts w:ascii="Palatino Linotype" w:hAnsi="Palatino Linotype"/>
          <w:color w:val="000000"/>
          <w:sz w:val="20"/>
          <w:szCs w:val="20"/>
        </w:rPr>
        <w:t>) to reconstruct North Pacific SSTs across much of the Common Era at annual resolution, and the New Zealand geoduck (</w:t>
      </w:r>
      <w:r w:rsidRPr="00224C02">
        <w:rPr>
          <w:rFonts w:ascii="Palatino Linotype" w:hAnsi="Palatino Linotype"/>
          <w:i/>
          <w:iCs/>
          <w:color w:val="000000"/>
          <w:sz w:val="20"/>
          <w:szCs w:val="20"/>
        </w:rPr>
        <w:t>P. zelandica</w:t>
      </w:r>
      <w:r w:rsidRPr="00224C02">
        <w:rPr>
          <w:rFonts w:ascii="Palatino Linotype" w:hAnsi="Palatino Linotype"/>
          <w:color w:val="000000"/>
          <w:sz w:val="20"/>
          <w:szCs w:val="20"/>
        </w:rPr>
        <w:t xml:space="preserve">) shows similar promise. Previous shell collections from fisheries research are readily available and a new pilot chronology proves both the viability of record development and broad spatial SST correlations. In the proposed research, called Browsing Intra-pacific Variability </w:t>
      </w:r>
      <w:proofErr w:type="gramStart"/>
      <w:r w:rsidRPr="00224C02">
        <w:rPr>
          <w:rFonts w:ascii="Palatino Linotype" w:hAnsi="Palatino Linotype"/>
          <w:color w:val="000000"/>
          <w:sz w:val="20"/>
          <w:szCs w:val="20"/>
        </w:rPr>
        <w:t>And</w:t>
      </w:r>
      <w:proofErr w:type="gramEnd"/>
      <w:r w:rsidRPr="00224C02">
        <w:rPr>
          <w:rFonts w:ascii="Palatino Linotype" w:hAnsi="Palatino Linotype"/>
          <w:color w:val="000000"/>
          <w:sz w:val="20"/>
          <w:szCs w:val="20"/>
        </w:rPr>
        <w:t xml:space="preserve"> Linked </w:t>
      </w:r>
      <w:proofErr w:type="spellStart"/>
      <w:r w:rsidRPr="00224C02">
        <w:rPr>
          <w:rFonts w:ascii="Palatino Linotype" w:hAnsi="Palatino Linotype"/>
          <w:color w:val="000000"/>
          <w:sz w:val="20"/>
          <w:szCs w:val="20"/>
        </w:rPr>
        <w:t>enVironmental</w:t>
      </w:r>
      <w:proofErr w:type="spellEnd"/>
      <w:r w:rsidRPr="00224C02">
        <w:rPr>
          <w:rFonts w:ascii="Palatino Linotype" w:hAnsi="Palatino Linotype"/>
          <w:color w:val="000000"/>
          <w:sz w:val="20"/>
          <w:szCs w:val="20"/>
        </w:rPr>
        <w:t xml:space="preserve"> Effects (BIVALVE), we will reconstruct South Pacific SSTs using this newly-developed proxy and explore both local climate and remote teleconnections in data and models. The proposed research will first develop several New Zealand geoduck growth-increment proxy records and sample δ</w:t>
      </w:r>
      <w:r w:rsidRPr="00224C02">
        <w:rPr>
          <w:rFonts w:ascii="Palatino Linotype" w:hAnsi="Palatino Linotype"/>
          <w:color w:val="000000"/>
          <w:sz w:val="20"/>
          <w:szCs w:val="20"/>
          <w:vertAlign w:val="superscript"/>
        </w:rPr>
        <w:t>18</w:t>
      </w:r>
      <w:r w:rsidRPr="00224C02">
        <w:rPr>
          <w:rFonts w:ascii="Palatino Linotype" w:hAnsi="Palatino Linotype"/>
          <w:color w:val="000000"/>
          <w:sz w:val="20"/>
          <w:szCs w:val="20"/>
        </w:rPr>
        <w:t>O from existing shell collections to determine the prime location for a multiproxy, annual SST reconstruction. We will then collect dead shell samples from the seafloor to extend the geoduck climate archive into previous centuries. Together with data from corals and tree rings, we will reconstruct pan-Pacific SST patterns to provide insights into the range and spectral character of past variability. We will use this pan-Pacific reconstruction alongside continental climate proxies to assess the strength and stability of teleconnection patterns for economically and societally important regions. Finally, we will harness these new insights to test model skill in the pre-instrumental Pacific and provide an assessment of likely future behavior based on skillful models.</w:t>
      </w:r>
    </w:p>
    <w:p w14:paraId="6F97810D" w14:textId="77777777" w:rsidR="00224C02" w:rsidRPr="00224C02" w:rsidRDefault="00224C02" w:rsidP="00224C02">
      <w:pPr>
        <w:pStyle w:val="NormalWeb"/>
        <w:spacing w:before="240" w:beforeAutospacing="0" w:after="0" w:afterAutospacing="0"/>
        <w:jc w:val="both"/>
        <w:rPr>
          <w:rFonts w:ascii="Palatino Linotype" w:hAnsi="Palatino Linotype"/>
          <w:sz w:val="20"/>
          <w:szCs w:val="20"/>
        </w:rPr>
      </w:pPr>
      <w:r w:rsidRPr="00224C02">
        <w:rPr>
          <w:rFonts w:ascii="Palatino Linotype" w:hAnsi="Palatino Linotype"/>
          <w:b/>
          <w:bCs/>
          <w:color w:val="000000"/>
          <w:sz w:val="20"/>
          <w:szCs w:val="20"/>
        </w:rPr>
        <w:t>Intellectual Merit</w:t>
      </w:r>
    </w:p>
    <w:p w14:paraId="223EC630" w14:textId="77777777" w:rsidR="00224C02" w:rsidRPr="00224C02" w:rsidRDefault="00224C02" w:rsidP="00224C02">
      <w:pPr>
        <w:pStyle w:val="NormalWeb"/>
        <w:spacing w:before="120" w:beforeAutospacing="0" w:after="0" w:afterAutospacing="0" w:line="240" w:lineRule="exact"/>
        <w:ind w:firstLine="720"/>
        <w:jc w:val="both"/>
        <w:rPr>
          <w:rFonts w:ascii="Palatino Linotype" w:hAnsi="Palatino Linotype"/>
          <w:sz w:val="20"/>
          <w:szCs w:val="20"/>
        </w:rPr>
      </w:pPr>
      <w:r w:rsidRPr="00224C02">
        <w:rPr>
          <w:rFonts w:ascii="Palatino Linotype" w:hAnsi="Palatino Linotype"/>
          <w:color w:val="000000"/>
          <w:sz w:val="20"/>
          <w:szCs w:val="20"/>
        </w:rPr>
        <w:t xml:space="preserve">We will develop the first high-resolution, in-situ sea surface temperature proxy record for the period prior to the 20th century and south of the subtropics. We have already produced the first evidence of crossdating and climate-growth relationships for </w:t>
      </w:r>
      <w:r w:rsidRPr="00224C02">
        <w:rPr>
          <w:rFonts w:ascii="Palatino Linotype" w:hAnsi="Palatino Linotype"/>
          <w:i/>
          <w:iCs/>
          <w:color w:val="000000"/>
          <w:sz w:val="20"/>
          <w:szCs w:val="20"/>
        </w:rPr>
        <w:t>P. zelandica</w:t>
      </w:r>
      <w:r w:rsidRPr="00224C02">
        <w:rPr>
          <w:rFonts w:ascii="Palatino Linotype" w:hAnsi="Palatino Linotype"/>
          <w:color w:val="000000"/>
          <w:sz w:val="20"/>
          <w:szCs w:val="20"/>
        </w:rPr>
        <w:t xml:space="preserve"> and will continue to leverage the experience and tools gained from the related work with Pacific geoduck. We will utilize the Pacific and New Zealand geoduck chronologies alongside other annually resolved, </w:t>
      </w:r>
      <w:proofErr w:type="spellStart"/>
      <w:r w:rsidRPr="00224C02">
        <w:rPr>
          <w:rFonts w:ascii="Palatino Linotype" w:hAnsi="Palatino Linotype"/>
          <w:color w:val="000000"/>
          <w:sz w:val="20"/>
          <w:szCs w:val="20"/>
        </w:rPr>
        <w:t>multicentennial</w:t>
      </w:r>
      <w:proofErr w:type="spellEnd"/>
      <w:r w:rsidRPr="00224C02">
        <w:rPr>
          <w:rFonts w:ascii="Palatino Linotype" w:hAnsi="Palatino Linotype"/>
          <w:color w:val="000000"/>
          <w:sz w:val="20"/>
          <w:szCs w:val="20"/>
        </w:rPr>
        <w:t>, SST proxies, exclusively employing records within regions of critical SST variability. Where disagreement among models as well as previous reconstructions is pronounced, this new reconstruction, defined by rigorous selection criteria, will add to our understanding of the natural variability in this system. Rather than rely on teleconnection patterns to reconstruct Pacific SSTs, our proxies’ residence in the regions of interest will enable us to evaluate the consistency of these teleconnections. </w:t>
      </w:r>
    </w:p>
    <w:p w14:paraId="5D45D9A8" w14:textId="77777777" w:rsidR="00224C02" w:rsidRPr="00224C02" w:rsidRDefault="00224C02" w:rsidP="00224C02">
      <w:pPr>
        <w:pStyle w:val="NormalWeb"/>
        <w:spacing w:before="240" w:beforeAutospacing="0" w:after="0" w:afterAutospacing="0"/>
        <w:jc w:val="both"/>
        <w:rPr>
          <w:rFonts w:ascii="Palatino Linotype" w:hAnsi="Palatino Linotype"/>
          <w:sz w:val="20"/>
          <w:szCs w:val="20"/>
        </w:rPr>
      </w:pPr>
      <w:r w:rsidRPr="00224C02">
        <w:rPr>
          <w:rFonts w:ascii="Palatino Linotype" w:hAnsi="Palatino Linotype"/>
          <w:b/>
          <w:bCs/>
          <w:color w:val="000000"/>
          <w:sz w:val="20"/>
          <w:szCs w:val="20"/>
        </w:rPr>
        <w:t>Broader Impacts</w:t>
      </w:r>
    </w:p>
    <w:p w14:paraId="5BBBE10A" w14:textId="77777777" w:rsidR="00224C02" w:rsidRPr="00224C02" w:rsidRDefault="00224C02" w:rsidP="00224C02">
      <w:pPr>
        <w:pStyle w:val="NormalWeb"/>
        <w:spacing w:before="120" w:beforeAutospacing="0" w:after="0" w:afterAutospacing="0" w:line="240" w:lineRule="exact"/>
        <w:ind w:firstLine="720"/>
        <w:rPr>
          <w:rFonts w:ascii="Palatino Linotype" w:hAnsi="Palatino Linotype"/>
          <w:sz w:val="20"/>
          <w:szCs w:val="20"/>
        </w:rPr>
      </w:pPr>
      <w:r w:rsidRPr="00224C02">
        <w:rPr>
          <w:rFonts w:ascii="Palatino Linotype" w:hAnsi="Palatino Linotype"/>
          <w:color w:val="000000"/>
          <w:sz w:val="20"/>
          <w:szCs w:val="20"/>
        </w:rPr>
        <w:t xml:space="preserve">Our skill assessments of climate models in relation to past IPO variability and teleconnection stability will enable policy makers to make better climate adaptation decisions. Decadal-scale SST variability around New Zealand is dominated by the IPO, and this climate index is a topic of interest for the government and people of New Zealand in relation to heat waves, </w:t>
      </w:r>
      <w:proofErr w:type="spellStart"/>
      <w:r w:rsidRPr="00224C02">
        <w:rPr>
          <w:rFonts w:ascii="Palatino Linotype" w:hAnsi="Palatino Linotype"/>
          <w:color w:val="000000"/>
          <w:sz w:val="20"/>
          <w:szCs w:val="20"/>
        </w:rPr>
        <w:t>pluvials</w:t>
      </w:r>
      <w:proofErr w:type="spellEnd"/>
      <w:r w:rsidRPr="00224C02">
        <w:rPr>
          <w:rFonts w:ascii="Palatino Linotype" w:hAnsi="Palatino Linotype"/>
          <w:color w:val="000000"/>
          <w:sz w:val="20"/>
          <w:szCs w:val="20"/>
        </w:rPr>
        <w:t>, and droughts (Power et al., 1999; Salinger et al., 2020; Mullan et al., 2010). We will share population age data with geoduck fisheries researchers to help improve models of sustainable catch limits for this species (see letters of collaboration).</w:t>
      </w:r>
    </w:p>
    <w:p w14:paraId="51B522C2" w14:textId="77777777" w:rsidR="00224C02" w:rsidRPr="00224C02" w:rsidRDefault="00224C02" w:rsidP="00224C02">
      <w:pPr>
        <w:pStyle w:val="NormalWeb"/>
        <w:spacing w:before="0" w:beforeAutospacing="0" w:after="0" w:afterAutospacing="0" w:line="240" w:lineRule="exact"/>
        <w:ind w:firstLine="720"/>
        <w:rPr>
          <w:rFonts w:ascii="Palatino Linotype" w:hAnsi="Palatino Linotype"/>
          <w:sz w:val="20"/>
          <w:szCs w:val="20"/>
        </w:rPr>
      </w:pPr>
      <w:r w:rsidRPr="00224C02">
        <w:rPr>
          <w:rFonts w:ascii="Palatino Linotype" w:hAnsi="Palatino Linotype"/>
          <w:color w:val="000000"/>
          <w:sz w:val="20"/>
          <w:szCs w:val="20"/>
        </w:rPr>
        <w:t>This project will support the laboratory work and research of undergraduates at both Iowa State University and Northern Arizona University, with opportunities for scientific discourse and paper-writing. This project will also support the work of ECRs, PI Thatcher and PI Edge.</w:t>
      </w:r>
    </w:p>
    <w:p w14:paraId="7F228498" w14:textId="5144A3CB" w:rsidR="004529B2" w:rsidRPr="00224C02" w:rsidRDefault="00224C02" w:rsidP="00224C02">
      <w:pPr>
        <w:pStyle w:val="NormalWeb"/>
        <w:spacing w:before="0" w:beforeAutospacing="0" w:after="0" w:afterAutospacing="0" w:line="240" w:lineRule="exact"/>
        <w:ind w:firstLine="720"/>
        <w:rPr>
          <w:rFonts w:ascii="Palatino Linotype" w:hAnsi="Palatino Linotype"/>
          <w:sz w:val="20"/>
          <w:szCs w:val="20"/>
        </w:rPr>
      </w:pPr>
      <w:r w:rsidRPr="00224C02">
        <w:rPr>
          <w:rFonts w:ascii="Palatino Linotype" w:hAnsi="Palatino Linotype"/>
          <w:color w:val="000000"/>
          <w:sz w:val="20"/>
          <w:szCs w:val="20"/>
        </w:rPr>
        <w:t xml:space="preserve">PI Erb and PI Edge will continue to participate in the Flagstaff Festival of Science. We will visit a public K-12 school classroom to engage students with samples, photos, graphs, and stories to promote enthusiasm for science. PI Thatcher will continue an ongoing relationship with a local high school (Gilbert, IA) where she has led one day of activities each year since 2017 for Algebra II classes about natural logs and their utility in radiometric dating of shells, </w:t>
      </w:r>
      <w:proofErr w:type="gramStart"/>
      <w:r w:rsidRPr="00224C02">
        <w:rPr>
          <w:rFonts w:ascii="Palatino Linotype" w:hAnsi="Palatino Linotype"/>
          <w:color w:val="000000"/>
          <w:sz w:val="20"/>
          <w:szCs w:val="20"/>
        </w:rPr>
        <w:t>stalagmites</w:t>
      </w:r>
      <w:proofErr w:type="gramEnd"/>
      <w:r w:rsidRPr="00224C02">
        <w:rPr>
          <w:rFonts w:ascii="Palatino Linotype" w:hAnsi="Palatino Linotype"/>
          <w:color w:val="000000"/>
          <w:sz w:val="20"/>
          <w:szCs w:val="20"/>
        </w:rPr>
        <w:t xml:space="preserve"> and other geologic materials.</w:t>
      </w:r>
    </w:p>
    <w:sectPr w:rsidR="004529B2" w:rsidRPr="0022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02"/>
    <w:rsid w:val="00025640"/>
    <w:rsid w:val="00224C02"/>
    <w:rsid w:val="0045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B0C3"/>
  <w15:chartTrackingRefBased/>
  <w15:docId w15:val="{3DC1917D-E19D-4515-962D-C48A6276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C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4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 Edge</dc:creator>
  <cp:keywords/>
  <dc:description/>
  <cp:lastModifiedBy>David Charles Edge</cp:lastModifiedBy>
  <cp:revision>1</cp:revision>
  <dcterms:created xsi:type="dcterms:W3CDTF">2023-10-19T20:27:00Z</dcterms:created>
  <dcterms:modified xsi:type="dcterms:W3CDTF">2023-10-19T20:31:00Z</dcterms:modified>
</cp:coreProperties>
</file>